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NeurOne</w:t>
      </w:r>
    </w:p>
    <w:p>
      <w:pPr>
        <w:jc w:val="center"/>
      </w:pPr>
      <w:r>
        <w:rPr>
          <w:b/>
          <w:color w:val="2C3E50"/>
          <w:sz w:val="32"/>
        </w:rPr>
        <w:t>Master Design Brief — Revision 5</w:t>
      </w:r>
    </w:p>
    <w:p>
      <w:pPr>
        <w:jc w:val="center"/>
      </w:pPr>
      <w:r>
        <w:rPr>
          <w:color w:val="555555"/>
          <w:sz w:val="24"/>
        </w:rPr>
        <w:t>Closed-Loop Multi-Modal Neuromodulation Platform</w:t>
      </w:r>
    </w:p>
    <w:p>
      <w:pPr>
        <w:jc w:val="center"/>
      </w:pPr>
      <w:r>
        <w:rPr>
          <w:i/>
          <w:color w:val="777777"/>
          <w:sz w:val="18"/>
        </w:rPr>
        <w:t>May 4, 2026 · May 7, 2026 · May 13, 2026 · May 16, 2026  ·  Revision 5 — QMS establishment; eMMC/OTA firmware; HRV biofeedback; zone announce firmware; 1064nm smart module (hardware + firmware + session protocol + regulatory + bibliography); Hub PCB Rev B TIA gain switch; sLORETA-guided HD-tDCS; cervical VNS safety interlock + 510(k) Q-Sub; EEG cable routing closed; FPC layout frozen; lens tooling Rev B; shell tooling Rev A; 25-risk register; 6 new firmware directories baselined; pending decisions list updated</w:t>
      </w:r>
    </w:p>
    <w:p/>
    <w:p>
      <w:pPr>
        <w:pStyle w:val="Heading1"/>
      </w:pPr>
      <w:r>
        <w:rPr>
          <w:color w:val="1A1A2E"/>
          <w:sz w:val="28"/>
        </w:rPr>
        <w:t>Revision 5 — Key Additions Since Revision 4</w:t>
      </w:r>
    </w:p>
    <w:tbl>
      <w:tblPr>
        <w:tblStyle w:val="TableGrid"/>
        <w:tblW w:type="auto" w:w="0"/>
        <w:tblLook w:firstColumn="1" w:firstRow="1" w:lastColumn="0" w:lastRow="0" w:noHBand="0" w:noVBand="1" w:val="04A0"/>
      </w:tblPr>
      <w:tblGrid>
        <w:gridCol w:w="4703"/>
        <w:gridCol w:w="4703"/>
      </w:tblGrid>
      <w:tr>
        <w:tc>
          <w:tcPr>
            <w:tcW w:type="dxa" w:w="4703"/>
            <w:shd w:val="clear" w:color="auto" w:fill="BDD7EE"/>
          </w:tcPr>
          <w:p>
            <w:r>
              <w:rPr>
                <w:b/>
                <w:sz w:val="18"/>
              </w:rPr>
              <w:t>Category</w:t>
            </w:r>
          </w:p>
        </w:tc>
        <w:tc>
          <w:tcPr>
            <w:tcW w:type="dxa" w:w="4703"/>
            <w:shd w:val="clear" w:color="auto" w:fill="BDD7EE"/>
          </w:tcPr>
          <w:p>
            <w:r>
              <w:rPr>
                <w:b/>
                <w:sz w:val="18"/>
              </w:rPr>
              <w:t>New decisions / documents added</w:t>
            </w:r>
          </w:p>
        </w:tc>
      </w:tr>
      <w:tr>
        <w:tc>
          <w:tcPr>
            <w:tcW w:type="dxa" w:w="4703"/>
          </w:tcPr>
          <w:p>
            <w:r>
              <w:rPr>
                <w:b/>
                <w:sz w:val="18"/>
              </w:rPr>
              <w:t>QMS establishment (Issue #33)</w:t>
            </w:r>
          </w:p>
        </w:tc>
        <w:tc>
          <w:tcPr>
            <w:tcW w:type="dxa" w:w="4703"/>
          </w:tcPr>
          <w:p>
            <w:r>
              <w:rPr>
                <w:sz w:val="18"/>
              </w:rPr>
              <w:t>QMS established at company formation 2026-05-13. Six documents released simultaneously: NP-QMS-001 (manual), NP-DHF-001 (DHF index), NP-QMS-DC-001 (design controls), NP-RM-001 (ISO 14971 risk plan), NP-SW-001 (IEC 62304 SW plan), NP-QMS-CAPA-001 (CAPA procedure). IEC 62304 classifications locked: Safety MCU = Class C, Main processor = Class B, App = Class B. All pre-formation design documents (RISK-01..25, all NP-* specs, CLAUDE.md Rev 1–8) retroactively entered under change control.</w:t>
            </w:r>
          </w:p>
        </w:tc>
      </w:tr>
      <w:tr>
        <w:tc>
          <w:tcPr>
            <w:tcW w:type="dxa" w:w="4703"/>
          </w:tcPr>
          <w:p>
            <w:r>
              <w:rPr>
                <w:b/>
                <w:sz w:val="18"/>
              </w:rPr>
              <w:t>eMMC partition architecture + dual-bank OTA bootloader (Issue #19/#20)</w:t>
            </w:r>
          </w:p>
        </w:tc>
        <w:tc>
          <w:tcPr>
            <w:tcW w:type="dxa" w:w="4703"/>
          </w:tcPr>
          <w:p>
            <w:r>
              <w:rPr>
                <w:sz w:val="18"/>
              </w:rPr>
              <w:t>NP-FW-EMMC-001 Rev A baselined (2026-05-11). 9-partition GPT layout: UHDR 6,903 MiB (AES-256-XTS, Argon2id key), SHDR 512 MiB (AES-256-XTS, HKDF manufacturing key), Firmware banks A+B 128 MiB each, Safety MCU staging 4 MiB, Config 16 MiB, Scratch 500 MiB. Dual-bank OTA: Ed25519 signature verification, automatic revert after 3 failed boot attempts, USB-C DFU recovery always available. Safety MCU firmware: explicit user confirmation + readback required — never automated OTA. NP-COORD-001 G1-16 CLOSED. First bootloader firmware authored: firmware/bootloader/.</w:t>
            </w:r>
          </w:p>
        </w:tc>
      </w:tr>
      <w:tr>
        <w:tc>
          <w:tcPr>
            <w:tcW w:type="dxa" w:w="4703"/>
          </w:tcPr>
          <w:p>
            <w:r>
              <w:rPr>
                <w:b/>
                <w:sz w:val="18"/>
              </w:rPr>
              <w:t>HRV biofeedback protocol firmware (Issue #21)</w:t>
            </w:r>
          </w:p>
        </w:tc>
        <w:tc>
          <w:tcPr>
            <w:tcW w:type="dxa" w:w="4703"/>
          </w:tcPr>
          <w:p>
            <w:r>
              <w:rPr>
                <w:sz w:val="18"/>
              </w:rPr>
              <w:t>NP-FW-HRV-001 Rev A + firmware/hrv_biofeedback/ baselined. Six-module static library: np_hrv_ppg, np_hrv_coherence, np_hrv_pacer, np_hrv_tavns_sync, np_hrv_eeg_biofeedback, np_hrv_session. Four protocols: standalone coherence training, HRV+taVNS synchronized (inspiration-phase gating), HRV+EEG dual biofeedback, HRV+PBM. Coherence: 256-pt Welch PSD, LF peak/(LF+HF)×10. No additional hardware — uses existing VNS clip PPG + bone conduction audio. NP-COORD-001 G2-12 CLOSED.</w:t>
            </w:r>
          </w:p>
        </w:tc>
      </w:tr>
      <w:tr>
        <w:tc>
          <w:tcPr>
            <w:tcW w:type="dxa" w:w="4703"/>
          </w:tcPr>
          <w:p>
            <w:r>
              <w:rPr>
                <w:b/>
                <w:sz w:val="18"/>
              </w:rPr>
              <w:t>Zone module bone conduction announcement firmware (Issue #22)</w:t>
            </w:r>
          </w:p>
        </w:tc>
        <w:tc>
          <w:tcPr>
            <w:tcW w:type="dxa" w:w="4703"/>
          </w:tcPr>
          <w:p>
            <w:r>
              <w:rPr>
                <w:sz w:val="18"/>
              </w:rPr>
              <w:t>NP-FW-ZA-001 Rev A + firmware/zone_announce/ baselined. Implements RISK-15 Layer 5. Five parallel slot state machines (IDLE→SETTLING→DEBOUNCING→ANNOUNCING→ACTIVE→REMOVING). LPADC1 detection with 3×100ms debounce (≥2/3 majority, RISK-18). DDS audio at 8 kHz SAI3 I2S: N beeps (440 Hz) + rising confirmation (880 Hz) per zone; error cue (200→150 Hz descending). Announcement queue serialises simultaneous insertions. NP-COORD-001 G2-10 CLOSED.</w:t>
            </w:r>
          </w:p>
        </w:tc>
      </w:tr>
      <w:tr>
        <w:tc>
          <w:tcPr>
            <w:tcW w:type="dxa" w:w="4703"/>
          </w:tcPr>
          <w:p>
            <w:r>
              <w:rPr>
                <w:b/>
                <w:sz w:val="18"/>
              </w:rPr>
              <w:t>1064nm smart zone module — complete hardware + firmware package (Issues #53–56)</w:t>
            </w:r>
          </w:p>
        </w:tc>
        <w:tc>
          <w:tcPr>
            <w:tcW w:type="dxa" w:w="4703"/>
          </w:tcPr>
          <w:p>
            <w:r>
              <w:rPr>
                <w:sz w:val="18"/>
              </w:rPr>
              <w:t>Path B architecture locked. On-module driver: Microchip ATtiny402 I2C slave + 3× Infineon IRLML6344TRPBF N-FETs ($1.00 BOM). FPC variant NP-FPC-ZM-SM-01: 550 LEDs (200×660nm + 200×808nm + 150×1064nm). InGaAs PDs: Hamamatsu G12180-010A. 1064nm emitters: EPITEX L1064-02AU via Marubeni. Mold variant NP-TOOL-ZM-SM-001 Rev A (+2.0mm mechanical key prevents mis-insertion into un-upgraded hub). Smart module ZONE_ID = 3.3kΩ (pin 18, ADC &lt; 1100). Hub enables LPI2C3 per slot (400kHz). BOM delta +$23–28/module. Retail $149–199/zone. Firmware: NP-FW-PBM1064-001 Rev A + firmware/pbm_1064nm/. Session protocol: NP-SES-1064-001 Rev A. FAI software PASS: SM-01,-02,-03,-05,-09,-10,-11. Hardware FAI pending (require calibrated 1064nm optical bench + hub PCB Rev B).</w:t>
            </w:r>
          </w:p>
        </w:tc>
      </w:tr>
      <w:tr>
        <w:tc>
          <w:tcPr>
            <w:tcW w:type="dxa" w:w="4703"/>
          </w:tcPr>
          <w:p>
            <w:r>
              <w:rPr>
                <w:b/>
                <w:sz w:val="18"/>
              </w:rPr>
              <w:t>Hub PCB Rev B — Vishay DG2788A TIA gain switch + NXP PCA9546A I2C mux (Issue #62)</w:t>
            </w:r>
          </w:p>
        </w:tc>
        <w:tc>
          <w:tcPr>
            <w:tcW w:type="dxa" w:w="4703"/>
          </w:tcPr>
          <w:p>
            <w:r>
              <w:rPr>
                <w:sz w:val="18"/>
              </w:rPr>
              <w:t>NP-HW-HUB-001 Rev B baselined (2026-05-13). Five Vishay DG2788A dual-SPDT analog switches switch TIA Rf 47kΩ→22kΩ per slot on smart module detection. NXP PCA9546A (0x70) isolates 5 smart module slots sharing I2C address 0x30. GPIO GAIN_SEL[0..4] on i.MX RT1062 GPIO_B0_04..08. Hub BOM delta $1.41–1.91. OI-PBM-HW-01 and OI-PBM-HW-02 SPECIFIED. Hub PCB Rev B Gerber build (OI-HUB-03) required before FAI-SM-04 and FAI-SM-06 optical bench tests.</w:t>
            </w:r>
          </w:p>
        </w:tc>
      </w:tr>
      <w:tr>
        <w:tc>
          <w:tcPr>
            <w:tcW w:type="dxa" w:w="4703"/>
          </w:tcPr>
          <w:p>
            <w:r>
              <w:rPr>
                <w:b/>
                <w:sz w:val="18"/>
              </w:rPr>
              <w:t>1064nm regulatory + bibliography (Issue #56)</w:t>
            </w:r>
          </w:p>
        </w:tc>
        <w:tc>
          <w:tcPr>
            <w:tcW w:type="dxa" w:w="4703"/>
          </w:tcPr>
          <w:p>
            <w:r>
              <w:rPr>
                <w:sz w:val="18"/>
              </w:rPr>
              <w:t>NP-REG-PBM1064-001 Rev A: scope expansion brief to outside regulatory counsel — 12 questions covering 1064nm FDA wellness pathway, aggregate irradiance 600 mW/cm² (OI-PBM-05), T2 combined 1064+1170nm, depth-tier penetration FTC claim. Marketing gate maintained until opinion letter received. NP-BIB-1064-001 Rev A: six bibliography entries added — Yao et al. Science Advances 2022 (primary), tissue optics refs, CCO mechanism at 1064nm, safety literature, multi-modal evidence gap noted.</w:t>
            </w:r>
          </w:p>
        </w:tc>
      </w:tr>
      <w:tr>
        <w:tc>
          <w:tcPr>
            <w:tcW w:type="dxa" w:w="4703"/>
          </w:tcPr>
          <w:p>
            <w:r>
              <w:rPr>
                <w:b/>
                <w:sz w:val="18"/>
              </w:rPr>
              <w:t>sLORETA-guided HD-tDCS firmware (Issue #23)</w:t>
            </w:r>
          </w:p>
        </w:tc>
        <w:tc>
          <w:tcPr>
            <w:tcW w:type="dxa" w:w="4703"/>
          </w:tcPr>
          <w:p>
            <w:r>
              <w:rPr>
                <w:sz w:val="18"/>
              </w:rPr>
              <w:t>NP-FW-HD-001 Rev A + firmware/sloreta_hdtdcs/ baselined (2026-05-11). Scalar sLORETA: 2447-voxel × 21-channel weight matrix (≈205KB, LPSDR4). 64-epoch covariance accumulation → per-voxel source power map. 4×1 ring montage: nearest-electrode anode + 4 cathodes (≥2 quadrant angular spread). 30s ramp up/down, 100ms tick. Safety MCU owns all enable GPIO. Software charge density monitor (95% of 40µC/cm² trips abort). 7 clinical targets: DLPFC_L/R, VLPFC_L, ACC, MPFC, M1_L/R. FAI-HD02 software PASS. Hardware FAI pending (T2 prototype bench). NP-COORD-001 G3-07 SOFTWARE BASELINED.</w:t>
            </w:r>
          </w:p>
        </w:tc>
      </w:tr>
      <w:tr>
        <w:tc>
          <w:tcPr>
            <w:tcW w:type="dxa" w:w="4703"/>
          </w:tcPr>
          <w:p>
            <w:r>
              <w:rPr>
                <w:b/>
                <w:sz w:val="18"/>
              </w:rPr>
              <w:t>Cervical VNS safety interlock + 510(k) Q-Sub (Issue #24)</w:t>
            </w:r>
          </w:p>
        </w:tc>
        <w:tc>
          <w:tcPr>
            <w:tcW w:type="dxa" w:w="4703"/>
          </w:tcPr>
          <w:p>
            <w:r>
              <w:rPr>
                <w:sz w:val="18"/>
              </w:rPr>
              <w:t>NP-FW-CVNS-001 Rev A + firmware/cervical_vns/ baselined (2026-05-11). Safety MCU (STM32G071) owns CVNS_ENABLE_L/R GPIO. TIM6 ISR at 200Hz: HR change &gt;15 BPM within 5s → GPIO LOW within &lt;5.1ms worst-case. Baseline cross-validation: main processor PPG-derived HR and safety MCU GPIO-timer HR must agree within 5 BPM. 30s re-enable lockout + app confirm. RISK-25 MITIGATED. NP-COORD-001 G3-08 SOFTWARE BASELINED. NP-REG-CVNS-001 Rev A: 510(k) Q-Sub baselined. Predicate: electroCore gammaCore K163334 + K173323. SE argument: same intended use + same/safer technology (≤2 mA vs predicate ≤24 mA).</w:t>
            </w:r>
          </w:p>
        </w:tc>
      </w:tr>
      <w:tr>
        <w:tc>
          <w:tcPr>
            <w:tcW w:type="dxa" w:w="4703"/>
          </w:tcPr>
          <w:p>
            <w:r>
              <w:rPr>
                <w:b/>
                <w:sz w:val="18"/>
              </w:rPr>
              <w:t>EEG cable routing closure; FPC layout freeze; lens tooling Rev B; shell tooling Rev A</w:t>
            </w:r>
          </w:p>
        </w:tc>
        <w:tc>
          <w:tcPr>
            <w:tcW w:type="dxa" w:w="4703"/>
          </w:tcPr>
          <w:p>
            <w:r>
              <w:rPr>
                <w:sz w:val="18"/>
              </w:rPr>
              <w:t>OI-09 CLOSED (NP-DRV-SHELL-001 Rev B, 2026-05-10): 8×5mm main trunk + 6×4mm lateral branch EEG channels on outer CFRP surface. 18–22mm FPC-to-EEG separation — DRC-18 PASSES. DRC-22 and DRC-23 CLOSED. NP-COORD-001 G2-11 CLOSED. FPC layout frozen (NP-HW-FPC-001 Rev D/E): PD2 position X=33.0mm, Y=39.0mm from module reference corner. OI-3 CLOSED. G1-15 CLOSED. NP-TOOL-LENS-001 Rev B (2026-05-10): adds lens rim guard anchor hooks (F-07), shade clearance ≥4mm (MR-19), tether routing ≤45mm no FOV crossing (MR-20). Addresses Issue #18. NP-TOOL-SHELL-001 Rev A: 4 mandatory features — zone slot plug anchors (×5), port cover anchors (×3), EEG cable channel (8×5mm, cross-ref DRC-18), temporal wing boss (PROVISIONAL). Addresses Issue #16.</w:t>
            </w:r>
          </w:p>
        </w:tc>
      </w:tr>
      <w:tr>
        <w:tc>
          <w:tcPr>
            <w:tcW w:type="dxa" w:w="4703"/>
          </w:tcPr>
          <w:p>
            <w:r>
              <w:rPr>
                <w:b/>
                <w:sz w:val="18"/>
              </w:rPr>
              <w:t>Risk register updated to 25 risks</w:t>
            </w:r>
          </w:p>
        </w:tc>
        <w:tc>
          <w:tcPr>
            <w:tcW w:type="dxa" w:w="4703"/>
          </w:tcPr>
          <w:p>
            <w:r>
              <w:rPr>
                <w:sz w:val="18"/>
              </w:rPr>
              <w:t>RISK-25 added: cervical VNS cardiac reflex hazard. MITIGATED pending FAI-CV02 hardware bench. Total: 25 risks (RISK-01 through RISK-25); 23 MITIGATED; 2 OPEN (RISK-03 regulatory opinion — external; RISK-20 CFRP Ra confirmation — external). ISO 14971 change control established via NP-RM-001 Rev A.</w:t>
            </w:r>
          </w:p>
        </w:tc>
      </w:tr>
      <w:tr>
        <w:tc>
          <w:tcPr>
            <w:tcW w:type="dxa" w:w="4703"/>
          </w:tcPr>
          <w:p>
            <w:r>
              <w:rPr>
                <w:b/>
                <w:sz w:val="18"/>
              </w:rPr>
              <w:t>iOS App Roadmap + Apple Watch sync app (Issue #32)</w:t>
            </w:r>
          </w:p>
        </w:tc>
        <w:tc>
          <w:tcPr>
            <w:tcW w:type="dxa" w:w="4703"/>
          </w:tcPr>
          <w:p>
            <w:r>
              <w:rPr>
                <w:sz w:val="18"/>
              </w:rPr>
              <w:t>NP-APP-ROADMAP-001 Rev A (2026-05-11). Apple Watch sync app added to Year 1 post-launch roadmap. Four-phase development: Phase 1 session status + HRV breathing ring (Month 1–2), Phase 2 audio sync (Month 3–4), Phase 3 haptic sync 40Hz (Month 4–5), Phase 4 40Hz visual flicker (Month 6+, blocked OI-WA-02). Sub-50ms sync latency target. All Watch functions declared session monitoring / UI aids — no therapeutic claims.</w:t>
            </w:r>
          </w:p>
        </w:tc>
      </w:tr>
    </w:tbl>
    <w:p/>
    <w:p>
      <w:pPr>
        <w:pStyle w:val="Heading1"/>
      </w:pPr>
      <w:r>
        <w:rPr>
          <w:color w:val="1A1A2E"/>
          <w:sz w:val="28"/>
        </w:rPr>
        <w:t>1. Executive Summary</w:t>
      </w:r>
    </w:p>
    <w:p>
      <w:r>
        <w:rPr>
          <w:b w:val="0"/>
          <w:sz w:val="20"/>
        </w:rPr>
        <w:t>NeurOne is a two-tier closed-loop multi-modal neuromodulation platform. Tier 1 (NeurOne Home) is an FDA-exempt consumer wellness device combining 8 neuromodulation modalities in a single wired-first headset. Tier 2 (NeurOne Pro) is a clinical-grade device targeting FDA 510(k) clearance with 11 modalities including TMS, clinical tACS, 21-channel qEEG, sLORETA-guided HD-tDCS, and cervical VNS.</w:t>
      </w:r>
    </w:p>
    <w:p/>
    <w:tbl>
      <w:tblPr>
        <w:tblStyle w:val="TableGrid"/>
        <w:tblW w:type="auto" w:w="0"/>
        <w:tblLook w:firstColumn="1" w:firstRow="1" w:lastColumn="0" w:lastRow="0" w:noHBand="0" w:noVBand="1" w:val="04A0"/>
      </w:tblPr>
      <w:tblGrid>
        <w:gridCol w:w="4703"/>
        <w:gridCol w:w="4703"/>
      </w:tblGrid>
      <w:tr>
        <w:tc>
          <w:tcPr>
            <w:tcW w:type="dxa" w:w="4703"/>
            <w:shd w:val="clear" w:color="auto" w:fill="EBF3FB"/>
          </w:tcPr>
          <w:p>
            <w:r/>
          </w:p>
          <w:p>
            <w:r>
              <w:rPr>
                <w:b/>
                <w:sz w:val="18"/>
              </w:rPr>
              <w:t>NeurOne Home — Tier 1</w:t>
            </w:r>
          </w:p>
          <w:p>
            <w:r>
              <w:rPr>
                <w:b/>
                <w:sz w:val="18"/>
              </w:rPr>
              <w:t>Consumer wellness · FDA-exempt · 8 modalities</w:t>
            </w:r>
          </w:p>
          <w:p>
            <w:r>
              <w:rPr>
                <w:sz w:val="18"/>
              </w:rPr>
              <w:t>8 modalities: Transcranial PBM (600 LEDs, 660+810nm) · Intranasal PBM (bilateral, 2λ) · 8-ch EEG neurofeedback (24-bit ADS1299) · BES/tACS (consumer: Brainwave Entrainment Stimulation) · tDCS (consumer: Cortical Priming Stimulation) · Auricular VNS + HRV biofeedback · Neural audio entrainment (planar magnetic + bone conduction) · Visual stimulation (108 micro-LEDs/lens, EMDR, retinal PBM)</w:t>
              <w:br/>
              <w:br/>
              <w:t>Price: $449–$1,199 (4 configurations)</w:t>
              <w:br/>
              <w:t>Timeline: 12–18 months</w:t>
              <w:br/>
              <w:t>Regulatory: General wellness device (FDA-exempt)</w:t>
            </w:r>
          </w:p>
        </w:tc>
        <w:tc>
          <w:tcPr>
            <w:tcW w:type="dxa" w:w="4703"/>
            <w:shd w:val="clear" w:color="auto" w:fill="EBF3FB"/>
          </w:tcPr>
          <w:p>
            <w:r/>
          </w:p>
          <w:p>
            <w:r>
              <w:rPr>
                <w:b/>
                <w:sz w:val="18"/>
              </w:rPr>
              <w:t>NeurOne Pro — Tier 2</w:t>
            </w:r>
          </w:p>
          <w:p>
            <w:r>
              <w:rPr>
                <w:b/>
                <w:sz w:val="18"/>
              </w:rPr>
              <w:t>Clinical/research · FDA 510(k) target · 11 modalities</w:t>
            </w:r>
          </w:p>
          <w:p>
            <w:r>
              <w:rPr>
                <w:sz w:val="18"/>
              </w:rPr>
              <w:t>All T1 modalities plus:</w:t>
              <w:br/>
              <w:t>21-ch qEEG wet gel (FC3/FC4/Oz/A1/A2) · 1170nm deep PBM (laser, 35–40mm depth) · Clinical tACS (≤4mA, 16-ch arbitrary waveform) · sLORETA-guided HD-tDCS (4×1 ring, ~1.5cm FWHM) · TMS focal figure-8 coil (0.1–0.5T, rTMS + TBS) · Cervical VNS accessory (tcVNS) · HIPAA cloud, FHIR R4, multi-patient dashboard, scripting API, sLORETA source imaging</w:t>
              <w:br/>
              <w:br/>
              <w:t>Price: $4,999–$13,999 + $1,800/yr</w:t>
              <w:br/>
              <w:t>Timeline: 18–36 months post T1</w:t>
              <w:br/>
              <w:t>Regulatory: FDA 510(k) — modular predicate strategy</w:t>
            </w:r>
          </w:p>
        </w:tc>
      </w:tr>
    </w:tbl>
    <w:p/>
    <w:p>
      <w:r>
        <w:rPr>
          <w:b/>
          <w:sz w:val="20"/>
        </w:rPr>
        <w:t>Founding design principles (all locked):</w:t>
      </w:r>
    </w:p>
    <w:p>
      <w:pPr>
        <w:pStyle w:val="ListBullet"/>
        <w:ind w:left="283"/>
      </w:pPr>
      <w:r>
        <w:rPr>
          <w:b w:val="0"/>
          <w:sz w:val="19"/>
        </w:rPr>
        <w:t>Shared platform — one production line, two markets (T1 consumer wellness + T2 clinical)</w:t>
      </w:r>
    </w:p>
    <w:p>
      <w:pPr>
        <w:pStyle w:val="ListBullet"/>
        <w:ind w:left="283"/>
      </w:pPr>
      <w:r>
        <w:rPr>
          <w:b w:val="0"/>
          <w:sz w:val="19"/>
        </w:rPr>
        <w:t>Wired-first USB-C default — zero RF at scalp during tethered operation</w:t>
      </w:r>
    </w:p>
    <w:p>
      <w:pPr>
        <w:pStyle w:val="ListBullet"/>
        <w:ind w:left="283"/>
      </w:pPr>
      <w:r>
        <w:rPr>
          <w:b w:val="0"/>
          <w:sz w:val="19"/>
        </w:rPr>
        <w:t>Autonomous closed-loop EEG-adaptive stimulation without phone (primary competitive moat)</w:t>
      </w:r>
    </w:p>
    <w:p>
      <w:pPr>
        <w:pStyle w:val="ListBullet"/>
        <w:ind w:left="283"/>
      </w:pPr>
      <w:r>
        <w:rPr>
          <w:b w:val="0"/>
          <w:sz w:val="19"/>
        </w:rPr>
        <w:t>5-layer EMF shielding + active Helmholtz cancellation — only consumer brain wearable with measured continuous fleet shielding</w:t>
      </w:r>
    </w:p>
    <w:p>
      <w:pPr>
        <w:pStyle w:val="ListBullet"/>
        <w:ind w:left="283"/>
      </w:pPr>
      <w:r>
        <w:rPr>
          <w:b w:val="0"/>
          <w:sz w:val="19"/>
        </w:rPr>
        <w:t>Modular field-upgradeability via snap-in zone modules (1064nm smart module upgrade path live)</w:t>
      </w:r>
    </w:p>
    <w:p>
      <w:pPr>
        <w:pStyle w:val="ListBullet"/>
        <w:ind w:left="283"/>
      </w:pPr>
      <w:r>
        <w:rPr>
          <w:b w:val="0"/>
          <w:sz w:val="19"/>
        </w:rPr>
        <w:t>No mandatory subscription — all core functions offline-capable permanently</w:t>
      </w:r>
    </w:p>
    <w:p>
      <w:pPr>
        <w:pStyle w:val="ListBullet"/>
        <w:ind w:left="283"/>
      </w:pPr>
      <w:r>
        <w:rPr>
          <w:b w:val="0"/>
          <w:sz w:val="19"/>
        </w:rPr>
        <w:t>UHDR/SHDR data separation — user health data is never accessed by NeurOne under any circumstances</w:t>
      </w:r>
    </w:p>
    <w:p>
      <w:pPr>
        <w:pStyle w:val="ListBullet"/>
        <w:ind w:left="283"/>
      </w:pPr>
      <w:r>
        <w:rPr>
          <w:b w:val="0"/>
          <w:sz w:val="19"/>
        </w:rPr>
        <w:t>QMS established at company formation (2026-05-13) under 21 CFR Part 820 / ISO 13485:2016</w:t>
      </w:r>
    </w:p>
    <w:p/>
    <w:p>
      <w:pPr>
        <w:pStyle w:val="Heading1"/>
      </w:pPr>
      <w:r>
        <w:rPr>
          <w:color w:val="1A1A2E"/>
          <w:sz w:val="28"/>
        </w:rPr>
        <w:t>2. Data Architecture — UHDR / SHDR Framework</w:t>
      </w:r>
    </w:p>
    <w:p>
      <w:r>
        <w:rPr>
          <w:b w:val="0"/>
          <w:sz w:val="20"/>
        </w:rPr>
        <w:t>The UHDR/SHDR framework is the foundational data architecture of NeurOne. All storage code, all session recording, and all research data sharing must comply with this framework. It is established in firmware from the first line of storage code (NP-FW-EMMC-001 Rev A, Issue #19).</w:t>
      </w:r>
    </w:p>
    <w:p/>
    <w:tbl>
      <w:tblPr>
        <w:tblStyle w:val="TableGrid"/>
        <w:tblW w:type="auto" w:w="0"/>
        <w:tblLook w:firstColumn="1" w:firstRow="1" w:lastColumn="0" w:lastRow="0" w:noHBand="0" w:noVBand="1" w:val="04A0"/>
      </w:tblPr>
      <w:tblGrid>
        <w:gridCol w:w="4703"/>
        <w:gridCol w:w="4703"/>
      </w:tblGrid>
      <w:tr>
        <w:tc>
          <w:tcPr>
            <w:tcW w:type="dxa" w:w="4703"/>
            <w:shd w:val="clear" w:color="auto" w:fill="E2EFDA"/>
          </w:tcPr>
          <w:p>
            <w:r/>
          </w:p>
          <w:p>
            <w:r>
              <w:rPr>
                <w:b/>
                <w:sz w:val="18"/>
              </w:rPr>
              <w:t>UHDR — User Health Data Record</w:t>
              <w:br/>
              <w:t>(user's property, never accessed by NeurOne)</w:t>
            </w:r>
          </w:p>
          <w:p>
            <w:r>
              <w:rPr>
                <w:sz w:val="18"/>
              </w:rPr>
              <w:t>DEFINITION: Any record describing the user's biological state or therapeutic response.</w:t>
            </w:r>
          </w:p>
          <w:p>
            <w:r>
              <w:rPr>
                <w:sz w:val="18"/>
              </w:rPr>
              <w:t>CONTENTS: EEG waveforms (all channels) · HRV time series · PPG optical signal · Neurofeedback performance scores · Session timestamps and duration · Protocol parameters used · Closed-loop adaptation events · PBM dose (J/cm²) per zone · User-entered symptom/outcome logs · Eye-open/closed state during sessions · 1170nm laser dose (T2) · sLORETA MNI target (T2)</w:t>
            </w:r>
          </w:p>
          <w:p>
            <w:r>
              <w:rPr>
                <w:sz w:val="18"/>
              </w:rPr>
              <w:t>STORAGE: On-device eMMC UHDR partition (6,903 MiB). AES-256-XTS encryption. Key derived via Argon2id from user biometric/PIN. NeurOne NEVER holds the decryption key.</w:t>
            </w:r>
          </w:p>
          <w:p>
            <w:r>
              <w:rPr>
                <w:sz w:val="18"/>
              </w:rPr>
              <w:t>ACCESS RULE: NeurOne — NEVER. Clinician — per-element, per-use-case, time-limited, audited, revocable. Researcher — on-device anonymized extract only (k≥10), per signed study descriptor.</w:t>
            </w:r>
          </w:p>
          <w:p>
            <w:r>
              <w:rPr>
                <w:sz w:val="18"/>
              </w:rPr>
              <w:t>BACKUP: Nightly incremental backup to USB-C local or E2E encrypted cloud. Same Argon2id-derived key. NeurOne cannot decrypt backup archives.</w:t>
            </w:r>
          </w:p>
        </w:tc>
        <w:tc>
          <w:tcPr>
            <w:tcW w:type="dxa" w:w="4703"/>
            <w:shd w:val="clear" w:color="auto" w:fill="E2EFDA"/>
          </w:tcPr>
          <w:p>
            <w:r/>
          </w:p>
          <w:p>
            <w:r>
              <w:rPr>
                <w:b/>
                <w:sz w:val="18"/>
              </w:rPr>
              <w:t>SHDR — System Health Data Record</w:t>
              <w:br/>
              <w:t>(NeurOne property, never linked to user identity)</w:t>
            </w:r>
          </w:p>
          <w:p>
            <w:r>
              <w:rPr>
                <w:sz w:val="18"/>
              </w:rPr>
              <w:t>DEFINITION: Any record describing device performance, wear state, or calibration — with nothing that reveals user biology.</w:t>
            </w:r>
          </w:p>
          <w:p>
            <w:r>
              <w:rPr>
                <w:sz w:val="18"/>
              </w:rPr>
              <w:t>CONTENTS: LED output ratio per zone · NTC temperature profiles · EMF shielding attenuation ratio · Device session count (unsigned integer, no timestamps) · Consumable session counts · USB-C insertion counter · PD negotiation log · Impact events (between sessions only) · Fan RPM · Supercapacitor cycles · Firmware version history · OTA log · Accessory authentication pass/fail · Calibration coefficient history · Coherence trend slope (not coherence values) · Zone announce SHDR auth log · Contributed study audit log (study ID, descriptor hash, byte count — never shared with researchers)</w:t>
            </w:r>
          </w:p>
          <w:p>
            <w:r>
              <w:rPr>
                <w:sz w:val="18"/>
              </w:rPr>
              <w:t>STORAGE: On-device eMMC SHDR partition (512 MiB). AES-256-XTS. HKDF-SHA256 from NeurOne manufacturing root key + eMMC CID hash (SNVS OTPMK). NeurOne can decrypt for warranty/fleet analytics.</w:t>
            </w:r>
          </w:p>
          <w:p>
            <w:r>
              <w:rPr>
                <w:sz w:val="18"/>
              </w:rPr>
              <w:t>UPLOAD: To NeurOne fleet database on USB-C connect. Warranty consent required.</w:t>
            </w:r>
          </w:p>
        </w:tc>
      </w:tr>
    </w:tbl>
    <w:p/>
    <w:p>
      <w:r>
        <w:rPr>
          <w:b w:val="0"/>
          <w:sz w:val="18"/>
        </w:rPr>
        <w:t>Boundary case resolution rule: When in doubt → classify as UHDR. Reclassification to SHDR requires positive demonstration that the record contains no user biology content.</w:t>
      </w:r>
    </w:p>
    <w:p>
      <w:r>
        <w:rPr>
          <w:b/>
          <w:sz w:val="20"/>
        </w:rPr>
        <w:t>Research data anonymization architecture (locked):</w:t>
      </w:r>
    </w:p>
    <w:p>
      <w:r>
        <w:rPr>
          <w:b w:val="0"/>
          <w:sz w:val="18"/>
        </w:rPr>
        <w:t>All anonymization occurs on-device within the NeurOne app before any data leaves the device. NeurOne cannot access raw UHDR at any point — the biometric-derived AES-256 key is never held by NeurOne. Per-study flow: (1) NeurOne server sends signed study descriptor (cryptographically signed); (2) App reads encrypted UHDR in-app, applies on-device anonymization (k≥10, date rounding ≥1-week, direct identifier removal); (3) Only the pre-anonymized signed extract is transmitted; (4) No persistent per-user anonymized data store; (5) No linkage table. Consent withdrawal: device immediately stops processing study descriptors — no further extracts generated for any data period, including historical sessions. Irreversibility notice given at L3 blanket consent screen AND at per-project invitation.</w:t>
      </w:r>
    </w:p>
    <w:p/>
    <w:p>
      <w:pPr>
        <w:pStyle w:val="Heading1"/>
      </w:pPr>
      <w:r>
        <w:rPr>
          <w:color w:val="1A1A2E"/>
          <w:sz w:val="28"/>
        </w:rPr>
        <w:t>3. Clinical Consent Engine</w:t>
      </w:r>
    </w:p>
    <w:p>
      <w:pPr>
        <w:pStyle w:val="Heading2"/>
      </w:pPr>
      <w:r>
        <w:rPr>
          <w:color w:val="1A1A2E"/>
          <w:sz w:val="24"/>
        </w:rPr>
        <w:t>3.1 Clinician Subscription Tiers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7"/>
              </w:rPr>
              <w:t>Subscription tier</w:t>
            </w:r>
          </w:p>
        </w:tc>
        <w:tc>
          <w:tcPr>
            <w:tcW w:type="dxa" w:w="1881"/>
            <w:shd w:val="clear" w:color="auto" w:fill="BDD7EE"/>
          </w:tcPr>
          <w:p>
            <w:r>
              <w:rPr>
                <w:b/>
                <w:sz w:val="17"/>
              </w:rPr>
              <w:t>Price</w:t>
            </w:r>
          </w:p>
        </w:tc>
        <w:tc>
          <w:tcPr>
            <w:tcW w:type="dxa" w:w="1881"/>
            <w:shd w:val="clear" w:color="auto" w:fill="BDD7EE"/>
          </w:tcPr>
          <w:p>
            <w:r>
              <w:rPr>
                <w:b/>
                <w:sz w:val="17"/>
              </w:rPr>
              <w:t>Use cases included</w:t>
            </w:r>
          </w:p>
        </w:tc>
        <w:tc>
          <w:tcPr>
            <w:tcW w:type="dxa" w:w="1881"/>
            <w:shd w:val="clear" w:color="auto" w:fill="BDD7EE"/>
          </w:tcPr>
          <w:p>
            <w:r>
              <w:rPr>
                <w:b/>
                <w:sz w:val="17"/>
              </w:rPr>
              <w:t>UHDR elements (with user consent)</w:t>
            </w:r>
          </w:p>
        </w:tc>
        <w:tc>
          <w:tcPr>
            <w:tcW w:type="dxa" w:w="1881"/>
            <w:shd w:val="clear" w:color="auto" w:fill="BDD7EE"/>
          </w:tcPr>
          <w:p>
            <w:r>
              <w:rPr>
                <w:b/>
                <w:sz w:val="17"/>
              </w:rPr>
              <w:t>Target clinician</w:t>
            </w:r>
          </w:p>
        </w:tc>
      </w:tr>
      <w:tr>
        <w:tc>
          <w:tcPr>
            <w:tcW w:type="dxa" w:w="1881"/>
          </w:tcPr>
          <w:p>
            <w:r/>
            <w:r>
              <w:rPr>
                <w:b w:val="0"/>
                <w:sz w:val="18"/>
              </w:rPr>
              <w:t>Monitor</w:t>
            </w:r>
          </w:p>
        </w:tc>
        <w:tc>
          <w:tcPr>
            <w:tcW w:type="dxa" w:w="1881"/>
          </w:tcPr>
          <w:p>
            <w:r/>
            <w:r>
              <w:rPr>
                <w:b w:val="0"/>
                <w:sz w:val="18"/>
              </w:rPr>
              <w:t>$49/mo/patient</w:t>
            </w:r>
          </w:p>
        </w:tc>
        <w:tc>
          <w:tcPr>
            <w:tcW w:type="dxa" w:w="1881"/>
          </w:tcPr>
          <w:p>
            <w:r/>
            <w:r>
              <w:rPr>
                <w:b w:val="0"/>
                <w:sz w:val="18"/>
              </w:rPr>
              <w:t>Adherence monitoring · Protocol compliance tracking</w:t>
            </w:r>
          </w:p>
        </w:tc>
        <w:tc>
          <w:tcPr>
            <w:tcW w:type="dxa" w:w="1881"/>
          </w:tcPr>
          <w:p>
            <w:r/>
            <w:r>
              <w:rPr>
                <w:b w:val="0"/>
                <w:sz w:val="18"/>
              </w:rPr>
              <w:t>Session timestamps · Duration · Protocol parameters</w:t>
            </w:r>
          </w:p>
        </w:tc>
        <w:tc>
          <w:tcPr>
            <w:tcW w:type="dxa" w:w="1881"/>
          </w:tcPr>
          <w:p>
            <w:r/>
            <w:r>
              <w:rPr>
                <w:b w:val="0"/>
                <w:sz w:val="18"/>
              </w:rPr>
              <w:t>Primary care, wellness, coordinators</w:t>
            </w:r>
          </w:p>
        </w:tc>
      </w:tr>
      <w:tr>
        <w:tc>
          <w:tcPr>
            <w:tcW w:type="dxa" w:w="1881"/>
          </w:tcPr>
          <w:p>
            <w:r/>
            <w:r>
              <w:rPr>
                <w:b w:val="0"/>
                <w:sz w:val="18"/>
              </w:rPr>
              <w:t>Assess</w:t>
            </w:r>
          </w:p>
        </w:tc>
        <w:tc>
          <w:tcPr>
            <w:tcW w:type="dxa" w:w="1881"/>
          </w:tcPr>
          <w:p>
            <w:r/>
            <w:r>
              <w:rPr>
                <w:b w:val="0"/>
                <w:sz w:val="18"/>
              </w:rPr>
              <w:t>$149/mo/patient</w:t>
            </w:r>
          </w:p>
        </w:tc>
        <w:tc>
          <w:tcPr>
            <w:tcW w:type="dxa" w:w="1881"/>
          </w:tcPr>
          <w:p>
            <w:r/>
            <w:r>
              <w:rPr>
                <w:b w:val="0"/>
                <w:sz w:val="18"/>
              </w:rPr>
              <w:t>All Monitor + EEG session review · Neurofeedback · Efficacy assessment</w:t>
            </w:r>
          </w:p>
        </w:tc>
        <w:tc>
          <w:tcPr>
            <w:tcW w:type="dxa" w:w="1881"/>
          </w:tcPr>
          <w:p>
            <w:r/>
            <w:r>
              <w:rPr>
                <w:b w:val="0"/>
                <w:sz w:val="18"/>
              </w:rPr>
              <w:t>Adds: EEG waveforms · Neurofeedback scores · PBM dose logs</w:t>
            </w:r>
          </w:p>
        </w:tc>
        <w:tc>
          <w:tcPr>
            <w:tcW w:type="dxa" w:w="1881"/>
          </w:tcPr>
          <w:p>
            <w:r/>
            <w:r>
              <w:rPr>
                <w:b w:val="0"/>
                <w:sz w:val="18"/>
              </w:rPr>
              <w:t>Neurologists, psychiatrists, EEG specialists</w:t>
            </w:r>
          </w:p>
        </w:tc>
      </w:tr>
      <w:tr>
        <w:tc>
          <w:tcPr>
            <w:tcW w:type="dxa" w:w="1881"/>
          </w:tcPr>
          <w:p>
            <w:r/>
            <w:r>
              <w:rPr>
                <w:b w:val="0"/>
                <w:sz w:val="18"/>
              </w:rPr>
              <w:t>Full Clinical</w:t>
            </w:r>
          </w:p>
        </w:tc>
        <w:tc>
          <w:tcPr>
            <w:tcW w:type="dxa" w:w="1881"/>
          </w:tcPr>
          <w:p>
            <w:r/>
            <w:r>
              <w:rPr>
                <w:b w:val="0"/>
                <w:sz w:val="18"/>
              </w:rPr>
              <w:t>$299/mo/patient</w:t>
            </w:r>
          </w:p>
        </w:tc>
        <w:tc>
          <w:tcPr>
            <w:tcW w:type="dxa" w:w="1881"/>
          </w:tcPr>
          <w:p>
            <w:r/>
            <w:r>
              <w:rPr>
                <w:b w:val="0"/>
                <w:sz w:val="18"/>
              </w:rPr>
              <w:t>All Assess + HRV monitoring · Closed-loop events · Outcome logs</w:t>
            </w:r>
          </w:p>
        </w:tc>
        <w:tc>
          <w:tcPr>
            <w:tcW w:type="dxa" w:w="1881"/>
          </w:tcPr>
          <w:p>
            <w:r/>
            <w:r>
              <w:rPr>
                <w:b w:val="0"/>
                <w:sz w:val="18"/>
              </w:rPr>
              <w:t>Adds: HRV time series · PPG · Closed-loop adaptation events · Outcome logs</w:t>
            </w:r>
          </w:p>
        </w:tc>
        <w:tc>
          <w:tcPr>
            <w:tcW w:type="dxa" w:w="1881"/>
          </w:tcPr>
          <w:p>
            <w:r/>
            <w:r>
              <w:rPr>
                <w:b w:val="0"/>
                <w:sz w:val="18"/>
              </w:rPr>
              <w:t>TMS clinics, neuromodulation programmes</w:t>
            </w:r>
          </w:p>
        </w:tc>
      </w:tr>
      <w:tr>
        <w:tc>
          <w:tcPr>
            <w:tcW w:type="dxa" w:w="1881"/>
          </w:tcPr>
          <w:p>
            <w:r/>
            <w:r>
              <w:rPr>
                <w:b w:val="0"/>
                <w:sz w:val="18"/>
              </w:rPr>
              <w:t>Research</w:t>
            </w:r>
          </w:p>
        </w:tc>
        <w:tc>
          <w:tcPr>
            <w:tcW w:type="dxa" w:w="1881"/>
          </w:tcPr>
          <w:p>
            <w:r/>
            <w:r>
              <w:rPr>
                <w:b w:val="0"/>
                <w:sz w:val="18"/>
              </w:rPr>
              <w:t>$599/mo/study</w:t>
            </w:r>
          </w:p>
        </w:tc>
        <w:tc>
          <w:tcPr>
            <w:tcW w:type="dxa" w:w="1881"/>
          </w:tcPr>
          <w:p>
            <w:r/>
            <w:r>
              <w:rPr>
                <w:b w:val="0"/>
                <w:sz w:val="18"/>
              </w:rPr>
              <w:t>IRB-defined custom (NeurOne review required)</w:t>
            </w:r>
          </w:p>
        </w:tc>
        <w:tc>
          <w:tcPr>
            <w:tcW w:type="dxa" w:w="1881"/>
          </w:tcPr>
          <w:p>
            <w:r/>
            <w:r>
              <w:rPr>
                <w:b w:val="0"/>
                <w:sz w:val="18"/>
              </w:rPr>
              <w:t>IRB-approved minimum necessary · k≥10 anonymization · No IDs</w:t>
            </w:r>
          </w:p>
        </w:tc>
        <w:tc>
          <w:tcPr>
            <w:tcW w:type="dxa" w:w="1881"/>
          </w:tcPr>
          <w:p>
            <w:r/>
            <w:r>
              <w:rPr>
                <w:b w:val="0"/>
                <w:sz w:val="18"/>
              </w:rPr>
              <w:t>Academic trials, observational studies</w:t>
            </w:r>
          </w:p>
        </w:tc>
      </w:tr>
    </w:tbl>
    <w:p/>
    <w:p>
      <w:pPr>
        <w:pStyle w:val="Heading2"/>
      </w:pPr>
      <w:r>
        <w:rPr>
          <w:color w:val="1A1A2E"/>
          <w:sz w:val="24"/>
        </w:rPr>
        <w:t>3.2 A Priori Research Consent — Four Onboarding Screens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BDD7EE"/>
          </w:tcPr>
          <w:p>
            <w:r>
              <w:rPr>
                <w:b/>
                <w:sz w:val="17"/>
              </w:rPr>
              <w:t>Layer</w:t>
            </w:r>
          </w:p>
        </w:tc>
        <w:tc>
          <w:tcPr>
            <w:tcW w:type="dxa" w:w="1881"/>
            <w:shd w:val="clear" w:color="auto" w:fill="BDD7EE"/>
          </w:tcPr>
          <w:p>
            <w:r>
              <w:rPr>
                <w:b/>
                <w:sz w:val="17"/>
              </w:rPr>
              <w:t>Question</w:t>
            </w:r>
          </w:p>
        </w:tc>
        <w:tc>
          <w:tcPr>
            <w:tcW w:type="dxa" w:w="1881"/>
            <w:shd w:val="clear" w:color="auto" w:fill="BDD7EE"/>
          </w:tcPr>
          <w:p>
            <w:r>
              <w:rPr>
                <w:b/>
                <w:sz w:val="17"/>
              </w:rPr>
              <w:t>If yes</w:t>
            </w:r>
          </w:p>
        </w:tc>
        <w:tc>
          <w:tcPr>
            <w:tcW w:type="dxa" w:w="1881"/>
            <w:shd w:val="clear" w:color="auto" w:fill="BDD7EE"/>
          </w:tcPr>
          <w:p>
            <w:r>
              <w:rPr>
                <w:b/>
                <w:sz w:val="17"/>
              </w:rPr>
              <w:t>If no</w:t>
            </w:r>
          </w:p>
        </w:tc>
        <w:tc>
          <w:tcPr>
            <w:tcW w:type="dxa" w:w="1881"/>
            <w:shd w:val="clear" w:color="auto" w:fill="BDD7EE"/>
          </w:tcPr>
          <w:p>
            <w:r>
              <w:rPr>
                <w:b/>
                <w:sz w:val="17"/>
              </w:rPr>
              <w:t>Effect on device</w:t>
            </w:r>
          </w:p>
        </w:tc>
      </w:tr>
      <w:tr>
        <w:tc>
          <w:tcPr>
            <w:tcW w:type="dxa" w:w="1881"/>
          </w:tcPr>
          <w:p>
            <w:r/>
            <w:r>
              <w:rPr>
                <w:b w:val="0"/>
                <w:sz w:val="18"/>
              </w:rPr>
              <w:t>L1 — Contact consent</w:t>
            </w:r>
          </w:p>
        </w:tc>
        <w:tc>
          <w:tcPr>
            <w:tcW w:type="dxa" w:w="1881"/>
          </w:tcPr>
          <w:p>
            <w:r/>
            <w:r>
              <w:rPr>
                <w:b w:val="0"/>
                <w:sz w:val="18"/>
              </w:rPr>
              <w:t>Can we contact you about future research opportunities?</w:t>
            </w:r>
          </w:p>
        </w:tc>
        <w:tc>
          <w:tcPr>
            <w:tcW w:type="dxa" w:w="1881"/>
          </w:tcPr>
          <w:p>
            <w:r/>
            <w:r>
              <w:rPr>
                <w:b w:val="0"/>
                <w:sz w:val="18"/>
              </w:rPr>
              <w:t>Provide preferred contact method + frequency limit. POA holders upload POA (human review, 3 business days, annual re-verification).</w:t>
            </w:r>
          </w:p>
        </w:tc>
        <w:tc>
          <w:tcPr>
            <w:tcW w:type="dxa" w:w="1881"/>
          </w:tcPr>
          <w:p>
            <w:r/>
            <w:r>
              <w:rPr>
                <w:b w:val="0"/>
                <w:sz w:val="18"/>
              </w:rPr>
              <w:t>No research contact. All features unchanged.</w:t>
            </w:r>
          </w:p>
        </w:tc>
        <w:tc>
          <w:tcPr>
            <w:tcW w:type="dxa" w:w="1881"/>
          </w:tcPr>
          <w:p>
            <w:r/>
            <w:r>
              <w:rPr>
                <w:b w:val="0"/>
                <w:sz w:val="18"/>
              </w:rPr>
              <w:t>None — device fully functional regardless</w:t>
            </w:r>
          </w:p>
        </w:tc>
      </w:tr>
      <w:tr>
        <w:tc>
          <w:tcPr>
            <w:tcW w:type="dxa" w:w="1881"/>
          </w:tcPr>
          <w:p>
            <w:r/>
            <w:r>
              <w:rPr>
                <w:b w:val="0"/>
                <w:sz w:val="18"/>
              </w:rPr>
              <w:t>L2 — Category consent</w:t>
            </w:r>
          </w:p>
        </w:tc>
        <w:tc>
          <w:tcPr>
            <w:tcW w:type="dxa" w:w="1881"/>
          </w:tcPr>
          <w:p>
            <w:r/>
            <w:r>
              <w:rPr>
                <w:b w:val="0"/>
                <w:sz w:val="18"/>
              </w:rPr>
              <w:t>Which research areas? (9 categories: AD/dementia, Depression, PTSD, TBI, Sleep, Attention, Parkinson's, Healthy ageing, Visual health)</w:t>
            </w:r>
          </w:p>
        </w:tc>
        <w:tc>
          <w:tcPr>
            <w:tcW w:type="dxa" w:w="1881"/>
          </w:tcPr>
          <w:p>
            <w:r/>
            <w:r>
              <w:rPr>
                <w:b w:val="0"/>
                <w:sz w:val="18"/>
              </w:rPr>
              <w:t>Per-project contact for selected categories only. Each project is a fresh decision.</w:t>
            </w:r>
          </w:p>
        </w:tc>
        <w:tc>
          <w:tcPr>
            <w:tcW w:type="dxa" w:w="1881"/>
          </w:tcPr>
          <w:p>
            <w:r/>
            <w:r>
              <w:rPr>
                <w:b w:val="0"/>
                <w:sz w:val="18"/>
              </w:rPr>
              <w:t>Not contacted for that category.</w:t>
            </w:r>
          </w:p>
        </w:tc>
        <w:tc>
          <w:tcPr>
            <w:tcW w:type="dxa" w:w="1881"/>
          </w:tcPr>
          <w:p>
            <w:r/>
            <w:r>
              <w:rPr>
                <w:b w:val="0"/>
                <w:sz w:val="18"/>
              </w:rPr>
              <w:t>None</w:t>
            </w:r>
          </w:p>
        </w:tc>
      </w:tr>
      <w:tr>
        <w:tc>
          <w:tcPr>
            <w:tcW w:type="dxa" w:w="1881"/>
          </w:tcPr>
          <w:p>
            <w:r/>
            <w:r>
              <w:rPr>
                <w:b w:val="0"/>
                <w:sz w:val="18"/>
              </w:rPr>
              <w:t>L3 — Blanket consent</w:t>
            </w:r>
          </w:p>
        </w:tc>
        <w:tc>
          <w:tcPr>
            <w:tcW w:type="dxa" w:w="1881"/>
          </w:tcPr>
          <w:p>
            <w:r/>
            <w:r>
              <w:rPr>
                <w:b w:val="0"/>
                <w:sz w:val="18"/>
              </w:rPr>
              <w:t>Pre-approve all NeurOne-reviewed research?</w:t>
            </w:r>
          </w:p>
        </w:tc>
        <w:tc>
          <w:tcPr>
            <w:tcW w:type="dxa" w:w="1881"/>
          </w:tcPr>
          <w:p>
            <w:r/>
            <w:r>
              <w:rPr>
                <w:b w:val="0"/>
                <w:sz w:val="18"/>
              </w:rPr>
              <w:t>Data included in all studies. STILL receives per-study engagement notifications (not consent requests). Irreversibility notice displayed: once included in published study, individual withdrawal from that dataset not possible; however consent withdrawal immediately stops all future data flows from any time period.</w:t>
            </w:r>
          </w:p>
        </w:tc>
        <w:tc>
          <w:tcPr>
            <w:tcW w:type="dxa" w:w="1881"/>
          </w:tcPr>
          <w:p>
            <w:r/>
            <w:r>
              <w:rPr>
                <w:b w:val="0"/>
                <w:sz w:val="18"/>
              </w:rPr>
              <w:t>Per-category and per-project process applies.</w:t>
            </w:r>
          </w:p>
        </w:tc>
        <w:tc>
          <w:tcPr>
            <w:tcW w:type="dxa" w:w="1881"/>
          </w:tcPr>
          <w:p>
            <w:r/>
            <w:r>
              <w:rPr>
                <w:b w:val="0"/>
                <w:sz w:val="18"/>
              </w:rPr>
              <w:t>None</w:t>
            </w:r>
          </w:p>
        </w:tc>
      </w:tr>
      <w:tr>
        <w:tc>
          <w:tcPr>
            <w:tcW w:type="dxa" w:w="1881"/>
          </w:tcPr>
          <w:p>
            <w:r/>
            <w:r>
              <w:rPr>
                <w:b w:val="0"/>
                <w:sz w:val="18"/>
              </w:rPr>
              <w:t>L4 — Results + community</w:t>
            </w:r>
          </w:p>
        </w:tc>
        <w:tc>
          <w:tcPr>
            <w:tcW w:type="dxa" w:w="1881"/>
          </w:tcPr>
          <w:p>
            <w:r/>
            <w:r>
              <w:rPr>
                <w:b w:val="0"/>
                <w:sz w:val="18"/>
              </w:rPr>
              <w:t>Hear study results? Join suggestion portal?</w:t>
            </w:r>
          </w:p>
        </w:tc>
        <w:tc>
          <w:tcPr>
            <w:tcW w:type="dxa" w:w="1881"/>
          </w:tcPr>
          <w:p>
            <w:r/>
            <w:r>
              <w:rPr>
                <w:b w:val="0"/>
                <w:sz w:val="18"/>
              </w:rPr>
              <w:t>Plain-language results notification per study (including null results) + paper link + suggestion/voting/pledge portal.</w:t>
            </w:r>
          </w:p>
        </w:tc>
        <w:tc>
          <w:tcPr>
            <w:tcW w:type="dxa" w:w="1881"/>
          </w:tcPr>
          <w:p>
            <w:r/>
            <w:r>
              <w:rPr>
                <w:b w:val="0"/>
                <w:sz w:val="18"/>
              </w:rPr>
              <w:t>No results contact, no portal.</w:t>
            </w:r>
          </w:p>
        </w:tc>
        <w:tc>
          <w:tcPr>
            <w:tcW w:type="dxa" w:w="1881"/>
          </w:tcPr>
          <w:p>
            <w:r/>
            <w:r>
              <w:rPr>
                <w:b w:val="0"/>
                <w:sz w:val="18"/>
              </w:rPr>
              <w:t>None</w:t>
            </w:r>
          </w:p>
        </w:tc>
      </w:tr>
    </w:tbl>
    <w:p/>
    <w:p>
      <w:pPr>
        <w:pStyle w:val="Heading1"/>
      </w:pPr>
      <w:r>
        <w:rPr>
          <w:color w:val="1A1A2E"/>
          <w:sz w:val="28"/>
        </w:rPr>
        <w:t>4. Configurations + Pricing</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BDD7EE"/>
          </w:tcPr>
          <w:p>
            <w:r>
              <w:rPr>
                <w:b/>
                <w:sz w:val="17"/>
              </w:rPr>
              <w:t>Configuration</w:t>
            </w:r>
          </w:p>
        </w:tc>
        <w:tc>
          <w:tcPr>
            <w:tcW w:type="dxa" w:w="1344"/>
            <w:shd w:val="clear" w:color="auto" w:fill="BDD7EE"/>
          </w:tcPr>
          <w:p>
            <w:r>
              <w:rPr>
                <w:b/>
                <w:sz w:val="17"/>
              </w:rPr>
              <w:t>BOM</w:t>
            </w:r>
          </w:p>
        </w:tc>
        <w:tc>
          <w:tcPr>
            <w:tcW w:type="dxa" w:w="1344"/>
            <w:shd w:val="clear" w:color="auto" w:fill="BDD7EE"/>
          </w:tcPr>
          <w:p>
            <w:r>
              <w:rPr>
                <w:b/>
                <w:sz w:val="17"/>
              </w:rPr>
              <w:t>COGS</w:t>
            </w:r>
          </w:p>
        </w:tc>
        <w:tc>
          <w:tcPr>
            <w:tcW w:type="dxa" w:w="1344"/>
            <w:shd w:val="clear" w:color="auto" w:fill="BDD7EE"/>
          </w:tcPr>
          <w:p>
            <w:r>
              <w:rPr>
                <w:b/>
                <w:sz w:val="17"/>
              </w:rPr>
              <w:t>Retail</w:t>
            </w:r>
          </w:p>
        </w:tc>
        <w:tc>
          <w:tcPr>
            <w:tcW w:type="dxa" w:w="1344"/>
            <w:shd w:val="clear" w:color="auto" w:fill="BDD7EE"/>
          </w:tcPr>
          <w:p>
            <w:r>
              <w:rPr>
                <w:b/>
                <w:sz w:val="17"/>
              </w:rPr>
              <w:t>GM%</w:t>
            </w:r>
          </w:p>
        </w:tc>
        <w:tc>
          <w:tcPr>
            <w:tcW w:type="dxa" w:w="1344"/>
            <w:shd w:val="clear" w:color="auto" w:fill="BDD7EE"/>
          </w:tcPr>
          <w:p>
            <w:r>
              <w:rPr>
                <w:b/>
                <w:sz w:val="17"/>
              </w:rPr>
              <w:t>Included modalities + key items</w:t>
            </w:r>
          </w:p>
        </w:tc>
        <w:tc>
          <w:tcPr>
            <w:tcW w:type="dxa" w:w="1344"/>
            <w:shd w:val="clear" w:color="auto" w:fill="BDD7EE"/>
          </w:tcPr>
          <w:p>
            <w:r>
              <w:rPr>
                <w:b/>
                <w:sz w:val="17"/>
              </w:rPr>
              <w:t>Target customer</w:t>
            </w:r>
          </w:p>
        </w:tc>
      </w:tr>
      <w:tr>
        <w:tc>
          <w:tcPr>
            <w:tcW w:type="dxa" w:w="1344"/>
          </w:tcPr>
          <w:p>
            <w:r/>
            <w:r>
              <w:rPr>
                <w:b w:val="0"/>
                <w:sz w:val="18"/>
              </w:rPr>
              <w:t>Core — EEG only</w:t>
            </w:r>
          </w:p>
        </w:tc>
        <w:tc>
          <w:tcPr>
            <w:tcW w:type="dxa" w:w="1344"/>
          </w:tcPr>
          <w:p>
            <w:r/>
            <w:r>
              <w:rPr>
                <w:b w:val="0"/>
                <w:sz w:val="18"/>
              </w:rPr>
              <w:t>$168–169</w:t>
            </w:r>
          </w:p>
        </w:tc>
        <w:tc>
          <w:tcPr>
            <w:tcW w:type="dxa" w:w="1344"/>
          </w:tcPr>
          <w:p>
            <w:r/>
            <w:r>
              <w:rPr>
                <w:b w:val="0"/>
                <w:sz w:val="18"/>
              </w:rPr>
              <w:t>$258–260</w:t>
            </w:r>
          </w:p>
        </w:tc>
        <w:tc>
          <w:tcPr>
            <w:tcW w:type="dxa" w:w="1344"/>
          </w:tcPr>
          <w:p>
            <w:r/>
            <w:r>
              <w:rPr>
                <w:b w:val="0"/>
                <w:sz w:val="18"/>
              </w:rPr>
              <w:t>$449</w:t>
            </w:r>
          </w:p>
        </w:tc>
        <w:tc>
          <w:tcPr>
            <w:tcW w:type="dxa" w:w="1344"/>
          </w:tcPr>
          <w:p>
            <w:r/>
            <w:r>
              <w:rPr>
                <w:b w:val="0"/>
                <w:sz w:val="18"/>
              </w:rPr>
              <w:t>42%</w:t>
            </w:r>
          </w:p>
        </w:tc>
        <w:tc>
          <w:tcPr>
            <w:tcW w:type="dxa" w:w="1344"/>
          </w:tcPr>
          <w:p>
            <w:r/>
            <w:r>
              <w:rPr>
                <w:b w:val="0"/>
                <w:sz w:val="18"/>
              </w:rPr>
              <w:t>4-ch EEG · all connectivity (USB-C/BT/Wi-Fi) · EMF shielding · processor stack · 8GB eMMC · 15W charger</w:t>
            </w:r>
          </w:p>
        </w:tc>
        <w:tc>
          <w:tcPr>
            <w:tcW w:type="dxa" w:w="1344"/>
          </w:tcPr>
          <w:p>
            <w:r/>
            <w:r>
              <w:rPr>
                <w:b w:val="0"/>
                <w:sz w:val="18"/>
              </w:rPr>
              <w:t>Cautious entry buyer. Neurofeedback baseline. B2B modular base.</w:t>
            </w:r>
          </w:p>
        </w:tc>
      </w:tr>
      <w:tr>
        <w:tc>
          <w:tcPr>
            <w:tcW w:type="dxa" w:w="1344"/>
          </w:tcPr>
          <w:p>
            <w:r/>
            <w:r>
              <w:rPr>
                <w:b w:val="0"/>
                <w:sz w:val="18"/>
              </w:rPr>
              <w:t>Home Lite</w:t>
            </w:r>
          </w:p>
        </w:tc>
        <w:tc>
          <w:tcPr>
            <w:tcW w:type="dxa" w:w="1344"/>
          </w:tcPr>
          <w:p>
            <w:r/>
            <w:r>
              <w:rPr>
                <w:b w:val="0"/>
                <w:sz w:val="18"/>
              </w:rPr>
              <w:t>$265–266</w:t>
            </w:r>
          </w:p>
        </w:tc>
        <w:tc>
          <w:tcPr>
            <w:tcW w:type="dxa" w:w="1344"/>
          </w:tcPr>
          <w:p>
            <w:r/>
            <w:r>
              <w:rPr>
                <w:b w:val="0"/>
                <w:sz w:val="18"/>
              </w:rPr>
              <w:t>$370–372</w:t>
            </w:r>
          </w:p>
        </w:tc>
        <w:tc>
          <w:tcPr>
            <w:tcW w:type="dxa" w:w="1344"/>
          </w:tcPr>
          <w:p>
            <w:r/>
            <w:r>
              <w:rPr>
                <w:b w:val="0"/>
                <w:sz w:val="18"/>
              </w:rPr>
              <w:t>$599</w:t>
            </w:r>
          </w:p>
        </w:tc>
        <w:tc>
          <w:tcPr>
            <w:tcW w:type="dxa" w:w="1344"/>
          </w:tcPr>
          <w:p>
            <w:r/>
            <w:r>
              <w:rPr>
                <w:b w:val="0"/>
                <w:sz w:val="18"/>
              </w:rPr>
              <w:t>38%</w:t>
            </w:r>
          </w:p>
        </w:tc>
        <w:tc>
          <w:tcPr>
            <w:tcW w:type="dxa" w:w="1344"/>
          </w:tcPr>
          <w:p>
            <w:r/>
            <w:r>
              <w:rPr>
                <w:b w:val="0"/>
                <w:sz w:val="18"/>
              </w:rPr>
              <w:t>Core + PBM 5 zones (660+810nm, 600 LEDs) · 8-ch EEG · VNS+HRV clip · 30W charger</w:t>
            </w:r>
          </w:p>
        </w:tc>
        <w:tc>
          <w:tcPr>
            <w:tcW w:type="dxa" w:w="1344"/>
          </w:tcPr>
          <w:p>
            <w:r/>
            <w:r>
              <w:rPr>
                <w:b w:val="0"/>
                <w:sz w:val="18"/>
              </w:rPr>
              <w:t>Wellness-focused consumer. First meaningful PBM configuration.</w:t>
            </w:r>
          </w:p>
        </w:tc>
      </w:tr>
      <w:tr>
        <w:tc>
          <w:tcPr>
            <w:tcW w:type="dxa" w:w="1344"/>
          </w:tcPr>
          <w:p>
            <w:r/>
            <w:r>
              <w:rPr>
                <w:b w:val="0"/>
                <w:sz w:val="18"/>
              </w:rPr>
              <w:t>Home Standard ★</w:t>
            </w:r>
          </w:p>
        </w:tc>
        <w:tc>
          <w:tcPr>
            <w:tcW w:type="dxa" w:w="1344"/>
          </w:tcPr>
          <w:p>
            <w:r/>
            <w:r>
              <w:rPr>
                <w:b w:val="0"/>
                <w:sz w:val="18"/>
              </w:rPr>
              <w:t>$405</w:t>
            </w:r>
          </w:p>
        </w:tc>
        <w:tc>
          <w:tcPr>
            <w:tcW w:type="dxa" w:w="1344"/>
          </w:tcPr>
          <w:p>
            <w:r/>
            <w:r>
              <w:rPr>
                <w:b w:val="0"/>
                <w:sz w:val="18"/>
              </w:rPr>
              <w:t>$540</w:t>
            </w:r>
          </w:p>
        </w:tc>
        <w:tc>
          <w:tcPr>
            <w:tcW w:type="dxa" w:w="1344"/>
          </w:tcPr>
          <w:p>
            <w:r/>
            <w:r>
              <w:rPr>
                <w:b w:val="0"/>
                <w:sz w:val="18"/>
              </w:rPr>
              <w:t>$849</w:t>
            </w:r>
          </w:p>
        </w:tc>
        <w:tc>
          <w:tcPr>
            <w:tcW w:type="dxa" w:w="1344"/>
          </w:tcPr>
          <w:p>
            <w:r/>
            <w:r>
              <w:rPr>
                <w:b w:val="0"/>
                <w:sz w:val="18"/>
              </w:rPr>
              <w:t>36%</w:t>
            </w:r>
          </w:p>
        </w:tc>
        <w:tc>
          <w:tcPr>
            <w:tcW w:type="dxa" w:w="1344"/>
          </w:tcPr>
          <w:p>
            <w:r/>
            <w:r>
              <w:rPr>
                <w:b w:val="0"/>
                <w:sz w:val="18"/>
              </w:rPr>
              <w:t>All T1 modalities · hard clamshell case · braided aramid USB-C cable (spare in box) · 45W NeurOne branded GaN charger · S1 opaque shade · interface covers (installed + spare sets) · mesh cleaning brush · Boa replacement cable + hook tool · moisture-barrier electrode tip caps · humidity indicator card · pre-impregnated cleaning cloth packets</w:t>
            </w:r>
          </w:p>
        </w:tc>
        <w:tc>
          <w:tcPr>
            <w:tcW w:type="dxa" w:w="1344"/>
          </w:tcPr>
          <w:p>
            <w:r/>
            <w:r>
              <w:rPr>
                <w:b w:val="0"/>
                <w:sz w:val="18"/>
              </w:rPr>
              <w:t>Primary flagship. Biohacker 35–65. All T1 modalities. 50× more LEDs than Vielight at 17% of the price.</w:t>
            </w:r>
          </w:p>
        </w:tc>
      </w:tr>
      <w:tr>
        <w:tc>
          <w:tcPr>
            <w:tcW w:type="dxa" w:w="1344"/>
          </w:tcPr>
          <w:p>
            <w:r/>
            <w:r>
              <w:rPr>
                <w:b w:val="0"/>
                <w:sz w:val="18"/>
              </w:rPr>
              <w:t>Home Premium</w:t>
            </w:r>
          </w:p>
        </w:tc>
        <w:tc>
          <w:tcPr>
            <w:tcW w:type="dxa" w:w="1344"/>
          </w:tcPr>
          <w:p>
            <w:r/>
            <w:r>
              <w:rPr>
                <w:b w:val="0"/>
                <w:sz w:val="18"/>
              </w:rPr>
              <w:t>$460</w:t>
            </w:r>
          </w:p>
        </w:tc>
        <w:tc>
          <w:tcPr>
            <w:tcW w:type="dxa" w:w="1344"/>
          </w:tcPr>
          <w:p>
            <w:r/>
            <w:r>
              <w:rPr>
                <w:b w:val="0"/>
                <w:sz w:val="18"/>
              </w:rPr>
              <w:t>$622</w:t>
            </w:r>
          </w:p>
        </w:tc>
        <w:tc>
          <w:tcPr>
            <w:tcW w:type="dxa" w:w="1344"/>
          </w:tcPr>
          <w:p>
            <w:r/>
            <w:r>
              <w:rPr>
                <w:b w:val="0"/>
                <w:sz w:val="18"/>
              </w:rPr>
              <w:t>$1,199</w:t>
            </w:r>
          </w:p>
        </w:tc>
        <w:tc>
          <w:tcPr>
            <w:tcW w:type="dxa" w:w="1344"/>
          </w:tcPr>
          <w:p>
            <w:r/>
            <w:r>
              <w:rPr>
                <w:b w:val="0"/>
                <w:sz w:val="18"/>
              </w:rPr>
              <w:t>48%</w:t>
            </w:r>
          </w:p>
        </w:tc>
        <w:tc>
          <w:tcPr>
            <w:tcW w:type="dxa" w:w="1344"/>
          </w:tcPr>
          <w:p>
            <w:r/>
            <w:r>
              <w:rPr>
                <w:b w:val="0"/>
                <w:sz w:val="18"/>
              </w:rPr>
              <w:t>All T1 + EC lens (+$89 value) · 2yr warranty · priority support · 45W branded GaN charger</w:t>
            </w:r>
          </w:p>
        </w:tc>
        <w:tc>
          <w:tcPr>
            <w:tcW w:type="dxa" w:w="1344"/>
          </w:tcPr>
          <w:p>
            <w:r/>
            <w:r>
              <w:rPr>
                <w:b w:val="0"/>
                <w:sz w:val="18"/>
              </w:rPr>
              <w:t>High-income buyer. Premium lens day-one. Highest T1 gross margin.</w:t>
            </w:r>
          </w:p>
        </w:tc>
      </w:tr>
      <w:tr>
        <w:tc>
          <w:tcPr>
            <w:tcW w:type="dxa" w:w="1344"/>
          </w:tcPr>
          <w:p>
            <w:r/>
            <w:r>
              <w:rPr>
                <w:b w:val="0"/>
                <w:sz w:val="18"/>
              </w:rPr>
              <w:t>Pro Entry</w:t>
            </w:r>
          </w:p>
        </w:tc>
        <w:tc>
          <w:tcPr>
            <w:tcW w:type="dxa" w:w="1344"/>
          </w:tcPr>
          <w:p>
            <w:r/>
            <w:r>
              <w:rPr>
                <w:b w:val="0"/>
                <w:sz w:val="18"/>
              </w:rPr>
              <w:t>$833</w:t>
            </w:r>
          </w:p>
        </w:tc>
        <w:tc>
          <w:tcPr>
            <w:tcW w:type="dxa" w:w="1344"/>
          </w:tcPr>
          <w:p>
            <w:r/>
            <w:r>
              <w:rPr>
                <w:b w:val="0"/>
                <w:sz w:val="18"/>
              </w:rPr>
              <w:t>$1,365</w:t>
            </w:r>
          </w:p>
        </w:tc>
        <w:tc>
          <w:tcPr>
            <w:tcW w:type="dxa" w:w="1344"/>
          </w:tcPr>
          <w:p>
            <w:r/>
            <w:r>
              <w:rPr>
                <w:b w:val="0"/>
                <w:sz w:val="18"/>
              </w:rPr>
              <w:t>$4,999</w:t>
            </w:r>
          </w:p>
        </w:tc>
        <w:tc>
          <w:tcPr>
            <w:tcW w:type="dxa" w:w="1344"/>
          </w:tcPr>
          <w:p>
            <w:r/>
            <w:r>
              <w:rPr>
                <w:b w:val="0"/>
                <w:sz w:val="18"/>
              </w:rPr>
              <w:t>73%</w:t>
            </w:r>
          </w:p>
        </w:tc>
        <w:tc>
          <w:tcPr>
            <w:tcW w:type="dxa" w:w="1344"/>
          </w:tcPr>
          <w:p>
            <w:r/>
            <w:r>
              <w:rPr>
                <w:b w:val="0"/>
                <w:sz w:val="18"/>
              </w:rPr>
              <w:t>All T1 + 21-ch qEEG · 1170nm deep PBM · clinical tACS · HIPAA cloud · sLORETA · 65W branded GaN charger</w:t>
            </w:r>
          </w:p>
        </w:tc>
        <w:tc>
          <w:tcPr>
            <w:tcW w:type="dxa" w:w="1344"/>
          </w:tcPr>
          <w:p>
            <w:r/>
            <w:r>
              <w:rPr>
                <w:b w:val="0"/>
                <w:sz w:val="18"/>
              </w:rPr>
              <w:t>Neurology clinic, concussion rehab, academic PI.</w:t>
            </w:r>
          </w:p>
        </w:tc>
      </w:tr>
      <w:tr>
        <w:tc>
          <w:tcPr>
            <w:tcW w:type="dxa" w:w="1344"/>
          </w:tcPr>
          <w:p>
            <w:r/>
            <w:r>
              <w:rPr>
                <w:b w:val="0"/>
                <w:sz w:val="18"/>
              </w:rPr>
              <w:t>Pro Full</w:t>
            </w:r>
          </w:p>
        </w:tc>
        <w:tc>
          <w:tcPr>
            <w:tcW w:type="dxa" w:w="1344"/>
          </w:tcPr>
          <w:p>
            <w:r/>
            <w:r>
              <w:rPr>
                <w:b w:val="0"/>
                <w:sz w:val="18"/>
              </w:rPr>
              <w:t>$1,506</w:t>
            </w:r>
          </w:p>
        </w:tc>
        <w:tc>
          <w:tcPr>
            <w:tcW w:type="dxa" w:w="1344"/>
          </w:tcPr>
          <w:p>
            <w:r/>
            <w:r>
              <w:rPr>
                <w:b w:val="0"/>
                <w:sz w:val="18"/>
              </w:rPr>
              <w:t>$2,628</w:t>
            </w:r>
          </w:p>
        </w:tc>
        <w:tc>
          <w:tcPr>
            <w:tcW w:type="dxa" w:w="1344"/>
          </w:tcPr>
          <w:p>
            <w:r/>
            <w:r>
              <w:rPr>
                <w:b w:val="0"/>
                <w:sz w:val="18"/>
              </w:rPr>
              <w:t>$13,999</w:t>
            </w:r>
          </w:p>
        </w:tc>
        <w:tc>
          <w:tcPr>
            <w:tcW w:type="dxa" w:w="1344"/>
          </w:tcPr>
          <w:p>
            <w:r/>
            <w:r>
              <w:rPr>
                <w:b w:val="0"/>
                <w:sz w:val="18"/>
              </w:rPr>
              <w:t>81%</w:t>
            </w:r>
          </w:p>
        </w:tc>
        <w:tc>
          <w:tcPr>
            <w:tcW w:type="dxa" w:w="1344"/>
          </w:tcPr>
          <w:p>
            <w:r/>
            <w:r>
              <w:rPr>
                <w:b w:val="0"/>
                <w:sz w:val="18"/>
              </w:rPr>
              <w:t>All T2 + TMS hub · multi-patient dashboard · scripting API · FHIR R4 · $1,800/yr service · 2× 65W chargers</w:t>
            </w:r>
          </w:p>
        </w:tc>
        <w:tc>
          <w:tcPr>
            <w:tcW w:type="dxa" w:w="1344"/>
          </w:tcPr>
          <w:p>
            <w:r/>
            <w:r>
              <w:rPr>
                <w:b w:val="0"/>
                <w:sz w:val="18"/>
              </w:rPr>
              <w:t>Academic medical center, psychiatry clinic, neuromodulation research program.</w:t>
            </w:r>
          </w:p>
        </w:tc>
      </w:tr>
    </w:tbl>
    <w:p/>
    <w:p>
      <w:r>
        <w:rPr>
          <w:b w:val="0"/>
          <w:sz w:val="18"/>
        </w:rPr>
        <w:t>Charger policy (locked): Charger scaled to peak draw of configuration. Auto-included at every upgrade by serial number tracking. Upfront 65W upgrade option ($19 at-cost) offered at checkout as intent signal. EU note: Chargers are branded recommendations, not proprietary requirements. Any PD-compliant charger must work. App displays "power level: reduced" informatively, never blocks.</w:t>
      </w:r>
    </w:p>
    <w:p/>
    <w:p>
      <w:pPr>
        <w:pStyle w:val="Heading1"/>
      </w:pPr>
      <w:r>
        <w:rPr>
          <w:color w:val="1A1A2E"/>
          <w:sz w:val="28"/>
        </w:rPr>
        <w:t>5. Hardware + Firmware Specifications</w:t>
      </w:r>
    </w:p>
    <w:p>
      <w:pPr>
        <w:pStyle w:val="Heading2"/>
      </w:pPr>
      <w:r>
        <w:rPr>
          <w:color w:val="1A1A2E"/>
          <w:sz w:val="24"/>
        </w:rPr>
        <w:t>5.1 Processor stack</w:t>
      </w:r>
    </w:p>
    <w:p>
      <w:pPr>
        <w:pStyle w:val="ListBullet"/>
        <w:ind w:left="283"/>
      </w:pPr>
      <w:r>
        <w:rPr>
          <w:b w:val="0"/>
          <w:sz w:val="19"/>
        </w:rPr>
        <w:t>Main: NXP i.MX RT1062 · Cortex-M7 · 600MHz · FPU+DSP+SIMD · 1MB on-chip SRAM + 32MB LPSDR4 · USB-HS OTG · FreeRTOS · ~1.1% CPU at full load (98.9% headroom for ML)</w:t>
      </w:r>
    </w:p>
    <w:p>
      <w:pPr>
        <w:pStyle w:val="ListBullet"/>
        <w:ind w:left="283"/>
      </w:pPr>
      <w:r>
        <w:rPr>
          <w:b w:val="0"/>
          <w:sz w:val="19"/>
        </w:rPr>
        <w:t>Safety MCU: STM32G071 (NOT G031 — G031 has only 8KB SRAM, insufficient for EMF firmware) · Cortex-M0+ · 64MHz · 36KB SRAM · 128KB flash · bare-metal · owns all stimulation GPIO enable lines · +$0.45 BOM</w:t>
      </w:r>
    </w:p>
    <w:p>
      <w:pPr>
        <w:pStyle w:val="ListBullet"/>
        <w:ind w:left="283"/>
      </w:pPr>
      <w:r>
        <w:rPr>
          <w:b w:val="0"/>
          <w:sz w:val="19"/>
        </w:rPr>
        <w:t>Storage: 8GB industrial eMMC (SLC cache, 30,000+ P/E cycles) · LittleFS filesystem · 9-partition GPT layout per NP-FW-EMMC-001 Rev A · UHDR 6,903 MiB (Argon2id key) + SHDR 512 MiB (HKDF manufacturing key)</w:t>
      </w:r>
    </w:p>
    <w:p>
      <w:pPr>
        <w:pStyle w:val="ListBullet"/>
        <w:ind w:left="283"/>
      </w:pPr>
      <w:r>
        <w:rPr>
          <w:b w:val="0"/>
          <w:sz w:val="19"/>
        </w:rPr>
        <w:t>Connectivity: USB-C 3.2 Gen1 (default, zero RF, &lt;1ms) · BT 5.3 LE Audio · Wi-Fi 6 · antennas in control hub NOT headset · single rear toggle</w:t>
      </w:r>
    </w:p>
    <w:p>
      <w:pPr>
        <w:pStyle w:val="ListBullet"/>
        <w:ind w:left="283"/>
      </w:pPr>
      <w:r>
        <w:rPr>
          <w:b w:val="0"/>
          <w:sz w:val="19"/>
        </w:rPr>
        <w:t>IEC 62304 classifications (NP-SW-001 Rev A): Safety MCU = Class C · Main processor = Class B · iOS/Android app = Class B</w:t>
      </w:r>
    </w:p>
    <w:p>
      <w:pPr>
        <w:pStyle w:val="Heading2"/>
      </w:pPr>
      <w:r>
        <w:rPr>
          <w:color w:val="1A1A2E"/>
          <w:sz w:val="24"/>
        </w:rPr>
        <w:t>5.2 eMMC partition architecture (NP-FW-EMMC-001 Rev A — locked)</w:t>
      </w:r>
    </w:p>
    <w:p>
      <w:pPr>
        <w:pStyle w:val="ListBullet"/>
        <w:ind w:left="283"/>
      </w:pPr>
      <w:r>
        <w:rPr>
          <w:b w:val="0"/>
          <w:sz w:val="19"/>
        </w:rPr>
        <w:t>Partition layout (9-partition GPT, 8,192 MiB total user area): Firmware Bank A (128 MiB, write-protected production) · Firmware Bank B (128 MiB, OTA target) · Safety MCU FW staging (4 MiB) · Config/Calibration (16 MiB) · SHDR (512 MiB) · UHDR (6,903 MiB, ~84% user area) · Scratch (500 MiB, zeroed on boot)</w:t>
      </w:r>
    </w:p>
    <w:p>
      <w:pPr>
        <w:pStyle w:val="ListBullet"/>
        <w:ind w:left="283"/>
      </w:pPr>
      <w:r>
        <w:rPr>
          <w:b w:val="0"/>
          <w:sz w:val="19"/>
        </w:rPr>
        <w:t>UHDR encryption: AES-256-XTS, Argon2id key derivation (64 MiB memory, 4 iterations, p=1, 64-byte output → K1+K2), biometric/PIN input, 32-byte TRNG salt in Config partition. NeurOne never holds the decryption key.</w:t>
      </w:r>
    </w:p>
    <w:p>
      <w:pPr>
        <w:pStyle w:val="ListBullet"/>
        <w:ind w:left="283"/>
      </w:pPr>
      <w:r>
        <w:rPr>
          <w:b w:val="0"/>
          <w:sz w:val="19"/>
        </w:rPr>
        <w:t>SHDR encryption: AES-256-XTS, HKDF-SHA256 from NeurOne manufacturing root key + eMMC CID hash, stored in Config under SNVS OTPMK. NeurOne can decrypt for warranty/fleet analytics.</w:t>
      </w:r>
    </w:p>
    <w:p>
      <w:pPr>
        <w:pStyle w:val="ListBullet"/>
        <w:ind w:left="283"/>
      </w:pPr>
      <w:r>
        <w:rPr>
          <w:b w:val="0"/>
          <w:sz w:val="19"/>
        </w:rPr>
        <w:t>Dual-bank OTA: Ed25519 signature verification on all firmware images before boot. SNVS_LPGPR0 boot bank flag. Rollback after 3 failed boot attempts of OTA candidate. USB-C DFU recovery always available.</w:t>
      </w:r>
    </w:p>
    <w:p>
      <w:pPr>
        <w:pStyle w:val="ListBullet"/>
        <w:ind w:left="283"/>
      </w:pPr>
      <w:r>
        <w:rPr>
          <w:b w:val="0"/>
          <w:sz w:val="19"/>
        </w:rPr>
        <w:t>Safety MCU firmware: NEVER automated OTA. Explicit user confirmation + page-by-page SPI flash with readback required.</w:t>
      </w:r>
    </w:p>
    <w:p>
      <w:pPr>
        <w:pStyle w:val="ListBullet"/>
        <w:ind w:left="283"/>
      </w:pPr>
      <w:r>
        <w:rPr>
          <w:b w:val="0"/>
          <w:sz w:val="19"/>
        </w:rPr>
        <w:t>Write endurance monitoring: EXT_CSD wear indicator + LittleFS block utilisation logged to SHDR every boot and every 100 sessions. PRE_EOL_INFO=0x03 blocks session start.</w:t>
      </w:r>
    </w:p>
    <w:p>
      <w:pPr>
        <w:pStyle w:val="Heading2"/>
      </w:pPr>
      <w:r>
        <w:rPr>
          <w:color w:val="1A1A2E"/>
          <w:sz w:val="24"/>
        </w:rPr>
        <w:t>5.3 Safety architecture</w:t>
      </w:r>
    </w:p>
    <w:p>
      <w:pPr>
        <w:pStyle w:val="ListBullet"/>
        <w:ind w:left="283"/>
      </w:pPr>
      <w:r>
        <w:rPr>
          <w:b w:val="0"/>
          <w:sz w:val="19"/>
        </w:rPr>
        <w:t>Safety MCU physically owns all stimulation enable GPIO — app crash cannot cause unsafe stimulation</w:t>
      </w:r>
    </w:p>
    <w:p>
      <w:pPr>
        <w:pStyle w:val="ListBullet"/>
        <w:ind w:left="283"/>
      </w:pPr>
      <w:r>
        <w:rPr>
          <w:b w:val="0"/>
          <w:sz w:val="19"/>
        </w:rPr>
        <w:t>SPI heartbeat from main processor every 200ms; 1.5s watchdog → all-stimulation cutoff &lt;50ms</w:t>
      </w:r>
    </w:p>
    <w:p>
      <w:pPr>
        <w:pStyle w:val="ListBullet"/>
        <w:ind w:left="283"/>
      </w:pPr>
      <w:r>
        <w:rPr>
          <w:b w:val="0"/>
          <w:sz w:val="19"/>
        </w:rPr>
        <w:t>Dual-processor isolation: IEC 62304 Class C (safety MCU, ~500 lines bare-metal) + Class B (main processor) separately certified</w:t>
      </w:r>
    </w:p>
    <w:p>
      <w:pPr>
        <w:pStyle w:val="ListBullet"/>
        <w:ind w:left="283"/>
      </w:pPr>
      <w:r>
        <w:rPr>
          <w:b w:val="0"/>
          <w:sz w:val="19"/>
        </w:rPr>
        <w:t>Session protocol cryptographically signed by app — headset rejects unsigned or corrupted protocols</w:t>
      </w:r>
    </w:p>
    <w:p>
      <w:pPr>
        <w:pStyle w:val="ListBullet"/>
        <w:ind w:left="283"/>
      </w:pPr>
      <w:r>
        <w:rPr>
          <w:b w:val="0"/>
          <w:sz w:val="19"/>
        </w:rPr>
        <w:t>Cardiac interlock (cervical VNS): Safety MCU monitors HR via RPEAK_IN GPIO. HR change &gt;15 BPM within 5s → GPIO LOW within &lt;5.1ms worst-case (&lt;100ms spec). 30s re-enable lockout + app confirm + repeat impedance check.</w:t>
      </w:r>
    </w:p>
    <w:p>
      <w:pPr>
        <w:pStyle w:val="ListBullet"/>
        <w:ind w:left="283"/>
      </w:pPr>
      <w:r>
        <w:rPr>
          <w:b w:val="0"/>
          <w:sz w:val="19"/>
        </w:rPr>
        <w:t>Photoparoxysmal detection: Oz electrode, &lt;200ms goggle halt, clinician-unlock required for 3–30Hz range</w:t>
      </w:r>
    </w:p>
    <w:p>
      <w:pPr>
        <w:pStyle w:val="ListBullet"/>
        <w:ind w:left="283"/>
      </w:pPr>
      <w:r>
        <w:rPr>
          <w:b w:val="0"/>
          <w:sz w:val="19"/>
        </w:rPr>
        <w:t>All charge density limits (40µC/cm²) enforced by safety MCU hardware — app cannot override</w:t>
      </w:r>
    </w:p>
    <w:p>
      <w:pPr>
        <w:pStyle w:val="Heading2"/>
      </w:pPr>
      <w:r>
        <w:rPr>
          <w:color w:val="1A1A2E"/>
          <w:sz w:val="24"/>
        </w:rPr>
        <w:t>5.4 1064nm smart zone module (Path B — locked)</w:t>
      </w:r>
    </w:p>
    <w:p>
      <w:pPr>
        <w:pStyle w:val="ListBullet"/>
        <w:ind w:left="283"/>
      </w:pPr>
      <w:r>
        <w:rPr>
          <w:b w:val="0"/>
          <w:sz w:val="19"/>
        </w:rPr>
        <w:t>On-module driver: Microchip ATtiny402 I2C slave (SOT-23-8, address 0x30) + 3× Infineon IRLML6344TRPBF N-channel MOSFETs (SOT-23, RDS(on)=27mΩ). Total driver BOM $1.00.</w:t>
      </w:r>
    </w:p>
    <w:p>
      <w:pPr>
        <w:pStyle w:val="ListBullet"/>
        <w:ind w:left="283"/>
      </w:pPr>
      <w:r>
        <w:rPr>
          <w:b w:val="0"/>
          <w:sz w:val="19"/>
        </w:rPr>
        <w:t>FPC variant NP-FPC-ZM-SM-01: 550 LEDs (200×660nm CH_A + 200×808nm CH_B + 150×1064nm CH_C) in interspersed tri-wavelength pattern. Footprint 66×78mm (unchanged from base module).</w:t>
      </w:r>
    </w:p>
    <w:p>
      <w:pPr>
        <w:pStyle w:val="ListBullet"/>
        <w:ind w:left="283"/>
      </w:pPr>
      <w:r>
        <w:rPr>
          <w:b w:val="0"/>
          <w:sz w:val="19"/>
        </w:rPr>
        <w:t>InGaAs PDs: Hamamatsu G12180-010A (0.90 A/W at 1064nm, &lt;1nA dark current). Annular ring PD1/PD2 at X=33.0mm, Y=39.0mm.</w:t>
      </w:r>
    </w:p>
    <w:p>
      <w:pPr>
        <w:pStyle w:val="ListBullet"/>
        <w:ind w:left="283"/>
      </w:pPr>
      <w:r>
        <w:rPr>
          <w:b w:val="0"/>
          <w:sz w:val="19"/>
        </w:rPr>
        <w:t>1064nm emitters: EPITEX L1064-02AU via Marubeni.</w:t>
      </w:r>
    </w:p>
    <w:p>
      <w:pPr>
        <w:pStyle w:val="ListBullet"/>
        <w:ind w:left="283"/>
      </w:pPr>
      <w:r>
        <w:rPr>
          <w:b w:val="0"/>
          <w:sz w:val="19"/>
        </w:rPr>
        <w:t>Smart module ZONE_ID = 3.3kΩ resistor (pin 18) → ADC &lt; 1100 counts (12-bit, 10kΩ pull-up, 3.3V ref). Triggers: (1) GAIN_SEL assert (TIA Rf 47kΩ→22kΩ via Vishay DG2788A), (2) LPI2C3 bus enable per slot (400kHz fast mode), (3) I2C probe to 0x30.</w:t>
      </w:r>
    </w:p>
    <w:p>
      <w:pPr>
        <w:pStyle w:val="ListBullet"/>
        <w:ind w:left="283"/>
      </w:pPr>
      <w:r>
        <w:rPr>
          <w:b w:val="0"/>
          <w:sz w:val="19"/>
        </w:rPr>
        <w:t>Mold variant NP-TOOL-ZM-SM-001 Rev A: rigidizer cavity 24×16×3.5mm. Asymmetric mechanical key +2.0mm lateral face width — prevents physical mis-insertion into un-upgraded hub (without TIA gain switch).</w:t>
      </w:r>
    </w:p>
    <w:p>
      <w:pPr>
        <w:pStyle w:val="ListBullet"/>
        <w:ind w:left="283"/>
      </w:pPr>
      <w:r>
        <w:rPr>
          <w:b w:val="0"/>
          <w:sz w:val="19"/>
        </w:rPr>
        <w:t>BOM delta: +$23–28 vs base module. Retail $149–199/zone or $599–699 all-5-zone kit.</w:t>
      </w:r>
    </w:p>
    <w:p>
      <w:pPr>
        <w:pStyle w:val="ListBullet"/>
        <w:ind w:left="283"/>
      </w:pPr>
      <w:r>
        <w:rPr>
          <w:b w:val="0"/>
          <w:sz w:val="19"/>
        </w:rPr>
        <w:t>Session dose limits: 660/808nm = 60 J/cm², 1064nm = 36 J/cm². Aggregate irradiance ceiling 600 mW/cm² three-channel combined (OI-PBM-05 — pending RISK-03 scope expansion opinion).</w:t>
      </w:r>
    </w:p>
    <w:p>
      <w:pPr>
        <w:pStyle w:val="ListBullet"/>
        <w:ind w:left="283"/>
      </w:pPr>
      <w:r>
        <w:rPr>
          <w:b w:val="0"/>
          <w:sz w:val="19"/>
        </w:rPr>
        <w:t>Hub PCB Rev B (NP-HW-HUB-001 Rev B): 5× Vishay DG2788A dual-SPDT switches (one per slot) + NXP PCA9546A I2C bus switch (4-channel, 0x70). Hub BOM delta $1.41–1.91. Hub PCB Rev B Gerber build (OI-HUB-03) required before FAI-SM-04 and FAI-SM-06.</w:t>
      </w:r>
    </w:p>
    <w:p>
      <w:pPr>
        <w:pStyle w:val="ListBullet"/>
        <w:ind w:left="283"/>
      </w:pPr>
      <w:r>
        <w:rPr>
          <w:b w:val="0"/>
          <w:sz w:val="19"/>
        </w:rPr>
        <w:t>FAI status: SM-01,-02,-03,-05,-09,-10,-11 = Software PASS (PR #57). SM-04,-06,-07,-08 = Hardware bench PENDING.</w:t>
      </w:r>
    </w:p>
    <w:p>
      <w:pPr>
        <w:pStyle w:val="Heading2"/>
      </w:pPr>
      <w:r>
        <w:rPr>
          <w:color w:val="1A1A2E"/>
          <w:sz w:val="24"/>
        </w:rPr>
        <w:t>5.5 sLORETA-guided HD-tDCS (T2 — NP-FW-HD-001 Rev A, G3-07 SOFTWARE BASELINED)</w:t>
      </w:r>
    </w:p>
    <w:p>
      <w:pPr>
        <w:pStyle w:val="ListBullet"/>
        <w:ind w:left="283"/>
      </w:pPr>
      <w:r>
        <w:rPr>
          <w:b w:val="0"/>
          <w:sz w:val="19"/>
        </w:rPr>
        <w:t>Scalar sLORETA weight matrix W (2447 voxels × 21 channels, 7mm MNI grid, ≈205KB) precomputed offline. Loaded into LPSDR4 at session start.</w:t>
      </w:r>
    </w:p>
    <w:p>
      <w:pPr>
        <w:pStyle w:val="ListBullet"/>
        <w:ind w:left="283"/>
      </w:pPr>
      <w:r>
        <w:rPr>
          <w:b w:val="0"/>
          <w:sz w:val="19"/>
        </w:rPr>
        <w:t>On-device runtime: 64-epoch covariance accumulation (C = 21×21 symmetric, 1.8KB SRAM) → voxel source power map (P[v] = W_v^T C W_v, 2447 floats, 9.6KB LPSDR4) → peak detection → MNI→10-20 electrode mapping.</w:t>
      </w:r>
    </w:p>
    <w:p>
      <w:pPr>
        <w:pStyle w:val="ListBullet"/>
        <w:ind w:left="283"/>
      </w:pPr>
      <w:r>
        <w:rPr>
          <w:b w:val="0"/>
          <w:sz w:val="19"/>
        </w:rPr>
        <w:t>4×1 ring montage: E_center = nearest electrode to MNI target; 4 cathodes = nearest neighbours with ≥2 quadrant angular spread constraint. Current: anode I, each cathode −I/4 (charge balanced).</w:t>
      </w:r>
    </w:p>
    <w:p>
      <w:pPr>
        <w:pStyle w:val="ListBullet"/>
        <w:ind w:left="283"/>
      </w:pPr>
      <w:r>
        <w:rPr>
          <w:b w:val="0"/>
          <w:sz w:val="19"/>
        </w:rPr>
        <w:t>Safety: 40µC/cm² charge density limit enforced by safety MCU. Software monitor aborts at 95% of limit. ≤2mA per electrode. Concurrent EEG: 200µs blanking on current step edges, ≥20dB SNR spec.</w:t>
      </w:r>
    </w:p>
    <w:p>
      <w:pPr>
        <w:pStyle w:val="ListBullet"/>
        <w:ind w:left="283"/>
      </w:pPr>
      <w:r>
        <w:rPr>
          <w:b w:val="0"/>
          <w:sz w:val="19"/>
        </w:rPr>
        <w:t>7 predefined clinical targets: DLPFC_L, DLPFC_R, VLPFC_L, ACC, MPFC, M1_L, M1_R. Bilateral 4×1 and standard 2-electrode fallback also implemented.</w:t>
      </w:r>
    </w:p>
    <w:p>
      <w:pPr>
        <w:pStyle w:val="ListBullet"/>
        <w:ind w:left="283"/>
      </w:pPr>
      <w:r>
        <w:rPr>
          <w:b w:val="0"/>
          <w:sz w:val="19"/>
        </w:rPr>
        <w:t>BOM delta: $0 (Ag/AgCl dual-rated already in T2 cap; tACS driver existing T2 hardware).</w:t>
      </w:r>
    </w:p>
    <w:p>
      <w:pPr>
        <w:pStyle w:val="ListBullet"/>
        <w:ind w:left="283"/>
      </w:pPr>
      <w:r>
        <w:rPr>
          <w:b w:val="0"/>
          <w:sz w:val="19"/>
        </w:rPr>
        <w:t>FAI-HD02 software PASS. Hardware FAI blocking for full G3-07 closure (require T2 prototype bench).</w:t>
      </w:r>
    </w:p>
    <w:p>
      <w:pPr>
        <w:pStyle w:val="Heading2"/>
      </w:pPr>
      <w:r>
        <w:rPr>
          <w:color w:val="1A1A2E"/>
          <w:sz w:val="24"/>
        </w:rPr>
        <w:t>5.6 Cervical VNS safety interlock (T2 — NP-FW-CVNS-001 Rev A, G3-08 SOFTWARE BASELINED)</w:t>
      </w:r>
    </w:p>
    <w:p>
      <w:pPr>
        <w:pStyle w:val="ListBullet"/>
        <w:ind w:left="283"/>
      </w:pPr>
      <w:r>
        <w:rPr>
          <w:b w:val="0"/>
          <w:sz w:val="19"/>
        </w:rPr>
        <w:t>Safety MCU (STM32G071) owns CVNS_ENABLE_L/R GPIO independently of main processor.</w:t>
      </w:r>
    </w:p>
    <w:p>
      <w:pPr>
        <w:pStyle w:val="ListBullet"/>
        <w:ind w:left="283"/>
      </w:pPr>
      <w:r>
        <w:rPr>
          <w:b w:val="0"/>
          <w:sz w:val="19"/>
        </w:rPr>
        <w:t>R-peak detection: main processor PPG detection drives RPEAK_IN GPIO pulse (5ms active-high) to safety MCU. Safety MCU measures R-R interval via TIM2 (1MHz timer).</w:t>
      </w:r>
    </w:p>
    <w:p>
      <w:pPr>
        <w:pStyle w:val="ListBullet"/>
        <w:ind w:left="283"/>
      </w:pPr>
      <w:r>
        <w:rPr>
          <w:b w:val="0"/>
          <w:sz w:val="19"/>
        </w:rPr>
        <w:t>Cardiac interlock: TIM6 ISR at 200Hz (5ms); HR change &gt;15 BPM within rolling 5s window → GPIO LOW within &lt;5.1ms worst-case (spec: &lt;100ms FAI-CV02).</w:t>
      </w:r>
    </w:p>
    <w:p>
      <w:pPr>
        <w:pStyle w:val="ListBullet"/>
        <w:ind w:left="283"/>
      </w:pPr>
      <w:r>
        <w:rPr>
          <w:b w:val="0"/>
          <w:sz w:val="19"/>
        </w:rPr>
        <w:t>Baseline cross-validation: main processor PPG-derived HR and safety MCU GPIO-timer-derived HR must agree within 5 BPM. Mismatch blocks enable.</w:t>
      </w:r>
    </w:p>
    <w:p>
      <w:pPr>
        <w:pStyle w:val="ListBullet"/>
        <w:ind w:left="283"/>
      </w:pPr>
      <w:r>
        <w:rPr>
          <w:b w:val="0"/>
          <w:sz w:val="19"/>
        </w:rPr>
        <w:t>Re-enable requires all three: 30s lockout elapsed + explicit app confirmation + repeat impedance check + baseline re-established.</w:t>
      </w:r>
    </w:p>
    <w:p>
      <w:pPr>
        <w:pStyle w:val="ListBullet"/>
        <w:ind w:left="283"/>
      </w:pPr>
      <w:r>
        <w:rPr>
          <w:b w:val="0"/>
          <w:sz w:val="19"/>
        </w:rPr>
        <w:t>510(k) Q-Sub (NP-REG-CVNS-001 Rev A): Predicate = electroCore gammaCore K163334 (cluster headache) + K173323 (migraine). SE argument: same intended use + same/safer technology (≤2 mA vs predicate ≤24 mA). Type B meeting target Month 20.</w:t>
      </w:r>
    </w:p>
    <w:p>
      <w:pPr>
        <w:pStyle w:val="ListBullet"/>
        <w:ind w:left="283"/>
      </w:pPr>
      <w:r>
        <w:rPr>
          <w:b w:val="0"/>
          <w:sz w:val="19"/>
        </w:rPr>
        <w:t>RISK-25 MITIGATED pending FAI-CV02 hardware bench. BOM delta: +$35–55 for cervical accessory module.</w:t>
      </w:r>
    </w:p>
    <w:p/>
    <w:p>
      <w:pPr>
        <w:pStyle w:val="Heading1"/>
      </w:pPr>
      <w:r>
        <w:rPr>
          <w:color w:val="1A1A2E"/>
          <w:sz w:val="28"/>
        </w:rPr>
        <w:t>6. Durability + Maintenance Engineering</w:t>
      </w:r>
    </w:p>
    <w:p>
      <w:pPr>
        <w:pStyle w:val="Heading2"/>
      </w:pPr>
      <w:r>
        <w:rPr>
          <w:color w:val="1A1A2E"/>
          <w:sz w:val="24"/>
        </w:rPr>
        <w:t>6.1 Critical design changes — must be in tooling specifications before first cut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BDD7EE"/>
          </w:tcPr>
          <w:p>
            <w:r>
              <w:rPr>
                <w:b/>
                <w:sz w:val="17"/>
              </w:rPr>
              <w:t>Change</w:t>
            </w:r>
          </w:p>
        </w:tc>
        <w:tc>
          <w:tcPr>
            <w:tcW w:type="dxa" w:w="2351"/>
            <w:shd w:val="clear" w:color="auto" w:fill="BDD7EE"/>
          </w:tcPr>
          <w:p>
            <w:r>
              <w:rPr>
                <w:b/>
                <w:sz w:val="17"/>
              </w:rPr>
              <w:t>Status</w:t>
            </w:r>
          </w:p>
        </w:tc>
        <w:tc>
          <w:tcPr>
            <w:tcW w:type="dxa" w:w="2351"/>
            <w:shd w:val="clear" w:color="auto" w:fill="BDD7EE"/>
          </w:tcPr>
          <w:p>
            <w:r>
              <w:rPr>
                <w:b/>
                <w:sz w:val="17"/>
              </w:rPr>
              <w:t>BOM delta</w:t>
            </w:r>
          </w:p>
        </w:tc>
        <w:tc>
          <w:tcPr>
            <w:tcW w:type="dxa" w:w="2351"/>
            <w:shd w:val="clear" w:color="auto" w:fill="BDD7EE"/>
          </w:tcPr>
          <w:p>
            <w:r>
              <w:rPr>
                <w:b/>
                <w:sz w:val="17"/>
              </w:rPr>
              <w:t>Rationale + tooling timing</w:t>
            </w:r>
          </w:p>
        </w:tc>
      </w:tr>
      <w:tr>
        <w:tc>
          <w:tcPr>
            <w:tcW w:type="dxa" w:w="2351"/>
          </w:tcPr>
          <w:p>
            <w:r/>
            <w:r>
              <w:rPr>
                <w:b w:val="0"/>
                <w:sz w:val="18"/>
              </w:rPr>
              <w:t>ITO → AgNW (silver nanowire) conductive lens coating</w:t>
            </w:r>
          </w:p>
        </w:tc>
        <w:tc>
          <w:tcPr>
            <w:tcW w:type="dxa" w:w="2351"/>
          </w:tcPr>
          <w:p>
            <w:r/>
            <w:r>
              <w:rPr>
                <w:b w:val="0"/>
                <w:sz w:val="18"/>
              </w:rPr>
              <w:t>PRE-TOOLING CRITICAL</w:t>
            </w:r>
          </w:p>
        </w:tc>
        <w:tc>
          <w:tcPr>
            <w:tcW w:type="dxa" w:w="2351"/>
          </w:tcPr>
          <w:p>
            <w:r/>
            <w:r>
              <w:rPr>
                <w:b w:val="0"/>
                <w:sz w:val="18"/>
              </w:rPr>
              <w:t>+$8–12/lens</w:t>
            </w:r>
          </w:p>
        </w:tc>
        <w:tc>
          <w:tcPr>
            <w:tcW w:type="dxa" w:w="2351"/>
          </w:tcPr>
          <w:p>
            <w:r/>
            <w:r>
              <w:rPr>
                <w:b w:val="0"/>
                <w:sz w:val="18"/>
              </w:rPr>
              <w:t>ITO has 0.5% strain-to-failure — cracks on any flex or point impact. AgNW tolerates 5–10% flex. Supplier qualification BLOCKING before lens tooling release (NP-TOOL-LENS-001 Rev B P-01).</w:t>
            </w:r>
          </w:p>
        </w:tc>
      </w:tr>
      <w:tr>
        <w:tc>
          <w:tcPr>
            <w:tcW w:type="dxa" w:w="2351"/>
          </w:tcPr>
          <w:p>
            <w:r/>
            <w:r>
              <w:rPr>
                <w:b w:val="0"/>
                <w:sz w:val="18"/>
              </w:rPr>
              <w:t>Hard clamshell case replaces soft pouch</w:t>
            </w:r>
          </w:p>
        </w:tc>
        <w:tc>
          <w:tcPr>
            <w:tcW w:type="dxa" w:w="2351"/>
          </w:tcPr>
          <w:p>
            <w:r/>
            <w:r>
              <w:rPr>
                <w:b w:val="0"/>
                <w:sz w:val="18"/>
              </w:rPr>
              <w:t>PRE-PRODUCTION CRITICAL</w:t>
            </w:r>
          </w:p>
        </w:tc>
        <w:tc>
          <w:tcPr>
            <w:tcW w:type="dxa" w:w="2351"/>
          </w:tcPr>
          <w:p>
            <w:r/>
            <w:r>
              <w:rPr>
                <w:b w:val="0"/>
                <w:sz w:val="18"/>
              </w:rPr>
              <w:t>+$8–14</w:t>
            </w:r>
          </w:p>
        </w:tc>
        <w:tc>
          <w:tcPr>
            <w:tcW w:type="dxa" w:w="2351"/>
          </w:tcPr>
          <w:p>
            <w:r/>
            <w:r>
              <w:rPr>
                <w:b w:val="0"/>
                <w:sz w:val="18"/>
              </w:rPr>
              <w:t>Lens scratching from bag contents certain within first month without hard case. Doubles as shipping container. Probe dock included.</w:t>
            </w:r>
          </w:p>
        </w:tc>
      </w:tr>
      <w:tr>
        <w:tc>
          <w:tcPr>
            <w:tcW w:type="dxa" w:w="2351"/>
          </w:tcPr>
          <w:p>
            <w:r/>
            <w:r>
              <w:rPr>
                <w:b w:val="0"/>
                <w:sz w:val="18"/>
              </w:rPr>
              <w:t>Intranasal probe hub dock (molded)</w:t>
            </w:r>
          </w:p>
        </w:tc>
        <w:tc>
          <w:tcPr>
            <w:tcW w:type="dxa" w:w="2351"/>
          </w:tcPr>
          <w:p>
            <w:r/>
            <w:r>
              <w:rPr>
                <w:b w:val="0"/>
                <w:sz w:val="18"/>
              </w:rPr>
              <w:t>PRE-TOOLING CRITICAL</w:t>
            </w:r>
          </w:p>
        </w:tc>
        <w:tc>
          <w:tcPr>
            <w:tcW w:type="dxa" w:w="2351"/>
          </w:tcPr>
          <w:p>
            <w:r/>
            <w:r>
              <w:rPr>
                <w:b w:val="0"/>
                <w:sz w:val="18"/>
              </w:rPr>
              <w:t>Hub retool</w:t>
            </w:r>
          </w:p>
        </w:tc>
        <w:tc>
          <w:tcPr>
            <w:tcW w:type="dxa" w:w="2351"/>
          </w:tcPr>
          <w:p>
            <w:r/>
            <w:r>
              <w:rPr>
                <w:b w:val="0"/>
                <w:sz w:val="18"/>
              </w:rPr>
              <w:t>Y-probe dropped probe-first fractures junction. Cannot be retrofitted. In hub tooling from day one.</w:t>
            </w:r>
          </w:p>
        </w:tc>
      </w:tr>
      <w:tr>
        <w:tc>
          <w:tcPr>
            <w:tcW w:type="dxa" w:w="2351"/>
          </w:tcPr>
          <w:p>
            <w:r/>
            <w:r>
              <w:rPr>
                <w:b w:val="0"/>
                <w:sz w:val="18"/>
              </w:rPr>
              <w:t>Second scalp-side PD2 per zone (RISK-14 Option B)</w:t>
            </w:r>
          </w:p>
        </w:tc>
        <w:tc>
          <w:tcPr>
            <w:tcW w:type="dxa" w:w="2351"/>
          </w:tcPr>
          <w:p>
            <w:r/>
            <w:r>
              <w:rPr>
                <w:b w:val="0"/>
                <w:sz w:val="18"/>
              </w:rPr>
              <w:t>PRE-TOOLING CRITICAL</w:t>
            </w:r>
          </w:p>
        </w:tc>
        <w:tc>
          <w:tcPr>
            <w:tcW w:type="dxa" w:w="2351"/>
          </w:tcPr>
          <w:p>
            <w:r/>
            <w:r>
              <w:rPr>
                <w:b w:val="0"/>
                <w:sz w:val="18"/>
              </w:rPr>
              <w:t>+$0.75–1.50/headset total</w:t>
            </w:r>
          </w:p>
        </w:tc>
        <w:tc>
          <w:tcPr>
            <w:tcW w:type="dxa" w:w="2351"/>
          </w:tcPr>
          <w:p>
            <w:r/>
            <w:r>
              <w:rPr>
                <w:b w:val="0"/>
                <w:sz w:val="18"/>
              </w:rPr>
              <w:t>Pin 19 (PD2_CATHODE). PD1/PD2 ratio separates PDMS fouling (PD1↓ PD2 stable) from LED aging (both↓). T1/T2 identical mold. FPC layout frozen: PD2 at X=33.0mm, Y=39.0mm (G1-15 CLOSED).</w:t>
            </w:r>
          </w:p>
        </w:tc>
      </w:tr>
      <w:tr>
        <w:tc>
          <w:tcPr>
            <w:tcW w:type="dxa" w:w="2351"/>
          </w:tcPr>
          <w:p>
            <w:r/>
            <w:r>
              <w:rPr>
                <w:b w:val="0"/>
                <w:sz w:val="18"/>
              </w:rPr>
              <w:t>Zone module connectors: Hirose FH34S-20S-0.5SH or JAE FF03 — ≥1,000-cycle ZIF</w:t>
            </w:r>
          </w:p>
        </w:tc>
        <w:tc>
          <w:tcPr>
            <w:tcW w:type="dxa" w:w="2351"/>
          </w:tcPr>
          <w:p>
            <w:r/>
            <w:r>
              <w:rPr>
                <w:b w:val="0"/>
                <w:sz w:val="18"/>
              </w:rPr>
              <w:t>PRE-PCB LAYOUT CRITICAL</w:t>
            </w:r>
          </w:p>
        </w:tc>
        <w:tc>
          <w:tcPr>
            <w:tcW w:type="dxa" w:w="2351"/>
          </w:tcPr>
          <w:p>
            <w:r/>
            <w:r>
              <w:rPr>
                <w:b w:val="0"/>
                <w:sz w:val="18"/>
              </w:rPr>
              <w:t>+$2.00</w:t>
            </w:r>
          </w:p>
        </w:tc>
        <w:tc>
          <w:tcPr>
            <w:tcW w:type="dxa" w:w="2351"/>
          </w:tcPr>
          <w:p>
            <w:r/>
            <w:r>
              <w:rPr>
                <w:b w:val="0"/>
                <w:sz w:val="18"/>
              </w:rPr>
              <w:t>0.5mm pitch, back-flip lever ZIF, ≥1,000 insertion cycles. Standard Molex ZIF FPC rated only 20–30 cycles. Molex SlimStack is board-to-board, not FPC family. Must specify before PCB layout. See NP-HW-FPC-001.</w:t>
            </w:r>
          </w:p>
        </w:tc>
      </w:tr>
      <w:tr>
        <w:tc>
          <w:tcPr>
            <w:tcW w:type="dxa" w:w="2351"/>
          </w:tcPr>
          <w:p>
            <w:r/>
            <w:r>
              <w:rPr>
                <w:b w:val="0"/>
                <w:sz w:val="18"/>
              </w:rPr>
              <w:t>Zone module sliding eject lever (RISK-22 Option A)</w:t>
            </w:r>
          </w:p>
        </w:tc>
        <w:tc>
          <w:tcPr>
            <w:tcW w:type="dxa" w:w="2351"/>
          </w:tcPr>
          <w:p>
            <w:r/>
            <w:r>
              <w:rPr>
                <w:b w:val="0"/>
                <w:sz w:val="18"/>
              </w:rPr>
              <w:t>PRE-TOOLING CRITICAL</w:t>
            </w:r>
          </w:p>
        </w:tc>
        <w:tc>
          <w:tcPr>
            <w:tcW w:type="dxa" w:w="2351"/>
          </w:tcPr>
          <w:p>
            <w:r/>
            <w:r>
              <w:rPr>
                <w:b w:val="0"/>
                <w:sz w:val="18"/>
              </w:rPr>
              <w:t>+$0.40/module</w:t>
            </w:r>
          </w:p>
        </w:tc>
        <w:tc>
          <w:tcPr>
            <w:tcW w:type="dxa" w:w="2351"/>
          </w:tcPr>
          <w:p>
            <w:r/>
            <w:r>
              <w:rPr>
                <w:b w:val="0"/>
                <w:sz w:val="18"/>
              </w:rPr>
              <w:t>10–12mm lever arm, 3:1 mechanical advantage, ≤1N extraction force. Recessed flush when closed. 316SS hinge pin. Required for users with Parkinson's/post-stroke hand weakness. HFE formative study: 5 subjects (OI-4, FAI-A15).</w:t>
            </w:r>
          </w:p>
        </w:tc>
      </w:tr>
      <w:tr>
        <w:tc>
          <w:tcPr>
            <w:tcW w:type="dxa" w:w="2351"/>
          </w:tcPr>
          <w:p>
            <w:r/>
            <w:r>
              <w:rPr>
                <w:b w:val="0"/>
                <w:sz w:val="18"/>
              </w:rPr>
              <w:t>Self-sealing co-molded silicone gasket per zone (RISK-16 Option A)</w:t>
            </w:r>
          </w:p>
        </w:tc>
        <w:tc>
          <w:tcPr>
            <w:tcW w:type="dxa" w:w="2351"/>
          </w:tcPr>
          <w:p>
            <w:r/>
            <w:r>
              <w:rPr>
                <w:b w:val="0"/>
                <w:sz w:val="18"/>
              </w:rPr>
              <w:t>PRE-TOOLING CRITICAL</w:t>
            </w:r>
          </w:p>
        </w:tc>
        <w:tc>
          <w:tcPr>
            <w:tcW w:type="dxa" w:w="2351"/>
          </w:tcPr>
          <w:p>
            <w:r/>
            <w:r>
              <w:rPr>
                <w:b w:val="0"/>
                <w:sz w:val="18"/>
              </w:rPr>
              <w:t>+$0.30–0.60/module</w:t>
            </w:r>
          </w:p>
        </w:tc>
        <w:tc>
          <w:tcPr>
            <w:tcW w:type="dxa" w:w="2351"/>
          </w:tcPr>
          <w:p>
            <w:r/>
            <w:r>
              <w:rPr>
                <w:b w:val="0"/>
                <w:sz w:val="18"/>
              </w:rPr>
              <w:t>Shore 40–50A medical silicone, D-section 2.5×2.0mm, 20% compression when seated. No user RTV. IPX4 compliant after 10 field swap cycles (FAI-IPX-02 BLOCKING test).</w:t>
            </w:r>
          </w:p>
        </w:tc>
      </w:tr>
      <w:tr>
        <w:tc>
          <w:tcPr>
            <w:tcW w:type="dxa" w:w="2351"/>
          </w:tcPr>
          <w:p>
            <w:r/>
            <w:r>
              <w:rPr>
                <w:b w:val="0"/>
                <w:sz w:val="18"/>
              </w:rPr>
              <w:t>Five-layer zone module keying (RISK-15)</w:t>
            </w:r>
          </w:p>
        </w:tc>
        <w:tc>
          <w:tcPr>
            <w:tcW w:type="dxa" w:w="2351"/>
          </w:tcPr>
          <w:p>
            <w:r/>
            <w:r>
              <w:rPr>
                <w:b w:val="0"/>
                <w:sz w:val="18"/>
              </w:rPr>
              <w:t>PRE-TOOLING CRITICAL</w:t>
            </w:r>
          </w:p>
        </w:tc>
        <w:tc>
          <w:tcPr>
            <w:tcW w:type="dxa" w:w="2351"/>
          </w:tcPr>
          <w:p>
            <w:r/>
            <w:r>
              <w:rPr>
                <w:b w:val="0"/>
                <w:sz w:val="18"/>
              </w:rPr>
              <w:t>Included in tooling</w:t>
            </w:r>
          </w:p>
        </w:tc>
        <w:tc>
          <w:tcPr>
            <w:tcW w:type="dxa" w:w="2351"/>
          </w:tcPr>
          <w:p>
            <w:r/>
            <w:r>
              <w:rPr>
                <w:b w:val="0"/>
                <w:sz w:val="18"/>
              </w:rPr>
              <w:t>Layer 1: asymmetric mechanical key (unique per zone). Layer 2: ZONE_ID resistor (ZM-01=10kΩ→ZM-05=220kΩ, 1%). Layer 3: ISO 17049 braille + raised numeral. Layer 4: N tactile dots on shell at each slot. Layer 5: bone conduction audio announcement (firmware/zone_announce/ baselined, G2-10 CLOSED).</w:t>
            </w:r>
          </w:p>
        </w:tc>
      </w:tr>
      <w:tr>
        <w:tc>
          <w:tcPr>
            <w:tcW w:type="dxa" w:w="2351"/>
          </w:tcPr>
          <w:p>
            <w:r/>
            <w:r>
              <w:rPr>
                <w:b w:val="0"/>
                <w:sz w:val="18"/>
              </w:rPr>
              <w:t>EEG cable routing channel in shell (RISK-21)</w:t>
            </w:r>
          </w:p>
        </w:tc>
        <w:tc>
          <w:tcPr>
            <w:tcW w:type="dxa" w:w="2351"/>
          </w:tcPr>
          <w:p>
            <w:r/>
            <w:r>
              <w:rPr>
                <w:b w:val="0"/>
                <w:sz w:val="18"/>
              </w:rPr>
              <w:t>CLOSED (G2-11, OI-09)</w:t>
            </w:r>
          </w:p>
        </w:tc>
        <w:tc>
          <w:tcPr>
            <w:tcW w:type="dxa" w:w="2351"/>
          </w:tcPr>
          <w:p>
            <w:r/>
            <w:r>
              <w:rPr>
                <w:b w:val="0"/>
                <w:sz w:val="18"/>
              </w:rPr>
              <w:t>$0 (tooling)</w:t>
            </w:r>
          </w:p>
        </w:tc>
        <w:tc>
          <w:tcPr>
            <w:tcW w:type="dxa" w:w="2351"/>
          </w:tcPr>
          <w:p>
            <w:r/>
            <w:r>
              <w:rPr>
                <w:b w:val="0"/>
                <w:sz w:val="18"/>
              </w:rPr>
              <w:t>NP-DRV-SHELL-001 Rev B (2026-05-10): 8×5mm main trunk + 6×4mm lateral branch channels on outer CFRP inner surface. Routing: hub PCB → occipital arch (~120mm) → crown junction → left/right branches (~90–200mm arc). 18–22mm FPC-to-EEG separation. DRC-18 PASSES. DRC-22 CLOSED. DRC-23 CLOSED. G2-11 CLOSED.</w:t>
            </w:r>
          </w:p>
        </w:tc>
      </w:tr>
      <w:tr>
        <w:tc>
          <w:tcPr>
            <w:tcW w:type="dxa" w:w="2351"/>
          </w:tcPr>
          <w:p>
            <w:r/>
            <w:r>
              <w:rPr>
                <w:b w:val="0"/>
                <w:sz w:val="18"/>
              </w:rPr>
              <w:t>PDMS–PI SiO₂ interlayer bonding (RISK-04)</w:t>
            </w:r>
          </w:p>
        </w:tc>
        <w:tc>
          <w:tcPr>
            <w:tcW w:type="dxa" w:w="2351"/>
          </w:tcPr>
          <w:p>
            <w:r/>
            <w:r>
              <w:rPr>
                <w:b w:val="0"/>
                <w:sz w:val="18"/>
              </w:rPr>
              <w:t>PRE-TOOLING CRITICAL (BLOCKING)</w:t>
            </w:r>
          </w:p>
        </w:tc>
        <w:tc>
          <w:tcPr>
            <w:tcW w:type="dxa" w:w="2351"/>
          </w:tcPr>
          <w:p>
            <w:r/>
            <w:r>
              <w:rPr>
                <w:b w:val="0"/>
                <w:sz w:val="18"/>
              </w:rPr>
              <w:t>Process cost (CAT-C supplier)</w:t>
            </w:r>
          </w:p>
        </w:tc>
        <w:tc>
          <w:tcPr>
            <w:tcW w:type="dxa" w:w="2351"/>
          </w:tcPr>
          <w:p>
            <w:r/>
            <w:r>
              <w:rPr>
                <w:b w:val="0"/>
                <w:sz w:val="18"/>
              </w:rPr>
              <w:t>75nm RF magnetron sputtered SiO₂ on PI coverlay + O₂ plasma activation. ≥150 N/m peel strength. 200-cycle IEC 60068-2-14 thermal cycling qualification (FAI-TC02) BLOCKING before any production FPCs. CAT-C supplier not yet selected (RISK-04 OPEN). Supplier lead time 8 weeks from selection.</w:t>
            </w:r>
          </w:p>
        </w:tc>
      </w:tr>
      <w:tr>
        <w:tc>
          <w:tcPr>
            <w:tcW w:type="dxa" w:w="2351"/>
          </w:tcPr>
          <w:p>
            <w:r/>
            <w:r>
              <w:rPr>
                <w:b w:val="0"/>
                <w:sz w:val="18"/>
              </w:rPr>
              <w:t>CFRP shell slot rim Ra ≤ 1.6 µm (RISK-20)</w:t>
            </w:r>
          </w:p>
        </w:tc>
        <w:tc>
          <w:tcPr>
            <w:tcW w:type="dxa" w:w="2351"/>
          </w:tcPr>
          <w:p>
            <w:r/>
            <w:r>
              <w:rPr>
                <w:b w:val="0"/>
                <w:sz w:val="18"/>
              </w:rPr>
              <w:t>OPEN — BLOCKING</w:t>
            </w:r>
          </w:p>
        </w:tc>
        <w:tc>
          <w:tcPr>
            <w:tcW w:type="dxa" w:w="2351"/>
          </w:tcPr>
          <w:p>
            <w:r/>
            <w:r>
              <w:rPr>
                <w:b w:val="0"/>
                <w:sz w:val="18"/>
              </w:rPr>
              <w:t>$0 (supplier engagement)</w:t>
            </w:r>
          </w:p>
        </w:tc>
        <w:tc>
          <w:tcPr>
            <w:tcW w:type="dxa" w:w="2351"/>
          </w:tcPr>
          <w:p>
            <w:r/>
            <w:r>
              <w:rPr>
                <w:b w:val="0"/>
                <w:sz w:val="18"/>
              </w:rPr>
              <w:t>Written confirmation required from CFRP shell tooling supplier (letter + Ra measurement from representative coupon). If Ra &gt; 1.6 µm unavoidable: escalate to ME + EE; gasket or shell geometry must be revised. Supplier qualification item SUP-M-07 (NP-PROC-SUP-001).</w:t>
            </w:r>
          </w:p>
        </w:tc>
      </w:tr>
      <w:tr>
        <w:tc>
          <w:tcPr>
            <w:tcW w:type="dxa" w:w="2351"/>
          </w:tcPr>
          <w:p>
            <w:r/>
            <w:r>
              <w:rPr>
                <w:b w:val="0"/>
                <w:sz w:val="18"/>
              </w:rPr>
              <w:t>Palladium-coated EMF shielding fabric</w:t>
            </w:r>
          </w:p>
        </w:tc>
        <w:tc>
          <w:tcPr>
            <w:tcW w:type="dxa" w:w="2351"/>
          </w:tcPr>
          <w:p>
            <w:r/>
            <w:r>
              <w:rPr>
                <w:b w:val="0"/>
                <w:sz w:val="18"/>
              </w:rPr>
              <w:t>DECIDED</w:t>
            </w:r>
          </w:p>
        </w:tc>
        <w:tc>
          <w:tcPr>
            <w:tcW w:type="dxa" w:w="2351"/>
          </w:tcPr>
          <w:p>
            <w:r/>
            <w:r>
              <w:rPr>
                <w:b w:val="0"/>
                <w:sz w:val="18"/>
              </w:rPr>
              <w:t>+$6/headset</w:t>
            </w:r>
          </w:p>
        </w:tc>
        <w:tc>
          <w:tcPr>
            <w:tcW w:type="dxa" w:w="2351"/>
          </w:tcPr>
          <w:p>
            <w:r/>
            <w:r>
              <w:rPr>
                <w:b w:val="0"/>
                <w:sz w:val="18"/>
              </w:rPr>
              <w:t>Silver tarnishes 12–18 months. Palladium tarnish-immune for device lifetime. Fleet SHDR verifies stable attenuation — permanent marketable claim.</w:t>
            </w:r>
          </w:p>
        </w:tc>
      </w:tr>
      <w:tr>
        <w:tc>
          <w:tcPr>
            <w:tcW w:type="dxa" w:w="2351"/>
          </w:tcPr>
          <w:p>
            <w:r/>
            <w:r>
              <w:rPr>
                <w:b w:val="0"/>
                <w:sz w:val="18"/>
              </w:rPr>
              <w:t>Interface protection covers (all tethered)</w:t>
            </w:r>
          </w:p>
        </w:tc>
        <w:tc>
          <w:tcPr>
            <w:tcW w:type="dxa" w:w="2351"/>
          </w:tcPr>
          <w:p>
            <w:r/>
            <w:r>
              <w:rPr>
                <w:b w:val="0"/>
                <w:sz w:val="18"/>
              </w:rPr>
              <w:t>PRE-TOOLING CRITICAL</w:t>
            </w:r>
          </w:p>
        </w:tc>
        <w:tc>
          <w:tcPr>
            <w:tcW w:type="dxa" w:w="2351"/>
          </w:tcPr>
          <w:p>
            <w:r/>
            <w:r>
              <w:rPr>
                <w:b w:val="0"/>
                <w:sz w:val="18"/>
              </w:rPr>
              <w:t>+$8–9 total</w:t>
            </w:r>
          </w:p>
        </w:tc>
        <w:tc>
          <w:tcPr>
            <w:tcW w:type="dxa" w:w="2351"/>
          </w:tcPr>
          <w:p>
            <w:r/>
            <w:r>
              <w:rPr>
                <w:b w:val="0"/>
                <w:sz w:val="18"/>
              </w:rPr>
              <w:t>Anchor posts molded into shell at zero cost if specified before first cut. Zone slot plugs (5, Shore 30A silicone, 5 colours) · Port covers (3, N42 magnetic) · Lens rim guards (2, Shore 85A TPU). NP-TOOL-SHELL-001 Rev A: F-01 zone anchors (×5) + F-02 port anchors (×3) SPECIFIED.</w:t>
            </w:r>
          </w:p>
        </w:tc>
      </w:tr>
      <w:tr>
        <w:tc>
          <w:tcPr>
            <w:tcW w:type="dxa" w:w="2351"/>
          </w:tcPr>
          <w:p>
            <w:r/>
            <w:r>
              <w:rPr>
                <w:b w:val="0"/>
                <w:sz w:val="18"/>
              </w:rPr>
              <w:t>Sliding rail lens mount</w:t>
            </w:r>
          </w:p>
        </w:tc>
        <w:tc>
          <w:tcPr>
            <w:tcW w:type="dxa" w:w="2351"/>
          </w:tcPr>
          <w:p>
            <w:r/>
            <w:r>
              <w:rPr>
                <w:b w:val="0"/>
                <w:sz w:val="18"/>
              </w:rPr>
              <w:t>DECIDED</w:t>
            </w:r>
          </w:p>
        </w:tc>
        <w:tc>
          <w:tcPr>
            <w:tcW w:type="dxa" w:w="2351"/>
          </w:tcPr>
          <w:p>
            <w:r/>
            <w:r>
              <w:rPr>
                <w:b w:val="0"/>
                <w:sz w:val="18"/>
              </w:rPr>
              <w:t>+$1.20</w:t>
            </w:r>
          </w:p>
        </w:tc>
        <w:tc>
          <w:tcPr>
            <w:tcW w:type="dxa" w:w="2351"/>
          </w:tcPr>
          <w:p>
            <w:r/>
            <w:r>
              <w:rPr>
                <w:b w:val="0"/>
                <w:sz w:val="18"/>
              </w:rPr>
              <w:t>NP-TOOL-LENS-001 Rev B F-01/F-02: T-slot groove in lens rim + tongue in goggle arm. ≤5N extraction, 500-cycle rated. Eliminates Tier A alignment jig. User self-install.</w:t>
            </w:r>
          </w:p>
        </w:tc>
      </w:tr>
      <w:tr>
        <w:tc>
          <w:tcPr>
            <w:tcW w:type="dxa" w:w="2351"/>
          </w:tcPr>
          <w:p>
            <w:r/>
            <w:r>
              <w:rPr>
                <w:b w:val="0"/>
                <w:sz w:val="18"/>
              </w:rPr>
              <w:t>Lens rim guard anchor hooks (F-07)</w:t>
            </w:r>
          </w:p>
        </w:tc>
        <w:tc>
          <w:tcPr>
            <w:tcW w:type="dxa" w:w="2351"/>
          </w:tcPr>
          <w:p>
            <w:r/>
            <w:r>
              <w:rPr>
                <w:b w:val="0"/>
                <w:sz w:val="18"/>
              </w:rPr>
              <w:t>CLOSED (Issue #18, Rev B)</w:t>
            </w:r>
          </w:p>
        </w:tc>
        <w:tc>
          <w:tcPr>
            <w:tcW w:type="dxa" w:w="2351"/>
          </w:tcPr>
          <w:p>
            <w:r/>
            <w:r>
              <w:rPr>
                <w:b w:val="0"/>
                <w:sz w:val="18"/>
              </w:rPr>
              <w:t>+$0 (tooling)</w:t>
            </w:r>
          </w:p>
        </w:tc>
        <w:tc>
          <w:tcPr>
            <w:tcW w:type="dxa" w:w="2351"/>
          </w:tcPr>
          <w:p>
            <w:r/>
            <w:r>
              <w:rPr>
                <w:b w:val="0"/>
                <w:sz w:val="18"/>
              </w:rPr>
              <w:t>NP-TOOL-LENS-001 Rev B: 4mm ID hook at superior-posterior corner of goggle arm. Shade clearance ≥4mm (MR-19). Tether ≤45mm posterior routing, must not cross visual field (MR-20). OI-10 tracks CAD sign-off.</w:t>
            </w:r>
          </w:p>
        </w:tc>
      </w:tr>
      <w:tr>
        <w:tc>
          <w:tcPr>
            <w:tcW w:type="dxa" w:w="2351"/>
          </w:tcPr>
          <w:p>
            <w:r/>
            <w:r>
              <w:rPr>
                <w:b w:val="0"/>
                <w:sz w:val="18"/>
              </w:rPr>
              <w:t>Hub PCB Rev B — TIA gain switch + I2C mux</w:t>
            </w:r>
          </w:p>
        </w:tc>
        <w:tc>
          <w:tcPr>
            <w:tcW w:type="dxa" w:w="2351"/>
          </w:tcPr>
          <w:p>
            <w:r/>
            <w:r>
              <w:rPr>
                <w:b w:val="0"/>
                <w:sz w:val="18"/>
              </w:rPr>
              <w:t>SPECIFIED (OI-PBM-HW-01, OI-PBM-HW-02)</w:t>
            </w:r>
          </w:p>
        </w:tc>
        <w:tc>
          <w:tcPr>
            <w:tcW w:type="dxa" w:w="2351"/>
          </w:tcPr>
          <w:p>
            <w:r/>
            <w:r>
              <w:rPr>
                <w:b w:val="0"/>
                <w:sz w:val="18"/>
              </w:rPr>
              <w:t>+$1.41–1.91</w:t>
            </w:r>
          </w:p>
        </w:tc>
        <w:tc>
          <w:tcPr>
            <w:tcW w:type="dxa" w:w="2351"/>
          </w:tcPr>
          <w:p>
            <w:r/>
            <w:r>
              <w:rPr>
                <w:b w:val="0"/>
                <w:sz w:val="18"/>
              </w:rPr>
              <w:t>Vishay DG2788A dual-SPDT per slot (×5). NXP PCA9546A 4-channel I2C isolation. Hub PCB Rev B Gerber build (OI-HUB-03) BLOCKING for FAI-SM-04 and FAI-SM-06.</w:t>
            </w:r>
          </w:p>
        </w:tc>
      </w:tr>
      <w:tr>
        <w:tc>
          <w:tcPr>
            <w:tcW w:type="dxa" w:w="2351"/>
          </w:tcPr>
          <w:p>
            <w:r/>
            <w:r>
              <w:rPr>
                <w:b w:val="0"/>
                <w:sz w:val="18"/>
              </w:rPr>
              <w:t>Dual-bank OTA + USB-C DFU recovery</w:t>
            </w:r>
          </w:p>
        </w:tc>
        <w:tc>
          <w:tcPr>
            <w:tcW w:type="dxa" w:w="2351"/>
          </w:tcPr>
          <w:p>
            <w:r/>
            <w:r>
              <w:rPr>
                <w:b w:val="0"/>
                <w:sz w:val="18"/>
              </w:rPr>
              <w:t>BASELINED (NP-FW-EMMC-001 Rev A, firmware/bootloader/)</w:t>
            </w:r>
          </w:p>
        </w:tc>
        <w:tc>
          <w:tcPr>
            <w:tcW w:type="dxa" w:w="2351"/>
          </w:tcPr>
          <w:p>
            <w:r/>
            <w:r>
              <w:rPr>
                <w:b w:val="0"/>
                <w:sz w:val="18"/>
              </w:rPr>
              <w:t>$0 (software)</w:t>
            </w:r>
          </w:p>
        </w:tc>
        <w:tc>
          <w:tcPr>
            <w:tcW w:type="dxa" w:w="2351"/>
          </w:tcPr>
          <w:p>
            <w:r/>
            <w:r>
              <w:rPr>
                <w:b w:val="0"/>
                <w:sz w:val="18"/>
              </w:rPr>
              <w:t>First firmware code authored. Ed25519 signature verification. Automatic rollback. DFU recovery: USB DFU 1.1 class, writes to Scratch then verifies before eMMC write. Manufacturing root public key placeholder — must be replaced at secure build step before production.</w:t>
            </w:r>
          </w:p>
        </w:tc>
      </w:tr>
      <w:tr>
        <w:tc>
          <w:tcPr>
            <w:tcW w:type="dxa" w:w="2351"/>
          </w:tcPr>
          <w:p>
            <w:r/>
            <w:r>
              <w:rPr>
                <w:b w:val="0"/>
                <w:sz w:val="18"/>
              </w:rPr>
              <w:t>Separate UHDR/SHDR eMMC partitions + encryption</w:t>
            </w:r>
          </w:p>
        </w:tc>
        <w:tc>
          <w:tcPr>
            <w:tcW w:type="dxa" w:w="2351"/>
          </w:tcPr>
          <w:p>
            <w:r/>
            <w:r>
              <w:rPr>
                <w:b w:val="0"/>
                <w:sz w:val="18"/>
              </w:rPr>
              <w:t>BASELINED (NP-FW-EMMC-001 Rev A)</w:t>
            </w:r>
          </w:p>
        </w:tc>
        <w:tc>
          <w:tcPr>
            <w:tcW w:type="dxa" w:w="2351"/>
          </w:tcPr>
          <w:p>
            <w:r/>
            <w:r>
              <w:rPr>
                <w:b w:val="0"/>
                <w:sz w:val="18"/>
              </w:rPr>
              <w:t>$0 (firmware)</w:t>
            </w:r>
          </w:p>
        </w:tc>
        <w:tc>
          <w:tcPr>
            <w:tcW w:type="dxa" w:w="2351"/>
          </w:tcPr>
          <w:p>
            <w:r/>
            <w:r>
              <w:rPr>
                <w:b w:val="0"/>
                <w:sz w:val="18"/>
              </w:rPr>
              <w:t>Must be in firmware specification before any storage architecture is written — DONE. NP-COORD-001 G1-16 CLOSED. 27-element session data classification table governs all routing decisions.</w:t>
            </w:r>
          </w:p>
        </w:tc>
      </w:tr>
    </w:tbl>
    <w:p/>
    <w:p>
      <w:pPr>
        <w:pStyle w:val="Heading1"/>
      </w:pPr>
      <w:r>
        <w:rPr>
          <w:color w:val="1A1A2E"/>
          <w:sz w:val="28"/>
        </w:rPr>
        <w:t>7. Service Network</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BDD7EE"/>
          </w:tcPr>
          <w:p>
            <w:r>
              <w:rPr>
                <w:b/>
                <w:sz w:val="17"/>
              </w:rPr>
              <w:t>Tier</w:t>
            </w:r>
          </w:p>
        </w:tc>
        <w:tc>
          <w:tcPr>
            <w:tcW w:type="dxa" w:w="1568"/>
            <w:shd w:val="clear" w:color="auto" w:fill="BDD7EE"/>
          </w:tcPr>
          <w:p>
            <w:r>
              <w:rPr>
                <w:b/>
                <w:sz w:val="17"/>
              </w:rPr>
              <w:t>Examples</w:t>
            </w:r>
          </w:p>
        </w:tc>
        <w:tc>
          <w:tcPr>
            <w:tcW w:type="dxa" w:w="1568"/>
            <w:shd w:val="clear" w:color="auto" w:fill="BDD7EE"/>
          </w:tcPr>
          <w:p>
            <w:r>
              <w:rPr>
                <w:b/>
                <w:sz w:val="17"/>
              </w:rPr>
              <w:t>Service tasks</w:t>
            </w:r>
          </w:p>
        </w:tc>
        <w:tc>
          <w:tcPr>
            <w:tcW w:type="dxa" w:w="1568"/>
            <w:shd w:val="clear" w:color="auto" w:fill="BDD7EE"/>
          </w:tcPr>
          <w:p>
            <w:r>
              <w:rPr>
                <w:b/>
                <w:sz w:val="17"/>
              </w:rPr>
              <w:t>Certification</w:t>
            </w:r>
          </w:p>
        </w:tc>
        <w:tc>
          <w:tcPr>
            <w:tcW w:type="dxa" w:w="1568"/>
            <w:shd w:val="clear" w:color="auto" w:fill="BDD7EE"/>
          </w:tcPr>
          <w:p>
            <w:r>
              <w:rPr>
                <w:b/>
                <w:sz w:val="17"/>
              </w:rPr>
              <w:t>Revenue/yr at scale</w:t>
            </w:r>
          </w:p>
        </w:tc>
        <w:tc>
          <w:tcPr>
            <w:tcW w:type="dxa" w:w="1568"/>
            <w:shd w:val="clear" w:color="auto" w:fill="BDD7EE"/>
          </w:tcPr>
          <w:p>
            <w:r>
              <w:rPr>
                <w:b/>
                <w:sz w:val="17"/>
              </w:rPr>
              <w:t>Launch timing</w:t>
            </w:r>
          </w:p>
        </w:tc>
      </w:tr>
      <w:tr>
        <w:tc>
          <w:tcPr>
            <w:tcW w:type="dxa" w:w="1568"/>
          </w:tcPr>
          <w:p>
            <w:r/>
            <w:r>
              <w:rPr>
                <w:b w:val="0"/>
                <w:sz w:val="18"/>
              </w:rPr>
              <w:t>Tier A — Optical centers</w:t>
            </w:r>
          </w:p>
        </w:tc>
        <w:tc>
          <w:tcPr>
            <w:tcW w:type="dxa" w:w="1568"/>
          </w:tcPr>
          <w:p>
            <w:r/>
            <w:r>
              <w:rPr>
                <w:b w:val="0"/>
                <w:sz w:val="18"/>
              </w:rPr>
              <w:t>LensCrafters · Pearle Vision · independent opticians</w:t>
            </w:r>
          </w:p>
        </w:tc>
        <w:tc>
          <w:tcPr>
            <w:tcW w:type="dxa" w:w="1568"/>
          </w:tcPr>
          <w:p>
            <w:r/>
            <w:r>
              <w:rPr>
                <w:b w:val="0"/>
                <w:sz w:val="18"/>
              </w:rPr>
              <w:t>S3 Rx clip manufacture + fitting (primary) · Lens replacement (standard + EC) · Calibration (secondary)</w:t>
            </w:r>
          </w:p>
        </w:tc>
        <w:tc>
          <w:tcPr>
            <w:tcW w:type="dxa" w:w="1568"/>
          </w:tcPr>
          <w:p>
            <w:r/>
            <w:r>
              <w:rPr>
                <w:b w:val="0"/>
                <w:sz w:val="18"/>
              </w:rPr>
              <w:t>4-hr initial · 1-hr annual online</w:t>
            </w:r>
          </w:p>
        </w:tc>
        <w:tc>
          <w:tcPr>
            <w:tcW w:type="dxa" w:w="1568"/>
          </w:tcPr>
          <w:p>
            <w:r/>
            <w:r>
              <w:rPr>
                <w:b w:val="0"/>
                <w:sz w:val="18"/>
              </w:rPr>
              <w:t>$8K–35K/yr</w:t>
            </w:r>
          </w:p>
        </w:tc>
        <w:tc>
          <w:tcPr>
            <w:tcW w:type="dxa" w:w="1568"/>
          </w:tcPr>
          <w:p>
            <w:r/>
            <w:r>
              <w:rPr>
                <w:b w:val="0"/>
                <w:sz w:val="18"/>
              </w:rPr>
              <w:t>Year 1 — already engaged via S3 program</w:t>
            </w:r>
          </w:p>
        </w:tc>
      </w:tr>
      <w:tr>
        <w:tc>
          <w:tcPr>
            <w:tcW w:type="dxa" w:w="1568"/>
          </w:tcPr>
          <w:p>
            <w:r/>
            <w:r>
              <w:rPr>
                <w:b w:val="0"/>
                <w:sz w:val="18"/>
              </w:rPr>
              <w:t>Tier B — Electronics repair</w:t>
            </w:r>
          </w:p>
        </w:tc>
        <w:tc>
          <w:tcPr>
            <w:tcW w:type="dxa" w:w="1568"/>
          </w:tcPr>
          <w:p>
            <w:r/>
            <w:r>
              <w:rPr>
                <w:b w:val="0"/>
                <w:sz w:val="18"/>
              </w:rPr>
              <w:t>uBreakiFix/Asurion · iFixit partners</w:t>
            </w:r>
          </w:p>
        </w:tc>
        <w:tc>
          <w:tcPr>
            <w:tcW w:type="dxa" w:w="1568"/>
          </w:tcPr>
          <w:p>
            <w:r/>
            <w:r>
              <w:rPr>
                <w:b w:val="0"/>
                <w:sz w:val="18"/>
              </w:rPr>
              <w:t>Zone module FPC swap · DFU recovery · eMMC data recovery · Impact inspection · Fluxgate calibration</w:t>
            </w:r>
          </w:p>
        </w:tc>
        <w:tc>
          <w:tcPr>
            <w:tcW w:type="dxa" w:w="1568"/>
          </w:tcPr>
          <w:p>
            <w:r/>
            <w:r>
              <w:rPr>
                <w:b w:val="0"/>
                <w:sz w:val="18"/>
              </w:rPr>
              <w:t>6-hr initial · 2-hr annual practical</w:t>
            </w:r>
          </w:p>
        </w:tc>
        <w:tc>
          <w:tcPr>
            <w:tcW w:type="dxa" w:w="1568"/>
          </w:tcPr>
          <w:p>
            <w:r/>
            <w:r>
              <w:rPr>
                <w:b w:val="0"/>
                <w:sz w:val="18"/>
              </w:rPr>
              <w:t>$4K–18K/yr</w:t>
            </w:r>
          </w:p>
        </w:tc>
        <w:tc>
          <w:tcPr>
            <w:tcW w:type="dxa" w:w="1568"/>
          </w:tcPr>
          <w:p>
            <w:r/>
            <w:r>
              <w:rPr>
                <w:b w:val="0"/>
                <w:sz w:val="18"/>
              </w:rPr>
              <w:t>Year 2 — major metros first</w:t>
            </w:r>
          </w:p>
        </w:tc>
      </w:tr>
      <w:tr>
        <w:tc>
          <w:tcPr>
            <w:tcW w:type="dxa" w:w="1568"/>
          </w:tcPr>
          <w:p>
            <w:r/>
            <w:r>
              <w:rPr>
                <w:b w:val="0"/>
                <w:sz w:val="18"/>
              </w:rPr>
              <w:t>Tier C — Retail triage</w:t>
            </w:r>
          </w:p>
        </w:tc>
        <w:tc>
          <w:tcPr>
            <w:tcW w:type="dxa" w:w="1568"/>
          </w:tcPr>
          <w:p>
            <w:r/>
            <w:r>
              <w:rPr>
                <w:b w:val="0"/>
                <w:sz w:val="18"/>
              </w:rPr>
              <w:t>Best Buy Geek Squad · Apple Authorized Service</w:t>
            </w:r>
          </w:p>
        </w:tc>
        <w:tc>
          <w:tcPr>
            <w:tcW w:type="dxa" w:w="1568"/>
          </w:tcPr>
          <w:p>
            <w:r/>
            <w:r>
              <w:rPr>
                <w:b w:val="0"/>
                <w:sz w:val="18"/>
              </w:rPr>
              <w:t>Warranty intake + triage · Routing to Tier A/B · Consumable sales</w:t>
            </w:r>
          </w:p>
        </w:tc>
        <w:tc>
          <w:tcPr>
            <w:tcW w:type="dxa" w:w="1568"/>
          </w:tcPr>
          <w:p>
            <w:r/>
            <w:r>
              <w:rPr>
                <w:b w:val="0"/>
                <w:sz w:val="18"/>
              </w:rPr>
              <w:t>2-hr initial · 30-min annual online</w:t>
            </w:r>
          </w:p>
        </w:tc>
        <w:tc>
          <w:tcPr>
            <w:tcW w:type="dxa" w:w="1568"/>
          </w:tcPr>
          <w:p>
            <w:r/>
            <w:r>
              <w:rPr>
                <w:b w:val="0"/>
                <w:sz w:val="18"/>
              </w:rPr>
              <w:t>$1K–7K/yr</w:t>
            </w:r>
          </w:p>
        </w:tc>
        <w:tc>
          <w:tcPr>
            <w:tcW w:type="dxa" w:w="1568"/>
          </w:tcPr>
          <w:p>
            <w:r/>
            <w:r>
              <w:rPr>
                <w:b w:val="0"/>
                <w:sz w:val="18"/>
              </w:rPr>
              <w:t>Year 1–2 broadly</w:t>
            </w:r>
          </w:p>
        </w:tc>
      </w:tr>
      <w:tr>
        <w:tc>
          <w:tcPr>
            <w:tcW w:type="dxa" w:w="1568"/>
          </w:tcPr>
          <w:p>
            <w:r/>
            <w:r>
              <w:rPr>
                <w:b w:val="0"/>
                <w:sz w:val="18"/>
              </w:rPr>
              <w:t>NeurOne Depot</w:t>
            </w:r>
          </w:p>
        </w:tc>
        <w:tc>
          <w:tcPr>
            <w:tcW w:type="dxa" w:w="1568"/>
          </w:tcPr>
          <w:p>
            <w:r/>
            <w:r>
              <w:rPr>
                <w:b w:val="0"/>
                <w:sz w:val="18"/>
              </w:rPr>
              <w:t>Mail-in backstop</w:t>
            </w:r>
          </w:p>
        </w:tc>
        <w:tc>
          <w:tcPr>
            <w:tcW w:type="dxa" w:w="1568"/>
          </w:tcPr>
          <w:p>
            <w:r/>
            <w:r>
              <w:rPr>
                <w:b w:val="0"/>
                <w:sz w:val="18"/>
              </w:rPr>
              <w:t>All tasks · T2 same-day loaner · Precision fluxgate calibration · eMMC specialist recovery</w:t>
            </w:r>
          </w:p>
        </w:tc>
        <w:tc>
          <w:tcPr>
            <w:tcW w:type="dxa" w:w="1568"/>
          </w:tcPr>
          <w:p>
            <w:r/>
            <w:r>
              <w:rPr>
                <w:b w:val="0"/>
                <w:sz w:val="18"/>
              </w:rPr>
              <w:t>Full internal training</w:t>
            </w:r>
          </w:p>
        </w:tc>
        <w:tc>
          <w:tcPr>
            <w:tcW w:type="dxa" w:w="1568"/>
          </w:tcPr>
          <w:p>
            <w:r/>
            <w:r>
              <w:rPr>
                <w:b w:val="0"/>
                <w:sz w:val="18"/>
              </w:rPr>
              <w:t>Highest margin per task</w:t>
            </w:r>
          </w:p>
        </w:tc>
        <w:tc>
          <w:tcPr>
            <w:tcW w:type="dxa" w:w="1568"/>
          </w:tcPr>
          <w:p>
            <w:r/>
            <w:r>
              <w:rPr>
                <w:b w:val="0"/>
                <w:sz w:val="18"/>
              </w:rPr>
              <w:t>Day 1</w:t>
            </w:r>
          </w:p>
        </w:tc>
      </w:tr>
    </w:tbl>
    <w:p/>
    <w:p>
      <w:pPr>
        <w:pStyle w:val="Heading1"/>
      </w:pPr>
      <w:r>
        <w:rPr>
          <w:color w:val="1A1A2E"/>
          <w:sz w:val="28"/>
        </w:rPr>
        <w:t>8. Remaining Weaknesses + Open Risks</w:t>
      </w:r>
    </w:p>
    <w:p>
      <w:r>
        <w:rPr>
          <w:b w:val="0"/>
          <w:sz w:val="18"/>
        </w:rPr>
        <w:t>Risk register: 25 risks (RISK-01 through RISK-25). 23 MITIGATED. 2 OPEN: RISK-03 (regulatory opinion, external) and RISK-20 (CFRP Ra confirmation, external). RISK-25 (cervical VNS cardiac reflex) MITIGATED pending FAI-CV02 hardware bench.</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7"/>
              </w:rPr>
              <w:t>Severity</w:t>
            </w:r>
          </w:p>
        </w:tc>
        <w:tc>
          <w:tcPr>
            <w:tcW w:type="dxa" w:w="3135"/>
            <w:shd w:val="clear" w:color="auto" w:fill="BDD7EE"/>
          </w:tcPr>
          <w:p>
            <w:r>
              <w:rPr>
                <w:b/>
                <w:sz w:val="17"/>
              </w:rPr>
              <w:t>Issue</w:t>
            </w:r>
          </w:p>
        </w:tc>
        <w:tc>
          <w:tcPr>
            <w:tcW w:type="dxa" w:w="3135"/>
            <w:shd w:val="clear" w:color="auto" w:fill="BDD7EE"/>
          </w:tcPr>
          <w:p>
            <w:r>
              <w:rPr>
                <w:b/>
                <w:sz w:val="17"/>
              </w:rPr>
              <w:t>Current status + mitigation</w:t>
            </w:r>
          </w:p>
        </w:tc>
      </w:tr>
      <w:tr>
        <w:tc>
          <w:tcPr>
            <w:tcW w:type="dxa" w:w="3135"/>
          </w:tcPr>
          <w:p>
            <w:r/>
            <w:r>
              <w:rPr>
                <w:b w:val="0"/>
                <w:sz w:val="18"/>
              </w:rPr>
              <w:t>CRITICAL</w:t>
            </w:r>
          </w:p>
        </w:tc>
        <w:tc>
          <w:tcPr>
            <w:tcW w:type="dxa" w:w="3135"/>
          </w:tcPr>
          <w:p>
            <w:r/>
            <w:r>
              <w:rPr>
                <w:b w:val="0"/>
                <w:sz w:val="18"/>
              </w:rPr>
              <w:t>Zero published clinical trials — 35-trial gap vs Vielight</w:t>
            </w:r>
          </w:p>
        </w:tc>
        <w:tc>
          <w:tcPr>
            <w:tcW w:type="dxa" w:w="3135"/>
          </w:tcPr>
          <w:p>
            <w:r/>
            <w:r>
              <w:rPr>
                <w:b w:val="0"/>
                <w:sz w:val="18"/>
              </w:rPr>
              <w:t>Every clinical adoption decision, investor meeting, and regulatory filing requires clinical data. SBIR Phase I: initiate at company formation. First contacts: Rashidi-Ranjbar (neda.rashidi-ranjbar@unityhealth.to), Jog (mjog@mednet.ucla.edu), Naeser (mnaeser@bu.edu). 2–3 years to published data.</w:t>
            </w:r>
          </w:p>
        </w:tc>
      </w:tr>
      <w:tr>
        <w:tc>
          <w:tcPr>
            <w:tcW w:type="dxa" w:w="3135"/>
          </w:tcPr>
          <w:p>
            <w:r/>
            <w:r>
              <w:rPr>
                <w:b w:val="0"/>
                <w:sz w:val="18"/>
              </w:rPr>
              <w:t>CRITICAL</w:t>
            </w:r>
          </w:p>
        </w:tc>
        <w:tc>
          <w:tcPr>
            <w:tcW w:type="dxa" w:w="3135"/>
          </w:tcPr>
          <w:p>
            <w:r/>
            <w:r>
              <w:rPr>
                <w:b w:val="0"/>
                <w:sz w:val="18"/>
              </w:rPr>
              <w:t>400 mW/cm² regulatory opinion not yet obtained (RISK-03 — BLOCKING)</w:t>
            </w:r>
          </w:p>
        </w:tc>
        <w:tc>
          <w:tcPr>
            <w:tcW w:type="dxa" w:w="3135"/>
          </w:tcPr>
          <w:p>
            <w:r/>
            <w:r>
              <w:rPr>
                <w:b w:val="0"/>
                <w:sz w:val="18"/>
              </w:rPr>
              <w:t>This number cannot appear in ANY public-facing material, investor deck, or marketing copy until cleared. Outside regulatory counsel (PBM/digital health specialist). $8,000–15,000. 3–5 weeks. Scope expanded (NP-REG-PBM1064-001 Rev A) to include 1064nm irradiance, aggregate 600 mW/cm² (OI-PBM-05), T2 combined 1064+1170nm, and depth-tier penetration claim.</w:t>
            </w:r>
          </w:p>
        </w:tc>
      </w:tr>
      <w:tr>
        <w:tc>
          <w:tcPr>
            <w:tcW w:type="dxa" w:w="3135"/>
          </w:tcPr>
          <w:p>
            <w:r/>
            <w:r>
              <w:rPr>
                <w:b w:val="0"/>
                <w:sz w:val="18"/>
              </w:rPr>
              <w:t>CRITICAL</w:t>
            </w:r>
          </w:p>
        </w:tc>
        <w:tc>
          <w:tcPr>
            <w:tcW w:type="dxa" w:w="3135"/>
          </w:tcPr>
          <w:p>
            <w:r/>
            <w:r>
              <w:rPr>
                <w:b w:val="0"/>
                <w:sz w:val="18"/>
              </w:rPr>
              <w:t>"NeurOne" is an uncleared placeholder name</w:t>
            </w:r>
          </w:p>
        </w:tc>
        <w:tc>
          <w:tcPr>
            <w:tcW w:type="dxa" w:w="3135"/>
          </w:tcPr>
          <w:p>
            <w:r/>
            <w:r>
              <w:rPr>
                <w:b w:val="0"/>
                <w:sz w:val="18"/>
              </w:rPr>
              <w:t>Trademark search and clearance required: US, EU, Canada, Australia. Required before ANY external conversation. $15,000–25,000.</w:t>
            </w:r>
          </w:p>
        </w:tc>
      </w:tr>
      <w:tr>
        <w:tc>
          <w:tcPr>
            <w:tcW w:type="dxa" w:w="3135"/>
          </w:tcPr>
          <w:p>
            <w:r/>
            <w:r>
              <w:rPr>
                <w:b w:val="0"/>
                <w:sz w:val="18"/>
              </w:rPr>
              <w:t>CRITICAL</w:t>
            </w:r>
          </w:p>
        </w:tc>
        <w:tc>
          <w:tcPr>
            <w:tcW w:type="dxa" w:w="3135"/>
          </w:tcPr>
          <w:p>
            <w:r/>
            <w:r>
              <w:rPr>
                <w:b w:val="0"/>
                <w:sz w:val="18"/>
              </w:rPr>
              <w:t>CFRP shell slot rim Ra ≤ 1.6 µm unconfirmed (RISK-20 — BLOCKING)</w:t>
            </w:r>
          </w:p>
        </w:tc>
        <w:tc>
          <w:tcPr>
            <w:tcW w:type="dxa" w:w="3135"/>
          </w:tcPr>
          <w:p>
            <w:r/>
            <w:r>
              <w:rPr>
                <w:b w:val="0"/>
                <w:sz w:val="18"/>
              </w:rPr>
              <w:t>Tooling cannot be released until written confirmation received from CFRP tooling supplier (letter + Ra measurement from representative coupon). Supplier qualification item SUP-M-07 in NP-PROC-SUP-001. If Ra &gt; 1.6 µm unavoidable: escalate to ME + EE; gasket or shell geometry revision required.</w:t>
            </w:r>
          </w:p>
        </w:tc>
      </w:tr>
      <w:tr>
        <w:tc>
          <w:tcPr>
            <w:tcW w:type="dxa" w:w="3135"/>
          </w:tcPr>
          <w:p>
            <w:r/>
            <w:r>
              <w:rPr>
                <w:b w:val="0"/>
                <w:sz w:val="18"/>
              </w:rPr>
              <w:t>CRITICAL</w:t>
            </w:r>
          </w:p>
        </w:tc>
        <w:tc>
          <w:tcPr>
            <w:tcW w:type="dxa" w:w="3135"/>
          </w:tcPr>
          <w:p>
            <w:r/>
            <w:r>
              <w:rPr>
                <w:b w:val="0"/>
                <w:sz w:val="18"/>
              </w:rPr>
              <w:t>PDMS CAT-C supplier not selected (RISK-04 — BLOCKING)</w:t>
            </w:r>
          </w:p>
        </w:tc>
        <w:tc>
          <w:tcPr>
            <w:tcW w:type="dxa" w:w="3135"/>
          </w:tcPr>
          <w:p>
            <w:r/>
            <w:r>
              <w:rPr>
                <w:b w:val="0"/>
                <w:sz w:val="18"/>
              </w:rPr>
              <w:t>Production cannot start until CAT-C supplier selected and 200-cycle IEC 60068-2-14 thermal cycling qualification passed. FAI-TC02 BLOCKING before any production FPCs built. Supplier lead time 8 weeks from selection.</w:t>
            </w:r>
          </w:p>
        </w:tc>
      </w:tr>
      <w:tr>
        <w:tc>
          <w:tcPr>
            <w:tcW w:type="dxa" w:w="3135"/>
          </w:tcPr>
          <w:p>
            <w:r/>
            <w:r>
              <w:rPr>
                <w:b w:val="0"/>
                <w:sz w:val="18"/>
              </w:rPr>
              <w:t>MODERATE</w:t>
            </w:r>
          </w:p>
        </w:tc>
        <w:tc>
          <w:tcPr>
            <w:tcW w:type="dxa" w:w="3135"/>
          </w:tcPr>
          <w:p>
            <w:r/>
            <w:r>
              <w:rPr>
                <w:b w:val="0"/>
                <w:sz w:val="18"/>
              </w:rPr>
              <w:t>SAB not formed — no scientific credentialing</w:t>
            </w:r>
          </w:p>
        </w:tc>
        <w:tc>
          <w:tcPr>
            <w:tcW w:type="dxa" w:w="3135"/>
          </w:tcPr>
          <w:p>
            <w:r/>
            <w:r>
              <w:rPr>
                <w:b w:val="0"/>
                <w:sz w:val="18"/>
              </w:rPr>
              <w:t>Tsai outreach at 617-324-0305 (SAB role only — Cognito Therapeutics conflict prevents PI role). Jeffery (g.jeffery@ucl.ac.uk) and Naeser natural SAB candidates. Budget $50,000–80,000/yr for 5-person SAB.</w:t>
            </w:r>
          </w:p>
        </w:tc>
      </w:tr>
      <w:tr>
        <w:tc>
          <w:tcPr>
            <w:tcW w:type="dxa" w:w="3135"/>
          </w:tcPr>
          <w:p>
            <w:r/>
            <w:r>
              <w:rPr>
                <w:b w:val="0"/>
                <w:sz w:val="18"/>
              </w:rPr>
              <w:t>MODERATE</w:t>
            </w:r>
          </w:p>
        </w:tc>
        <w:tc>
          <w:tcPr>
            <w:tcW w:type="dxa" w:w="3135"/>
          </w:tcPr>
          <w:p>
            <w:r/>
            <w:r>
              <w:rPr>
                <w:b w:val="0"/>
                <w:sz w:val="18"/>
              </w:rPr>
              <w:t>QMS — VP Quality not yet hired</w:t>
            </w:r>
          </w:p>
        </w:tc>
        <w:tc>
          <w:tcPr>
            <w:tcW w:type="dxa" w:w="3135"/>
          </w:tcPr>
          <w:p>
            <w:r/>
            <w:r>
              <w:rPr>
                <w:b w:val="0"/>
                <w:sz w:val="18"/>
              </w:rPr>
              <w:t>Month 6 target. Interim authority: CEO. First action: gap assessment against 21 CFR Part 820 + ISO 13485:2016 with external QMS consultant (Month 3). NP-DP-001 (Design and Development Plan) target Month 3. NP-DT-001 (Input/Output Traceability Matrix) target Month 6. NP-HFE-001 (Human Factors Plan) target Month 9. NP-PMS-001 (Post-Market Surveillance Plan) target Month 12. eQMS platform selection target Month 9.</w:t>
            </w:r>
          </w:p>
        </w:tc>
      </w:tr>
      <w:tr>
        <w:tc>
          <w:tcPr>
            <w:tcW w:type="dxa" w:w="3135"/>
          </w:tcPr>
          <w:p>
            <w:r/>
            <w:r>
              <w:rPr>
                <w:b w:val="0"/>
                <w:sz w:val="18"/>
              </w:rPr>
              <w:t>MODERATE</w:t>
            </w:r>
          </w:p>
        </w:tc>
        <w:tc>
          <w:tcPr>
            <w:tcW w:type="dxa" w:w="3135"/>
          </w:tcPr>
          <w:p>
            <w:r/>
            <w:r>
              <w:rPr>
                <w:b w:val="0"/>
                <w:sz w:val="18"/>
              </w:rPr>
              <w:t>SW-01 Safety MCU unit-level FMEA not yet authored</w:t>
            </w:r>
          </w:p>
        </w:tc>
        <w:tc>
          <w:tcPr>
            <w:tcW w:type="dxa" w:w="3135"/>
          </w:tcPr>
          <w:p>
            <w:r/>
            <w:r>
              <w:rPr>
                <w:b w:val="0"/>
                <w:sz w:val="18"/>
              </w:rPr>
              <w:t>Required per NP-SW-001 §11 (IEC 62304 §7.1 for Class C): identify all software failure modes for SW01-M01..M08 with potential harm and response time. Pending.</w:t>
            </w:r>
          </w:p>
        </w:tc>
      </w:tr>
      <w:tr>
        <w:tc>
          <w:tcPr>
            <w:tcW w:type="dxa" w:w="3135"/>
          </w:tcPr>
          <w:p>
            <w:r/>
            <w:r>
              <w:rPr>
                <w:b w:val="0"/>
                <w:sz w:val="18"/>
              </w:rPr>
              <w:t>MODERATE</w:t>
            </w:r>
          </w:p>
        </w:tc>
        <w:tc>
          <w:tcPr>
            <w:tcW w:type="dxa" w:w="3135"/>
          </w:tcPr>
          <w:p>
            <w:r/>
            <w:r>
              <w:rPr>
                <w:b w:val="0"/>
                <w:sz w:val="18"/>
              </w:rPr>
              <w:t>Hub PCB Rev B Gerber build pending (OI-HUB-03)</w:t>
            </w:r>
          </w:p>
        </w:tc>
        <w:tc>
          <w:tcPr>
            <w:tcW w:type="dxa" w:w="3135"/>
          </w:tcPr>
          <w:p>
            <w:r/>
            <w:r>
              <w:rPr>
                <w:b w:val="0"/>
                <w:sz w:val="18"/>
              </w:rPr>
              <w:t>FAI-SM-04 (1064nm optical bench irradiance) and FAI-SM-06 (PD1/PD2 dose accuracy) are blocked until Hub PCB Rev B with Vishay DG2788A TIA gain switch is built. NP-HW-HUB-001 Rev B specifies all changes.</w:t>
            </w:r>
          </w:p>
        </w:tc>
      </w:tr>
      <w:tr>
        <w:tc>
          <w:tcPr>
            <w:tcW w:type="dxa" w:w="3135"/>
          </w:tcPr>
          <w:p>
            <w:r/>
            <w:r>
              <w:rPr>
                <w:b w:val="0"/>
                <w:sz w:val="18"/>
              </w:rPr>
              <w:t>STRUCTURAL</w:t>
            </w:r>
          </w:p>
        </w:tc>
        <w:tc>
          <w:tcPr>
            <w:tcW w:type="dxa" w:w="3135"/>
          </w:tcPr>
          <w:p>
            <w:r/>
            <w:r>
              <w:rPr>
                <w:b w:val="0"/>
                <w:sz w:val="18"/>
              </w:rPr>
              <w:t>Fluxgate calibration requires Tier B service visit (every 3–5 years)</w:t>
            </w:r>
          </w:p>
        </w:tc>
        <w:tc>
          <w:tcPr>
            <w:tcW w:type="dxa" w:w="3135"/>
          </w:tcPr>
          <w:p>
            <w:r/>
            <w:r>
              <w:rPr>
                <w:b w:val="0"/>
                <w:sz w:val="18"/>
              </w:rPr>
              <w:t>Geomagnetic field magnitude comparison detects severe drift. Fleet SHDR predicts need with months of lead time. 3–5 year interval means Tier B network is established before first visits needed.</w:t>
            </w:r>
          </w:p>
        </w:tc>
      </w:tr>
      <w:tr>
        <w:tc>
          <w:tcPr>
            <w:tcW w:type="dxa" w:w="3135"/>
          </w:tcPr>
          <w:p>
            <w:r/>
            <w:r>
              <w:rPr>
                <w:b w:val="0"/>
                <w:sz w:val="18"/>
              </w:rPr>
              <w:t>STRUCTURAL</w:t>
            </w:r>
          </w:p>
        </w:tc>
        <w:tc>
          <w:tcPr>
            <w:tcW w:type="dxa" w:w="3135"/>
          </w:tcPr>
          <w:p>
            <w:r/>
            <w:r>
              <w:rPr>
                <w:b w:val="0"/>
                <w:sz w:val="18"/>
              </w:rPr>
              <w:t>iOS/Android OS update dependency</w:t>
            </w:r>
          </w:p>
        </w:tc>
        <w:tc>
          <w:tcPr>
            <w:tcW w:type="dxa" w:w="3135"/>
          </w:tcPr>
          <w:p>
            <w:r/>
            <w:r>
              <w:rPr>
                <w:b w:val="0"/>
                <w:sz w:val="18"/>
              </w:rPr>
              <w:t>Apple/Google developer beta participation. 7-day OS compatibility SLA. Autonomous Mode 3 as structural fallback.</w:t>
            </w:r>
          </w:p>
        </w:tc>
      </w:tr>
      <w:tr>
        <w:tc>
          <w:tcPr>
            <w:tcW w:type="dxa" w:w="3135"/>
          </w:tcPr>
          <w:p>
            <w:r/>
            <w:r>
              <w:rPr>
                <w:b w:val="0"/>
                <w:sz w:val="18"/>
              </w:rPr>
              <w:t>HIGH (OPEN)</w:t>
            </w:r>
          </w:p>
        </w:tc>
        <w:tc>
          <w:tcPr>
            <w:tcW w:type="dxa" w:w="3135"/>
          </w:tcPr>
          <w:p>
            <w:r/>
            <w:r>
              <w:rPr>
                <w:b w:val="0"/>
                <w:sz w:val="18"/>
              </w:rPr>
              <w:t>InGaAs PD factory calibration procedure not yet authored (OI-PBM-04)</w:t>
            </w:r>
          </w:p>
        </w:tc>
        <w:tc>
          <w:tcPr>
            <w:tcW w:type="dxa" w:w="3135"/>
          </w:tcPr>
          <w:p>
            <w:r/>
            <w:r>
              <w:rPr>
                <w:b w:val="0"/>
                <w:sz w:val="18"/>
              </w:rPr>
              <w:t>Integrating sphere reference at 1064nm required. K_PD1_1064, K_PD2_1064, K_ratio_nom written to Config partition at manufacture. Required before production of smart zone modules.</w:t>
            </w:r>
          </w:p>
        </w:tc>
      </w:tr>
      <w:tr>
        <w:tc>
          <w:tcPr>
            <w:tcW w:type="dxa" w:w="3135"/>
          </w:tcPr>
          <w:p>
            <w:r/>
            <w:r>
              <w:rPr>
                <w:b w:val="0"/>
                <w:sz w:val="18"/>
              </w:rPr>
              <w:t>HIGH (OPEN)</w:t>
            </w:r>
          </w:p>
        </w:tc>
        <w:tc>
          <w:tcPr>
            <w:tcW w:type="dxa" w:w="3135"/>
          </w:tcPr>
          <w:p>
            <w:r/>
            <w:r>
              <w:rPr>
                <w:b w:val="0"/>
                <w:sz w:val="18"/>
              </w:rPr>
              <w:t>T2 hardware FAI items pending (FAI-CV01, FAI-CV02, FAI-HD01, FAI-HD03, FAI-HD04)</w:t>
            </w:r>
          </w:p>
        </w:tc>
        <w:tc>
          <w:tcPr>
            <w:tcW w:type="dxa" w:w="3135"/>
          </w:tcPr>
          <w:p>
            <w:r/>
            <w:r>
              <w:rPr>
                <w:b w:val="0"/>
                <w:sz w:val="18"/>
              </w:rPr>
              <w:t>All require T2 prototype bench. FAI-CV02 (cardiac interlock timing) required for G3-08 full closure. FAI-HD01 (phantom localization), FAI-HD03 (FWHM ≤25mm), FAI-HD04 (SNR ≥20dB) required for G3-07 full closure.</w:t>
            </w:r>
          </w:p>
        </w:tc>
      </w:tr>
    </w:tbl>
    <w:p/>
    <w:p>
      <w:pPr>
        <w:pStyle w:val="Heading1"/>
      </w:pPr>
      <w:r>
        <w:rPr>
          <w:color w:val="1A1A2E"/>
          <w:sz w:val="28"/>
        </w:rPr>
        <w:t>9. Open Items + Completed Decisions</w:t>
      </w:r>
    </w:p>
    <w:p>
      <w:pPr>
        <w:pStyle w:val="Heading2"/>
      </w:pPr>
      <w:r>
        <w:rPr>
          <w:color w:val="1A1A2E"/>
          <w:sz w:val="24"/>
        </w:rPr>
        <w:t>9.1 Pending decisions — action required before tooling is cut or production starts</w:t>
      </w:r>
    </w:p>
    <w:p>
      <w:pPr>
        <w:pStyle w:val="ListBullet"/>
        <w:ind w:left="283"/>
      </w:pPr>
      <w:r>
        <w:rPr>
          <w:b w:val="0"/>
          <w:sz w:val="19"/>
        </w:rPr>
        <w:t>Product name trademark clearance (US/EU/CA/AU) — before ANY external conversation</w:t>
      </w:r>
    </w:p>
    <w:p>
      <w:pPr>
        <w:pStyle w:val="ListBullet"/>
        <w:ind w:left="283"/>
      </w:pPr>
      <w:r>
        <w:rPr>
          <w:b w:val="0"/>
          <w:sz w:val="19"/>
        </w:rPr>
        <w:t>400 mW/cm² regulatory opinion letter (RISK-03 — BLOCKING for all public material referencing irradiance)</w:t>
      </w:r>
    </w:p>
    <w:p>
      <w:pPr>
        <w:pStyle w:val="ListBullet"/>
        <w:ind w:left="283"/>
      </w:pPr>
      <w:r>
        <w:rPr>
          <w:b w:val="0"/>
          <w:sz w:val="19"/>
        </w:rPr>
        <w:t>CFRP shell slot rim Ra ≤ 1.6 µm — written supplier confirmation with Ra measurement data (RISK-20 BLOCKING)</w:t>
      </w:r>
    </w:p>
    <w:p>
      <w:pPr>
        <w:pStyle w:val="ListBullet"/>
        <w:ind w:left="283"/>
      </w:pPr>
      <w:r>
        <w:rPr>
          <w:b w:val="0"/>
          <w:sz w:val="19"/>
        </w:rPr>
        <w:t>PDMS CAT-C supplier selection + 200-cycle IEC 60068-2-14 thermal cycling qualification (RISK-04 BLOCKING)</w:t>
      </w:r>
    </w:p>
    <w:p>
      <w:pPr>
        <w:pStyle w:val="ListBullet"/>
        <w:ind w:left="283"/>
      </w:pPr>
      <w:r>
        <w:rPr>
          <w:b w:val="0"/>
          <w:sz w:val="19"/>
        </w:rPr>
        <w:t>LED emitter pulse current rating verification (660nm + 808–830nm FPC candidates at 120–180mA)</w:t>
      </w:r>
    </w:p>
    <w:p>
      <w:pPr>
        <w:pStyle w:val="ListBullet"/>
        <w:ind w:left="283"/>
      </w:pPr>
      <w:r>
        <w:rPr>
          <w:b w:val="0"/>
          <w:sz w:val="19"/>
        </w:rPr>
        <w:t>Zone module mold design review — NP-TOOL-ZM-001 §5 checklist (all 8 features F-01 through F-08) signed off before steel cut</w:t>
      </w:r>
    </w:p>
    <w:p>
      <w:pPr>
        <w:pStyle w:val="ListBullet"/>
        <w:ind w:left="283"/>
      </w:pPr>
      <w:r>
        <w:rPr>
          <w:b w:val="0"/>
          <w:sz w:val="19"/>
        </w:rPr>
        <w:t>ZONE_ID firmware debounce spec written into firmware requirements document (3×ADC at 100ms, ≥2/3 pass — RISK-18)</w:t>
      </w:r>
    </w:p>
    <w:p>
      <w:pPr>
        <w:pStyle w:val="ListBullet"/>
        <w:ind w:left="283"/>
      </w:pPr>
      <w:r>
        <w:rPr>
          <w:b w:val="0"/>
          <w:sz w:val="19"/>
        </w:rPr>
        <w:t>HFE formative study for sliding eject lever — 5 subjects with Parkinson's/post-stroke (NP-TOOL-ZM-001 OI-4, NP-FAI-ZM-001 FAI-A15)</w:t>
      </w:r>
    </w:p>
    <w:p>
      <w:pPr>
        <w:pStyle w:val="ListBullet"/>
        <w:ind w:left="283"/>
      </w:pPr>
      <w:r>
        <w:rPr>
          <w:b w:val="0"/>
          <w:sz w:val="19"/>
        </w:rPr>
        <w:t>Hub tooling: probe dock + anchor posts + large-radius Boa cable channel + tool-free fan (quarter-turn captive fastener)</w:t>
      </w:r>
    </w:p>
    <w:p>
      <w:pPr>
        <w:pStyle w:val="ListBullet"/>
        <w:ind w:left="283"/>
      </w:pPr>
      <w:r>
        <w:rPr>
          <w:b w:val="0"/>
          <w:sz w:val="19"/>
        </w:rPr>
        <w:t>Factory calibration procedure for InGaAs PD coefficients (K_PD1_1064, K_PD2_1064): integrating sphere reference at 1064nm; write to Config partition at manufacture (OI-PBM-04)</w:t>
      </w:r>
    </w:p>
    <w:p>
      <w:pPr>
        <w:pStyle w:val="ListBullet"/>
        <w:ind w:left="283"/>
      </w:pPr>
      <w:r>
        <w:rPr>
          <w:b w:val="0"/>
          <w:sz w:val="19"/>
        </w:rPr>
        <w:t>Hub PCB Rev B Gerber build (OI-HUB-03) — BLOCKING for FAI-SM-04 and FAI-SM-06 optical bench tests</w:t>
      </w:r>
    </w:p>
    <w:p>
      <w:pPr>
        <w:pStyle w:val="ListBullet"/>
        <w:ind w:left="283"/>
      </w:pPr>
      <w:r>
        <w:rPr>
          <w:b w:val="0"/>
          <w:sz w:val="19"/>
        </w:rPr>
        <w:t>QMS — hire VP Quality (Month 6 target)</w:t>
      </w:r>
    </w:p>
    <w:p>
      <w:pPr>
        <w:pStyle w:val="ListBullet"/>
        <w:ind w:left="283"/>
      </w:pPr>
      <w:r>
        <w:rPr>
          <w:b w:val="0"/>
          <w:sz w:val="19"/>
        </w:rPr>
        <w:t>QMS — author Design and Development Plan NP-DP-001 (Month 3 target)</w:t>
      </w:r>
    </w:p>
    <w:p>
      <w:pPr>
        <w:pStyle w:val="ListBullet"/>
        <w:ind w:left="283"/>
      </w:pPr>
      <w:r>
        <w:rPr>
          <w:b w:val="0"/>
          <w:sz w:val="19"/>
        </w:rPr>
        <w:t>QMS — author Design Input/Output Traceability Matrix NP-DT-001 (Month 6 target)</w:t>
      </w:r>
    </w:p>
    <w:p>
      <w:pPr>
        <w:pStyle w:val="ListBullet"/>
        <w:ind w:left="283"/>
      </w:pPr>
      <w:r>
        <w:rPr>
          <w:b w:val="0"/>
          <w:sz w:val="19"/>
        </w:rPr>
        <w:t>QMS — author Human Factors Engineering Plan NP-HFE-001 (Month 9 target)</w:t>
      </w:r>
    </w:p>
    <w:p>
      <w:pPr>
        <w:pStyle w:val="ListBullet"/>
        <w:ind w:left="283"/>
      </w:pPr>
      <w:r>
        <w:rPr>
          <w:b w:val="0"/>
          <w:sz w:val="19"/>
        </w:rPr>
        <w:t>QMS — author Post-Market Surveillance Plan NP-PMS-001 (Month 12 target, before T1 launch)</w:t>
      </w:r>
    </w:p>
    <w:p>
      <w:pPr>
        <w:pStyle w:val="ListBullet"/>
        <w:ind w:left="283"/>
      </w:pPr>
      <w:r>
        <w:rPr>
          <w:b w:val="0"/>
          <w:sz w:val="19"/>
        </w:rPr>
        <w:t>QMS — select and implement eQMS platform (Month 9 target — MasterControl, Greenlight Guru, SimplerQMS, Veeva Vault)</w:t>
      </w:r>
    </w:p>
    <w:p>
      <w:pPr>
        <w:pStyle w:val="ListBullet"/>
        <w:ind w:left="283"/>
      </w:pPr>
      <w:r>
        <w:rPr>
          <w:b w:val="0"/>
          <w:sz w:val="19"/>
        </w:rPr>
        <w:t>SW-01 Safety MCU unit-level FMEA (IEC 62304 §7.1 Class C, SW01-M01..M08)</w:t>
      </w:r>
    </w:p>
    <w:p>
      <w:pPr>
        <w:pStyle w:val="ListBullet"/>
        <w:ind w:left="283"/>
      </w:pPr>
      <w:r>
        <w:rPr>
          <w:b w:val="0"/>
          <w:sz w:val="19"/>
        </w:rPr>
        <w:t>SBOM (NP-SBOM-001) — planned Year 2, required for 510(k) cybersecurity submission</w:t>
      </w:r>
    </w:p>
    <w:p>
      <w:pPr>
        <w:pStyle w:val="ListBullet"/>
        <w:ind w:left="283"/>
      </w:pPr>
      <w:r>
        <w:rPr>
          <w:b w:val="0"/>
          <w:sz w:val="19"/>
        </w:rPr>
        <w:t>SAB formation — Tsai outreach first (617-324-0305, SAB role only)</w:t>
      </w:r>
    </w:p>
    <w:p>
      <w:pPr>
        <w:pStyle w:val="ListBullet"/>
        <w:ind w:left="283"/>
      </w:pPr>
      <w:r>
        <w:rPr>
          <w:b w:val="0"/>
          <w:sz w:val="19"/>
        </w:rPr>
        <w:t>First researcher contacts: Rashidi-Ranjbar → Jog → Naeser</w:t>
      </w:r>
    </w:p>
    <w:p>
      <w:pPr>
        <w:pStyle w:val="ListBullet"/>
        <w:ind w:left="283"/>
      </w:pPr>
      <w:r>
        <w:rPr>
          <w:b w:val="0"/>
          <w:sz w:val="19"/>
        </w:rPr>
        <w:t>SBIR Phase I application</w:t>
      </w:r>
    </w:p>
    <w:p>
      <w:pPr>
        <w:pStyle w:val="ListBullet"/>
        <w:ind w:left="283"/>
      </w:pPr>
      <w:r>
        <w:rPr>
          <w:b w:val="0"/>
          <w:sz w:val="19"/>
        </w:rPr>
        <w:t>Partner optician network contract (S3 Rx program)</w:t>
      </w:r>
    </w:p>
    <w:p>
      <w:pPr>
        <w:pStyle w:val="ListBullet"/>
        <w:ind w:left="283"/>
      </w:pPr>
      <w:r>
        <w:rPr>
          <w:b w:val="0"/>
          <w:sz w:val="19"/>
        </w:rPr>
        <w:t>FAI-CV01 electrode placement bench (anatomical phantom — T2 prototype required)</w:t>
      </w:r>
    </w:p>
    <w:p>
      <w:pPr>
        <w:pStyle w:val="ListBullet"/>
        <w:ind w:left="283"/>
      </w:pPr>
      <w:r>
        <w:rPr>
          <w:b w:val="0"/>
          <w:sz w:val="19"/>
        </w:rPr>
        <w:t>FAI-CV02 cardiac interlock timing bench (oscilloscope, R-peak signal generator — T2 prototype required)</w:t>
      </w:r>
    </w:p>
    <w:p>
      <w:pPr>
        <w:pStyle w:val="ListBullet"/>
        <w:ind w:left="283"/>
      </w:pPr>
      <w:r>
        <w:rPr>
          <w:b w:val="0"/>
          <w:sz w:val="19"/>
        </w:rPr>
        <w:t>FAI-CV03 tolerability (3 healthy adults — IRB approval required)</w:t>
      </w:r>
    </w:p>
    <w:p>
      <w:pPr>
        <w:pStyle w:val="ListBullet"/>
        <w:ind w:left="283"/>
      </w:pPr>
      <w:r>
        <w:rPr>
          <w:b w:val="0"/>
          <w:sz w:val="19"/>
        </w:rPr>
        <w:t>FAI-HD01 phantom 15mm localization accuracy bench (T2 prototype required)</w:t>
      </w:r>
    </w:p>
    <w:p>
      <w:pPr>
        <w:pStyle w:val="ListBullet"/>
        <w:ind w:left="283"/>
      </w:pPr>
      <w:r>
        <w:rPr>
          <w:b w:val="0"/>
          <w:sz w:val="19"/>
        </w:rPr>
        <w:t>FAI-HD03 FWHM ≤25mm focality bench (T2 prototype required)</w:t>
      </w:r>
    </w:p>
    <w:p>
      <w:pPr>
        <w:pStyle w:val="ListBullet"/>
        <w:ind w:left="283"/>
      </w:pPr>
      <w:r>
        <w:rPr>
          <w:b w:val="0"/>
          <w:sz w:val="19"/>
        </w:rPr>
        <w:t>FAI-HD04 SNR ≥20dB concurrent EEG bench (T2 prototype required)</w:t>
      </w:r>
    </w:p>
    <w:p>
      <w:pPr>
        <w:pStyle w:val="ListBullet"/>
        <w:ind w:left="283"/>
      </w:pPr>
      <w:r>
        <w:rPr>
          <w:b w:val="0"/>
          <w:sz w:val="19"/>
        </w:rPr>
        <w:t>OI-PBM-05 aggregate irradiance 600 mW/cm² ceiling value — confirm from counsel Q5/Q6 (RISK-03 scope expansion)</w:t>
      </w:r>
    </w:p>
    <w:p>
      <w:pPr>
        <w:pStyle w:val="ListBullet"/>
        <w:ind w:left="283"/>
      </w:pPr>
      <w:r>
        <w:rPr>
          <w:b w:val="0"/>
          <w:sz w:val="19"/>
        </w:rPr>
        <w:t>OI-SES-01 through OI-SES-05 (session protocol open items — NP-SES-1064-001 Rev A)</w:t>
      </w:r>
    </w:p>
    <w:p>
      <w:pPr>
        <w:pStyle w:val="ListBullet"/>
        <w:ind w:left="283"/>
      </w:pPr>
      <w:r>
        <w:rPr>
          <w:b w:val="0"/>
          <w:sz w:val="19"/>
        </w:rPr>
        <w:t>OI-WA-02 Apple Watch screen brightness characterization ≥100 nits at 40Hz (blocks Watch Phase 4)</w:t>
      </w:r>
    </w:p>
    <w:p>
      <w:pPr>
        <w:pStyle w:val="ListBullet"/>
        <w:ind w:left="283"/>
      </w:pPr>
      <w:r>
        <w:rPr>
          <w:b w:val="0"/>
          <w:sz w:val="19"/>
        </w:rPr>
        <w:t>Lens tooling OI-10: CAD confirmation of goggle arm anchor hook geometry + shade clearance (MR-19 + MR-20)</w:t>
      </w:r>
    </w:p>
    <w:p>
      <w:pPr>
        <w:pStyle w:val="ListBullet"/>
        <w:ind w:left="283"/>
      </w:pPr>
      <w:r>
        <w:rPr>
          <w:b w:val="0"/>
          <w:sz w:val="19"/>
        </w:rPr>
        <w:t>AgNW coating supplier qualification (NP-TOOL-LENS-001 Rev B P-01 BLOCKING for lens tooling release)</w:t>
      </w:r>
    </w:p>
    <w:p>
      <w:pPr>
        <w:pStyle w:val="ListBullet"/>
        <w:ind w:left="283"/>
      </w:pPr>
      <w:r>
        <w:rPr>
          <w:b w:val="0"/>
          <w:sz w:val="19"/>
        </w:rPr>
        <w:t>PCBA layout DRC-18 verification overlay (FPC-to-EEG ≥15mm separation — confirm in production CAD before any PCB layout is finalised)</w:t>
      </w:r>
    </w:p>
    <w:p/>
    <w:p>
      <w:pPr>
        <w:pStyle w:val="Heading2"/>
      </w:pPr>
      <w:r>
        <w:rPr>
          <w:color w:val="1A1A2E"/>
          <w:sz w:val="24"/>
        </w:rPr>
        <w:t>9.2 Completed decisions — locked (cumulative through Revision 5)</w:t>
      </w:r>
    </w:p>
    <w:p>
      <w:pPr>
        <w:pStyle w:val="ListBullet"/>
        <w:ind w:left="283"/>
      </w:pPr>
      <w:r>
        <w:rPr>
          <w:b w:val="0"/>
          <w:sz w:val="19"/>
        </w:rPr>
        <w:t>Two-tier product strategy with shared platform (one production line, T1 wellness + T2 clinical)</w:t>
      </w:r>
    </w:p>
    <w:p>
      <w:pPr>
        <w:pStyle w:val="ListBullet"/>
        <w:ind w:left="283"/>
      </w:pPr>
      <w:r>
        <w:rPr>
          <w:b w:val="0"/>
          <w:sz w:val="19"/>
        </w:rPr>
        <w:t>600 LEDs (300×660nm + 300×808–830nm) FPC zone modules from launch — no Rev A/Rev B split</w:t>
      </w:r>
    </w:p>
    <w:p>
      <w:pPr>
        <w:pStyle w:val="ListBullet"/>
        <w:ind w:left="283"/>
      </w:pPr>
      <w:r>
        <w:rPr>
          <w:b w:val="0"/>
          <w:sz w:val="19"/>
        </w:rPr>
        <w:t>400 mW/cm² peak pulsed via firmware duty cycle (Path A, $0 hardware BOM) — pending regulatory opinion</w:t>
      </w:r>
    </w:p>
    <w:p>
      <w:pPr>
        <w:pStyle w:val="ListBullet"/>
        <w:ind w:left="283"/>
      </w:pPr>
      <w:r>
        <w:rPr>
          <w:b w:val="0"/>
          <w:sz w:val="19"/>
        </w:rPr>
        <w:t>21-channel EEG montage with FC3/FC4/Oz/A1/A2 (linked-ear normative reference on VNS clips)</w:t>
      </w:r>
    </w:p>
    <w:p>
      <w:pPr>
        <w:pStyle w:val="ListBullet"/>
        <w:ind w:left="283"/>
      </w:pPr>
      <w:r>
        <w:rPr>
          <w:b w:val="0"/>
          <w:sz w:val="19"/>
        </w:rPr>
        <w:t>STM32G071 safety MCU (not G031 — G031 has insufficient SRAM for EMF firmware) — +$0.45 BOM</w:t>
      </w:r>
    </w:p>
    <w:p>
      <w:pPr>
        <w:pStyle w:val="ListBullet"/>
        <w:ind w:left="283"/>
      </w:pPr>
      <w:r>
        <w:rPr>
          <w:b w:val="0"/>
          <w:sz w:val="19"/>
        </w:rPr>
        <w:t>No NFC anywhere — optical code + resistive pogo authentication throughout</w:t>
      </w:r>
    </w:p>
    <w:p>
      <w:pPr>
        <w:pStyle w:val="ListBullet"/>
        <w:ind w:left="283"/>
      </w:pPr>
      <w:r>
        <w:rPr>
          <w:b w:val="0"/>
          <w:sz w:val="19"/>
        </w:rPr>
        <w:t>USB-C wired-first default, BT/Wi-Fi toggle, antennas in hub not headset</w:t>
      </w:r>
    </w:p>
    <w:p>
      <w:pPr>
        <w:pStyle w:val="ListBullet"/>
        <w:ind w:left="283"/>
      </w:pPr>
      <w:r>
        <w:rPr>
          <w:b w:val="0"/>
          <w:sz w:val="19"/>
        </w:rPr>
        <w:t>Boa-style dial fit system + spring-decoupled electrode pods (80–120g, ±12mm) — one adult SKU 52–62cm</w:t>
      </w:r>
    </w:p>
    <w:p>
      <w:pPr>
        <w:pStyle w:val="ListBullet"/>
        <w:ind w:left="283"/>
      </w:pPr>
      <w:r>
        <w:rPr>
          <w:b w:val="0"/>
          <w:sz w:val="19"/>
        </w:rPr>
        <w:t>5-layer passive EMF shielding + active Helmholtz cancellation + palladium fabric (permanent fleet-verified shielding claim)</w:t>
      </w:r>
    </w:p>
    <w:p>
      <w:pPr>
        <w:pStyle w:val="ListBullet"/>
        <w:ind w:left="283"/>
      </w:pPr>
      <w:r>
        <w:rPr>
          <w:b w:val="0"/>
          <w:sz w:val="19"/>
        </w:rPr>
        <w:t>Auricular VNS clip = HRV PPG + A1/A2 EEG references (2 spare conductors in existing 6-pin cable, +$15 BOM)</w:t>
      </w:r>
    </w:p>
    <w:p>
      <w:pPr>
        <w:pStyle w:val="ListBullet"/>
        <w:ind w:left="283"/>
      </w:pPr>
      <w:r>
        <w:rPr>
          <w:b w:val="0"/>
          <w:sz w:val="19"/>
        </w:rPr>
        <w:t>HRV biofeedback protocol (software only, $0 BOM): four protocols; resonance frequency breathing pacer; coherence score (LF peak/total); taVNS inspiration-phase sync; dual EEG+HRV biofeedback; bone conduction cue. NP-FW-HRV-001 Rev A + firmware/hrv_biofeedback/ BASELINED. G2-12 CLOSED.</w:t>
      </w:r>
    </w:p>
    <w:p>
      <w:pPr>
        <w:pStyle w:val="ListBullet"/>
        <w:ind w:left="283"/>
      </w:pPr>
      <w:r>
        <w:rPr>
          <w:b w:val="0"/>
          <w:sz w:val="19"/>
        </w:rPr>
        <w:t>sLORETA-guided HD-tDCS (T2): 4×1 ring montage; 2447-voxel weight matrix; 7 clinical targets; concurrent EEG; $0 BOM delta. NP-FW-HD-001 Rev A + firmware/sloreta_hdtdcs/ BASELINED. G3-07 SOFTWARE BASELINED.</w:t>
      </w:r>
    </w:p>
    <w:p>
      <w:pPr>
        <w:pStyle w:val="ListBullet"/>
        <w:ind w:left="283"/>
      </w:pPr>
      <w:r>
        <w:rPr>
          <w:b w:val="0"/>
          <w:sz w:val="19"/>
        </w:rPr>
        <w:t>Cervical VNS (T2 accessory): neck-worn tcVNS; safety MCU cardiac interlock &lt;5.1ms; 510(k) predicate = electroCore gammaCore K163334/K173323; +$35–55 BOM. NP-FW-CVNS-001 Rev A + firmware/cervical_vns/ BASELINED. NP-REG-CVNS-001 Rev A BASELINED. G3-08 SOFTWARE BASELINED.</w:t>
      </w:r>
    </w:p>
    <w:p>
      <w:pPr>
        <w:pStyle w:val="ListBullet"/>
        <w:ind w:left="283"/>
      </w:pPr>
      <w:r>
        <w:rPr>
          <w:b w:val="0"/>
          <w:sz w:val="19"/>
        </w:rPr>
        <w:t>1064nm smart zone module (Path B): ATtiny402 + 3× IRLML6344 ($1.00 driver BOM); 550 LEDs (200+200+150); Hamamatsu G12180-010A InGaAs PDs; EPITEX L1064-02AU via Marubeni; NP-FPC-ZM-SM-01; NP-TOOL-ZM-SM-001 Rev A; NP-FW-PBM1064-001 Rev A; NP-SES-1064-001 Rev A BASELINED.</w:t>
      </w:r>
    </w:p>
    <w:p>
      <w:pPr>
        <w:pStyle w:val="ListBullet"/>
        <w:ind w:left="283"/>
      </w:pPr>
      <w:r>
        <w:rPr>
          <w:b w:val="0"/>
          <w:sz w:val="19"/>
        </w:rPr>
        <w:t>Hub PCB Rev B: Vishay DG2788A TIA gain switch per slot (×5) + NXP PCA9546A I2C mux. NP-HW-HUB-001 Rev B BASELINED. OI-PBM-HW-01 SPECIFIED. OI-PBM-HW-02 SPECIFIED.</w:t>
      </w:r>
    </w:p>
    <w:p>
      <w:pPr>
        <w:pStyle w:val="ListBullet"/>
        <w:ind w:left="283"/>
      </w:pPr>
      <w:r>
        <w:rPr>
          <w:b w:val="0"/>
          <w:sz w:val="19"/>
        </w:rPr>
        <w:t>FPC 20-pin pinout locked: pin 18 = ZONE_ID (ZM-01=10kΩ→ZM-05=220kΩ, 1% 0402); pin 19 = PD2_CATHODE (scalp-side reference PD, RISK-14 Option B). NP-HW-FPC-001 Rev D/E.</w:t>
      </w:r>
    </w:p>
    <w:p>
      <w:pPr>
        <w:pStyle w:val="ListBullet"/>
        <w:ind w:left="283"/>
      </w:pPr>
      <w:r>
        <w:rPr>
          <w:b w:val="0"/>
          <w:sz w:val="19"/>
        </w:rPr>
        <w:t>FPC layout frozen: PD2 position X=33.0mm, Y=39.0mm from module reference corner (F-04 aperture locked). OI-3 CLOSED. NP-COORD-001 G1-15 CLOSED.</w:t>
      </w:r>
    </w:p>
    <w:p>
      <w:pPr>
        <w:pStyle w:val="ListBullet"/>
        <w:ind w:left="283"/>
      </w:pPr>
      <w:r>
        <w:rPr>
          <w:b w:val="0"/>
          <w:sz w:val="19"/>
        </w:rPr>
        <w:t>Zone module dual photodiode (RISK-14 Option B): PD1 behind PDMS window + PD2 scalp-facing; PD1/PD2 ratio separates fouling from LED aging; T1/T2 identical mold.</w:t>
      </w:r>
    </w:p>
    <w:p>
      <w:pPr>
        <w:pStyle w:val="ListBullet"/>
        <w:ind w:left="283"/>
      </w:pPr>
      <w:r>
        <w:rPr>
          <w:b w:val="0"/>
          <w:sz w:val="19"/>
        </w:rPr>
        <w:t>Five-layer zone module keying (RISK-15): mechanical key + ZONE_ID resistor + braille/numeral + shell tactile dots + bone conduction audio. Color-blind and blind users covered.</w:t>
      </w:r>
    </w:p>
    <w:p>
      <w:pPr>
        <w:pStyle w:val="ListBullet"/>
        <w:ind w:left="283"/>
      </w:pPr>
      <w:r>
        <w:rPr>
          <w:b w:val="0"/>
          <w:sz w:val="19"/>
        </w:rPr>
        <w:t>Self-sealing gasket (RISK-16 Option A): co-molded Shore 40–50A silicone; no user RTV; IPX4 rated after 10 swap cycles.</w:t>
      </w:r>
    </w:p>
    <w:p>
      <w:pPr>
        <w:pStyle w:val="ListBullet"/>
        <w:ind w:left="283"/>
      </w:pPr>
      <w:r>
        <w:rPr>
          <w:b w:val="0"/>
          <w:sz w:val="19"/>
        </w:rPr>
        <w:t>Sliding eject lever (RISK-22 Option A): 10–12mm, 3:1 mechanical advantage, ≤1N extraction force. Parkinson's Hoehn &amp; Yahr II–III accessibility target.</w:t>
      </w:r>
    </w:p>
    <w:p>
      <w:pPr>
        <w:pStyle w:val="ListBullet"/>
        <w:ind w:left="283"/>
      </w:pPr>
      <w:r>
        <w:rPr>
          <w:b w:val="0"/>
          <w:sz w:val="19"/>
        </w:rPr>
        <w:t>ZONE_ID firmware debounce: 3× ADC reads at 100ms intervals; ≥2/3 must pass before FAULT (RISK-18).</w:t>
      </w:r>
    </w:p>
    <w:p>
      <w:pPr>
        <w:pStyle w:val="ListBullet"/>
        <w:ind w:left="283"/>
      </w:pPr>
      <w:r>
        <w:rPr>
          <w:b w:val="0"/>
          <w:sz w:val="19"/>
        </w:rPr>
        <w:t>Zone module bone conduction announcement firmware BASELINED: firmware/zone_announce/ + NP-FW-ZA-001 Rev A. G2-10 CLOSED.</w:t>
      </w:r>
    </w:p>
    <w:p>
      <w:pPr>
        <w:pStyle w:val="ListBullet"/>
        <w:ind w:left="283"/>
      </w:pPr>
      <w:r>
        <w:rPr>
          <w:b w:val="0"/>
          <w:sz w:val="19"/>
        </w:rPr>
        <w:t>PDMS bonding: SiO₂ 75nm interlayer + O₂ plasma; ≥150 N/m peel; 200-cycle IEC 60068-2-14 qualification BLOCKING before production.</w:t>
      </w:r>
    </w:p>
    <w:p>
      <w:pPr>
        <w:pStyle w:val="ListBullet"/>
        <w:ind w:left="283"/>
      </w:pPr>
      <w:r>
        <w:rPr>
          <w:b w:val="0"/>
          <w:sz w:val="19"/>
        </w:rPr>
        <w:t>EEG cable routing (RISK-21, OI-09 CLOSED, G2-11 CLOSED): 8×5mm main trunk + 6×4mm lateral branch on outer CFRP inner surface. DRC-18 PASSES. DRC-22 CLOSED. DRC-23 CLOSED.</w:t>
      </w:r>
    </w:p>
    <w:p>
      <w:pPr>
        <w:pStyle w:val="ListBullet"/>
        <w:ind w:left="283"/>
      </w:pPr>
      <w:r>
        <w:rPr>
          <w:b w:val="0"/>
          <w:sz w:val="19"/>
        </w:rPr>
        <w:t>Multi-FPC bundle management (RISK-17): ≥2mm inter-FPC separation; ≥15mm FPC-to-EEG; 3 anchor bosses per FPC; all 5 hub ZIF connectors on same PCB edge.</w:t>
      </w:r>
    </w:p>
    <w:p>
      <w:pPr>
        <w:pStyle w:val="ListBullet"/>
        <w:ind w:left="283"/>
      </w:pPr>
      <w:r>
        <w:rPr>
          <w:b w:val="0"/>
          <w:sz w:val="19"/>
        </w:rPr>
        <w:t>Shell tooling specification: NP-TOOL-SHELL-001 Rev A — F-01 zone anchor posts (×5, color-coded), F-02 port cover anchor posts (×3), F-03 EEG cable channel (8×5mm), F-04 temporal wing boss (PROVISIONAL pending HOPE Phase 3).</w:t>
      </w:r>
    </w:p>
    <w:p>
      <w:pPr>
        <w:pStyle w:val="ListBullet"/>
        <w:ind w:left="283"/>
      </w:pPr>
      <w:r>
        <w:rPr>
          <w:b w:val="0"/>
          <w:sz w:val="19"/>
        </w:rPr>
        <w:t>Lens and goggle assembly tooling: NP-TOOL-LENS-001 Rev B — sliding rail (F-01/F-02), N42 magnet pockets (F-03/F-04), EC driver contacts (F-05/F-06), AgNW coating (P-01), hard coat (P-02), inner PDMS diffuser (P-03), lens rim guard anchor hooks (F-07, MR-19, MR-20). Issue #18 CLOSED.</w:t>
      </w:r>
    </w:p>
    <w:p>
      <w:pPr>
        <w:pStyle w:val="ListBullet"/>
        <w:ind w:left="283"/>
      </w:pPr>
      <w:r>
        <w:rPr>
          <w:b w:val="0"/>
          <w:sz w:val="19"/>
        </w:rPr>
        <w:t>eMMC partition architecture + encryption: NP-FW-EMMC-001 Rev A (2026-05-11). G1-16 CLOSED.</w:t>
      </w:r>
    </w:p>
    <w:p>
      <w:pPr>
        <w:pStyle w:val="ListBullet"/>
        <w:ind w:left="283"/>
      </w:pPr>
      <w:r>
        <w:rPr>
          <w:b w:val="0"/>
          <w:sz w:val="19"/>
        </w:rPr>
        <w:t>Dual-bank OTA bootloader: firmware/bootloader/ BASELINED. Ed25519 signature verification. Automatic rollback. DFU recovery.</w:t>
      </w:r>
    </w:p>
    <w:p>
      <w:pPr>
        <w:pStyle w:val="ListBullet"/>
        <w:ind w:left="283"/>
      </w:pPr>
      <w:r>
        <w:rPr>
          <w:b w:val="0"/>
          <w:sz w:val="19"/>
        </w:rPr>
        <w:t>QMS established at company formation (2026-05-13, Issue #33): NP-QMS-001, NP-DHF-001, NP-QMS-DC-001, NP-RM-001, NP-SW-001, NP-QMS-CAPA-001. IEC 62304 safety classifications locked: Safety MCU Class C, Main processor Class B, App Class B. All pre-formation design documents retroactively entered under change control.</w:t>
      </w:r>
    </w:p>
    <w:p>
      <w:pPr>
        <w:pStyle w:val="ListBullet"/>
        <w:ind w:left="283"/>
      </w:pPr>
      <w:r>
        <w:rPr>
          <w:b w:val="0"/>
          <w:sz w:val="19"/>
        </w:rPr>
        <w:t>UHDR/SHDR terminology framework — complete separation, never linked by design</w:t>
      </w:r>
    </w:p>
    <w:p>
      <w:pPr>
        <w:pStyle w:val="ListBullet"/>
        <w:ind w:left="283"/>
      </w:pPr>
      <w:r>
        <w:rPr>
          <w:b w:val="0"/>
          <w:sz w:val="19"/>
        </w:rPr>
        <w:t>Research data anonymization architecture: on-device, per-study, fresh per request. Consent withdrawal immediately effective for all future data flows including historical sessions.</w:t>
      </w:r>
    </w:p>
    <w:p>
      <w:pPr>
        <w:pStyle w:val="ListBullet"/>
        <w:ind w:left="283"/>
      </w:pPr>
      <w:r>
        <w:rPr>
          <w:b w:val="0"/>
          <w:sz w:val="19"/>
        </w:rPr>
        <w:t>Clinical consent engine: use case library → minimum necessary data mapper → plain-language consent document</w:t>
      </w:r>
    </w:p>
    <w:p>
      <w:pPr>
        <w:pStyle w:val="ListBullet"/>
        <w:ind w:left="283"/>
      </w:pPr>
      <w:r>
        <w:rPr>
          <w:b w:val="0"/>
          <w:sz w:val="19"/>
        </w:rPr>
        <w:t>Research partnership: a priori consent (4 layers), results opt-in, suggestion portal, crowdfunding catalyst</w:t>
      </w:r>
    </w:p>
    <w:p>
      <w:pPr>
        <w:pStyle w:val="ListBullet"/>
        <w:ind w:left="283"/>
      </w:pPr>
      <w:r>
        <w:rPr>
          <w:b w:val="0"/>
          <w:sz w:val="19"/>
        </w:rPr>
        <w:t>POA workflow: human document review, jurisdiction flagging, scope limitation noted, annual re-verification</w:t>
      </w:r>
    </w:p>
    <w:p>
      <w:pPr>
        <w:pStyle w:val="ListBullet"/>
        <w:ind w:left="283"/>
      </w:pPr>
      <w:r>
        <w:rPr>
          <w:b w:val="0"/>
          <w:sz w:val="19"/>
        </w:rPr>
        <w:t>Service network: Tier A optical + Tier B electronics + Tier C retail + depot backstop</w:t>
      </w:r>
    </w:p>
    <w:p>
      <w:pPr>
        <w:pStyle w:val="ListBullet"/>
        <w:ind w:left="283"/>
      </w:pPr>
      <w:r>
        <w:rPr>
          <w:b w:val="0"/>
          <w:sz w:val="19"/>
        </w:rPr>
        <w:t>Predictive maintenance: 3-phase SHDR fleet LSTM → deployed back to devices via OTA</w:t>
      </w:r>
    </w:p>
    <w:p>
      <w:pPr>
        <w:pStyle w:val="ListBullet"/>
        <w:ind w:left="283"/>
      </w:pPr>
      <w:r>
        <w:rPr>
          <w:b w:val="0"/>
          <w:sz w:val="19"/>
        </w:rPr>
        <w:t>Charger policy: auto-include correct wattage at every upgrade + $19 upfront 65W option at checkout</w:t>
      </w:r>
    </w:p>
    <w:p>
      <w:pPr>
        <w:pStyle w:val="ListBullet"/>
        <w:ind w:left="283"/>
      </w:pPr>
      <w:r>
        <w:rPr>
          <w:b w:val="0"/>
          <w:sz w:val="19"/>
        </w:rPr>
        <w:t>All interface protection covers tethered to headset (cannot be permanently lost without deliberate cutting)</w:t>
      </w:r>
    </w:p>
    <w:p>
      <w:pPr>
        <w:pStyle w:val="ListBullet"/>
        <w:ind w:left="283"/>
      </w:pPr>
      <w:r>
        <w:rPr>
          <w:b w:val="0"/>
          <w:sz w:val="19"/>
        </w:rPr>
        <w:t>iOS App Roadmap (NP-APP-ROADMAP-001 Rev A) + Apple Watch sync app (4-phase post-launch roadmap). Issue #32.</w:t>
      </w:r>
    </w:p>
    <w:p>
      <w:pPr>
        <w:pStyle w:val="ListBullet"/>
        <w:ind w:left="283"/>
      </w:pPr>
      <w:r>
        <w:rPr>
          <w:b w:val="0"/>
          <w:sz w:val="19"/>
        </w:rPr>
        <w:t>1064nm regulatory scope expansion brief (NP-REG-PBM1064-001 Rev A) — 12 questions for outside counsel. Marketing gate maintained.</w:t>
      </w:r>
    </w:p>
    <w:p>
      <w:pPr>
        <w:pStyle w:val="ListBullet"/>
        <w:ind w:left="283"/>
      </w:pPr>
      <w:r>
        <w:rPr>
          <w:b w:val="0"/>
          <w:sz w:val="19"/>
        </w:rPr>
        <w:t>1064nm bibliography addendum (NP-BIB-1064-001 Rev A) — 6 entries including Yao et al. Science Advances 2022.</w:t>
      </w:r>
    </w:p>
    <w:p>
      <w:pPr>
        <w:pStyle w:val="ListBullet"/>
        <w:ind w:left="283"/>
      </w:pPr>
      <w:r>
        <w:rPr>
          <w:b w:val="0"/>
          <w:sz w:val="19"/>
        </w:rPr>
        <w:t>Risk register formalized under ISO 14971 change control (NP-RM-001 Rev A): 25 risks; 23 MITIGATED; RISK-03 and RISK-20 OPEN.</w:t>
      </w:r>
    </w:p>
    <w:p>
      <w:pPr>
        <w:pStyle w:val="ListBullet"/>
        <w:ind w:left="283"/>
      </w:pPr>
      <w:r>
        <w:rPr>
          <w:b w:val="0"/>
          <w:sz w:val="19"/>
        </w:rPr>
        <w:t>All engineering documentation packages: NP-HW-FPC-001 Rev E, NP-PROC-FPC-001, NP-DRV-SHELL-001 Rev B, NP-FAI-ZM-001, NP-COORD-001 Rev A.7, NP-TOOL-ZM-001, NP-TOOL-ZM-SM-001, NP-PROC-SUP-001, NP-CLIN-001, NP-MOD-EXT-001, NP-TOOL-SHELL-001, NP-TOOL-LENS-001 Rev B, NP-APP-ROADMAP-001, NP-HW-HUB-001 Rev B.</w:t>
      </w:r>
    </w:p>
    <w:p/>
    <w:p>
      <w:pPr>
        <w:pStyle w:val="Heading1"/>
      </w:pPr>
      <w:r>
        <w:rPr>
          <w:color w:val="1A1A2E"/>
          <w:sz w:val="28"/>
        </w:rPr>
        <w:t>10. Competitive Position</w:t>
      </w:r>
    </w:p>
    <w:p>
      <w:pPr>
        <w:pStyle w:val="ListBullet"/>
        <w:ind w:left="283"/>
      </w:pPr>
      <w:r>
        <w:rPr>
          <w:b w:val="0"/>
          <w:sz w:val="19"/>
        </w:rPr>
        <w:t>"50× more transcranial LEDs than Vielight at 17% of the price" (600 LEDs vs ~12 at $849 vs ~$5,000)</w:t>
      </w:r>
    </w:p>
    <w:p>
      <w:pPr>
        <w:pStyle w:val="ListBullet"/>
        <w:ind w:left="283"/>
      </w:pPr>
      <w:r>
        <w:rPr>
          <w:b w:val="0"/>
          <w:sz w:val="19"/>
        </w:rPr>
        <w:t>"300 LEDs per wavelength — matching Neuronic's total LED count at each of the two CCO absorption peaks they don't cover"</w:t>
      </w:r>
    </w:p>
    <w:p>
      <w:pPr>
        <w:pStyle w:val="ListBullet"/>
        <w:ind w:left="283"/>
      </w:pPr>
      <w:r>
        <w:rPr>
          <w:b w:val="0"/>
          <w:sz w:val="19"/>
        </w:rPr>
        <w:t>"Real-time J/cm² dose metering — the only device that shows you the exact dose your brain received" (dual-PD, per-zone, firmware-computed)</w:t>
      </w:r>
    </w:p>
    <w:p>
      <w:pPr>
        <w:pStyle w:val="ListBullet"/>
        <w:ind w:left="283"/>
      </w:pPr>
      <w:r>
        <w:rPr>
          <w:b w:val="0"/>
          <w:sz w:val="19"/>
        </w:rPr>
        <w:t>"Only consumer brain device with palladium-fabric EMF shielding verified by continuous fleet monitoring"</w:t>
      </w:r>
    </w:p>
    <w:p>
      <w:pPr>
        <w:pStyle w:val="ListBullet"/>
        <w:ind w:left="283"/>
      </w:pPr>
      <w:r>
        <w:rPr>
          <w:b w:val="0"/>
          <w:sz w:val="19"/>
        </w:rPr>
        <w:t>"Autonomous closed-loop operation from any power bank — no phone required" (Mode 3)</w:t>
      </w:r>
    </w:p>
    <w:p>
      <w:pPr>
        <w:pStyle w:val="ListBullet"/>
        <w:ind w:left="283"/>
      </w:pPr>
      <w:r>
        <w:rPr>
          <w:b w:val="0"/>
          <w:sz w:val="19"/>
        </w:rPr>
        <w:t>"Three independent penetration depths: 660nm surface / 1064nm cortical / 1170nm deep (T2)" — pending RISK-03 regulatory opinion before use in any public material</w:t>
      </w:r>
    </w:p>
    <w:p>
      <w:pPr>
        <w:pStyle w:val="ListBullet"/>
        <w:ind w:left="283"/>
      </w:pPr>
      <w:r>
        <w:rPr>
          <w:b w:val="0"/>
          <w:sz w:val="19"/>
        </w:rPr>
        <w:t>"Working memory protocol backed by peer-reviewed RCT: Yao et al., Science Advances 2022, right PFC 1064nm, n=20" — gated on RISK-03 opinion letter</w:t>
      </w:r>
    </w:p>
    <w:p>
      <w:r>
        <w:rPr>
          <w:b w:val="0"/>
          <w:sz w:val="18"/>
        </w:rPr>
        <w:t>Critical gap: No clinical trial evidence for combined multi-modal protocol (PBM + BES + VNS + audio + visual simultaneously) exists anywhere. This is simultaneously the highest-value research opportunity and the primary FTC substantiation risk for system-level marketing claims.</w:t>
      </w:r>
    </w:p>
    <w:p/>
    <w:p>
      <w:pPr>
        <w:pStyle w:val="Heading1"/>
      </w:pPr>
      <w:r>
        <w:rPr>
          <w:color w:val="1A1A2E"/>
          <w:sz w:val="28"/>
        </w:rPr>
        <w:t>11. Regulatory Strategy</w:t>
      </w:r>
    </w:p>
    <w:p>
      <w:r>
        <w:rPr>
          <w:b/>
          <w:sz w:val="20"/>
        </w:rPr>
        <w:t>T1 — FDA-exempt wellness pathway:</w:t>
      </w:r>
    </w:p>
    <w:p>
      <w:pPr>
        <w:pStyle w:val="ListBullet"/>
        <w:ind w:left="283"/>
      </w:pPr>
      <w:r>
        <w:rPr>
          <w:b w:val="0"/>
          <w:sz w:val="19"/>
        </w:rPr>
        <w:t>General wellness device (same category as Muse, sens.ai, Apollo Neuro)</w:t>
      </w:r>
    </w:p>
    <w:p>
      <w:pPr>
        <w:pStyle w:val="ListBullet"/>
        <w:ind w:left="283"/>
      </w:pPr>
      <w:r>
        <w:rPr>
          <w:b w:val="0"/>
          <w:sz w:val="19"/>
        </w:rPr>
        <w:t>Consumer naming: "Brainwave Entrainment Stimulation" (not tACS), "Cortical Priming Stimulation" (not tDCS)</w:t>
      </w:r>
    </w:p>
    <w:p>
      <w:pPr>
        <w:pStyle w:val="ListBullet"/>
        <w:ind w:left="283"/>
      </w:pPr>
      <w:r>
        <w:rPr>
          <w:b w:val="0"/>
          <w:sz w:val="19"/>
        </w:rPr>
        <w:t>Required standards: IEC 60601-1, IEC 60601-2-10, IEC 62471, IEC 62133, FCC Part 15</w:t>
      </w:r>
    </w:p>
    <w:p>
      <w:pPr>
        <w:pStyle w:val="ListBullet"/>
        <w:ind w:left="283"/>
      </w:pPr>
      <w:r>
        <w:rPr>
          <w:b w:val="0"/>
          <w:sz w:val="19"/>
        </w:rPr>
        <w:t>Cybersecurity: SBOM (NP-SBOM-001 planned Year 2), vulnerability disclosure policy, documented OTA update approach</w:t>
      </w:r>
    </w:p>
    <w:p>
      <w:pPr>
        <w:pStyle w:val="ListBullet"/>
        <w:ind w:left="283"/>
      </w:pPr>
      <w:r>
        <w:rPr>
          <w:b w:val="0"/>
          <w:sz w:val="19"/>
        </w:rPr>
        <w:t>FTC claims substantiation: 33-entry bibliography + 6-entry 1064nm addendum (NP-BIB-1064-001 Rev A) maps each marketing claim to citations</w:t>
      </w:r>
    </w:p>
    <w:p>
      <w:pPr>
        <w:pStyle w:val="ListBullet"/>
        <w:ind w:left="283"/>
      </w:pPr>
      <w:r>
        <w:rPr>
          <w:b w:val="0"/>
          <w:sz w:val="19"/>
        </w:rPr>
        <w:t>RISK-03 regulatory opinion BLOCKING all public irradiance figures — commission outside regulatory counsel immediately</w:t>
      </w:r>
    </w:p>
    <w:p/>
    <w:p>
      <w:r>
        <w:rPr>
          <w:b/>
          <w:sz w:val="20"/>
        </w:rPr>
        <w:t>T2 — FDA 510(k):</w:t>
      </w:r>
    </w:p>
    <w:p>
      <w:pPr>
        <w:pStyle w:val="ListBullet"/>
        <w:ind w:left="283"/>
      </w:pPr>
      <w:r>
        <w:rPr>
          <w:b w:val="0"/>
          <w:sz w:val="19"/>
        </w:rPr>
        <w:t>Modular predicate: TMS (NeuroStar K083538, BrainsWay K122288) + tACS (Soterix K142485, Neuroelectrics K173185) + taVNS (electroCore K163334, K173323)</w:t>
      </w:r>
    </w:p>
    <w:p>
      <w:pPr>
        <w:pStyle w:val="ListBullet"/>
        <w:ind w:left="283"/>
      </w:pPr>
      <w:r>
        <w:rPr>
          <w:b w:val="0"/>
          <w:sz w:val="19"/>
        </w:rPr>
        <w:t>Cervical VNS 510(k): Predicate = electroCore gammaCore K163334 + K173323. SE argument: same intended use + ≤2 mA vs predicate ≤24 mA (more conservative). NP-REG-CVNS-001 Rev A baselined.</w:t>
      </w:r>
    </w:p>
    <w:p>
      <w:pPr>
        <w:pStyle w:val="ListBullet"/>
        <w:ind w:left="283"/>
      </w:pPr>
      <w:r>
        <w:rPr>
          <w:b w:val="0"/>
          <w:sz w:val="19"/>
        </w:rPr>
        <w:t>Timeline: 18–36 months from T1 launch. Budget: $2–5M.</w:t>
      </w:r>
    </w:p>
    <w:p>
      <w:pPr>
        <w:pStyle w:val="ListBullet"/>
        <w:ind w:left="283"/>
      </w:pPr>
      <w:r>
        <w:rPr>
          <w:b w:val="0"/>
          <w:sz w:val="19"/>
        </w:rPr>
        <w:t>QMS established 2026-05-13 (NP-QMS-001 Rev A) — 21 CFR Part 820 / ISO 13485:2016</w:t>
      </w:r>
    </w:p>
    <w:p>
      <w:pPr>
        <w:pStyle w:val="ListBullet"/>
        <w:ind w:left="283"/>
      </w:pPr>
      <w:r>
        <w:rPr>
          <w:b w:val="0"/>
          <w:sz w:val="19"/>
        </w:rPr>
        <w:t>Pre-Submission (Q-Sub) meeting with FDA at ~Month 20: free, prevents filing on avoidable grounds</w:t>
      </w:r>
    </w:p>
    <w:p>
      <w:pPr>
        <w:pStyle w:val="ListBullet"/>
        <w:ind w:left="283"/>
      </w:pPr>
      <w:r>
        <w:rPr>
          <w:b w:val="0"/>
          <w:sz w:val="19"/>
        </w:rPr>
        <w:t>IEC 62304 software classifications locked: Safety MCU Class C (~500 lines bare-metal) · Main processor Class B · App Class B — formalized in NP-SW-001 Rev A</w:t>
      </w:r>
    </w:p>
    <w:p>
      <w:pPr>
        <w:pStyle w:val="ListBullet"/>
        <w:ind w:left="283"/>
      </w:pPr>
      <w:r>
        <w:rPr>
          <w:b w:val="0"/>
          <w:sz w:val="19"/>
        </w:rPr>
        <w:t>Human factors engineering (FDA 2016 HFE Guidance): NP-HFE-001 planned Month 9; URRA + formative + summative testing</w:t>
      </w:r>
    </w:p>
    <w:p>
      <w:pPr>
        <w:pStyle w:val="ListBullet"/>
        <w:ind w:left="283"/>
      </w:pPr>
      <w:r>
        <w:rPr>
          <w:b w:val="0"/>
          <w:sz w:val="19"/>
        </w:rPr>
        <w:t>Clinical data for TMS modality: required; seeded T2 units into research institutions (Years 2–3) generate this data</w:t>
      </w:r>
    </w:p>
    <w:p/>
    <w:p>
      <w:pPr>
        <w:pStyle w:val="Heading1"/>
      </w:pPr>
      <w:r>
        <w:rPr>
          <w:color w:val="1A1A2E"/>
          <w:sz w:val="28"/>
        </w:rPr>
        <w:t>12. Documents Generated (cumulative)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BDD7EE"/>
          </w:tcPr>
          <w:p>
            <w:r>
              <w:rPr>
                <w:b/>
                <w:sz w:val="17"/>
              </w:rPr>
              <w:t>Document / spec number</w:t>
            </w:r>
          </w:p>
        </w:tc>
        <w:tc>
          <w:tcPr>
            <w:tcW w:type="dxa" w:w="3135"/>
            <w:shd w:val="clear" w:color="auto" w:fill="BDD7EE"/>
          </w:tcPr>
          <w:p>
            <w:r>
              <w:rPr>
                <w:b/>
                <w:sz w:val="17"/>
              </w:rPr>
              <w:t>File path</w:t>
            </w:r>
          </w:p>
        </w:tc>
        <w:tc>
          <w:tcPr>
            <w:tcW w:type="dxa" w:w="3135"/>
            <w:shd w:val="clear" w:color="auto" w:fill="BDD7EE"/>
          </w:tcPr>
          <w:p>
            <w:r>
              <w:rPr>
                <w:b/>
                <w:sz w:val="17"/>
              </w:rPr>
              <w:t>Status</w:t>
            </w:r>
          </w:p>
        </w:tc>
      </w:tr>
      <w:tr>
        <w:tc>
          <w:tcPr>
            <w:tcW w:type="dxa" w:w="3135"/>
          </w:tcPr>
          <w:p>
            <w:r/>
            <w:r>
              <w:rPr>
                <w:b w:val="0"/>
                <w:sz w:val="18"/>
              </w:rPr>
              <w:t>Design Brief Rev 1</w:t>
            </w:r>
          </w:p>
        </w:tc>
        <w:tc>
          <w:tcPr>
            <w:tcW w:type="dxa" w:w="3135"/>
          </w:tcPr>
          <w:p>
            <w:r/>
            <w:r>
              <w:rPr>
                <w:b w:val="0"/>
                <w:sz w:val="18"/>
              </w:rPr>
              <w:t>docs/neurone_design_brief.docx</w:t>
            </w:r>
          </w:p>
        </w:tc>
        <w:tc>
          <w:tcPr>
            <w:tcW w:type="dxa" w:w="3135"/>
          </w:tcPr>
          <w:p>
            <w:r/>
            <w:r>
              <w:rPr>
                <w:b w:val="0"/>
                <w:sz w:val="18"/>
              </w:rPr>
              <w:t>ISSUED</w:t>
            </w:r>
          </w:p>
        </w:tc>
      </w:tr>
      <w:tr>
        <w:tc>
          <w:tcPr>
            <w:tcW w:type="dxa" w:w="3135"/>
          </w:tcPr>
          <w:p>
            <w:r/>
            <w:r>
              <w:rPr>
                <w:b w:val="0"/>
                <w:sz w:val="18"/>
              </w:rPr>
              <w:t>Design Brief Rev 2</w:t>
            </w:r>
          </w:p>
        </w:tc>
        <w:tc>
          <w:tcPr>
            <w:tcW w:type="dxa" w:w="3135"/>
          </w:tcPr>
          <w:p>
            <w:r/>
            <w:r>
              <w:rPr>
                <w:b w:val="0"/>
                <w:sz w:val="18"/>
              </w:rPr>
              <w:t>docs/neurone_design_brief_r2.docx</w:t>
            </w:r>
          </w:p>
        </w:tc>
        <w:tc>
          <w:tcPr>
            <w:tcW w:type="dxa" w:w="3135"/>
          </w:tcPr>
          <w:p>
            <w:r/>
            <w:r>
              <w:rPr>
                <w:b w:val="0"/>
                <w:sz w:val="18"/>
              </w:rPr>
              <w:t>ISSUED</w:t>
            </w:r>
          </w:p>
        </w:tc>
      </w:tr>
      <w:tr>
        <w:tc>
          <w:tcPr>
            <w:tcW w:type="dxa" w:w="3135"/>
          </w:tcPr>
          <w:p>
            <w:r/>
            <w:r>
              <w:rPr>
                <w:b w:val="0"/>
                <w:sz w:val="18"/>
              </w:rPr>
              <w:t>Design Brief Rev 3</w:t>
            </w:r>
          </w:p>
        </w:tc>
        <w:tc>
          <w:tcPr>
            <w:tcW w:type="dxa" w:w="3135"/>
          </w:tcPr>
          <w:p>
            <w:r/>
            <w:r>
              <w:rPr>
                <w:b w:val="0"/>
                <w:sz w:val="18"/>
              </w:rPr>
              <w:t>docs/neurone_brief_r3.docx</w:t>
            </w:r>
          </w:p>
        </w:tc>
        <w:tc>
          <w:tcPr>
            <w:tcW w:type="dxa" w:w="3135"/>
          </w:tcPr>
          <w:p>
            <w:r/>
            <w:r>
              <w:rPr>
                <w:b w:val="0"/>
                <w:sz w:val="18"/>
              </w:rPr>
              <w:t>ISSUED</w:t>
            </w:r>
          </w:p>
        </w:tc>
      </w:tr>
      <w:tr>
        <w:tc>
          <w:tcPr>
            <w:tcW w:type="dxa" w:w="3135"/>
          </w:tcPr>
          <w:p>
            <w:r/>
            <w:r>
              <w:rPr>
                <w:b w:val="0"/>
                <w:sz w:val="18"/>
              </w:rPr>
              <w:t>Design Brief Rev 4</w:t>
            </w:r>
          </w:p>
        </w:tc>
        <w:tc>
          <w:tcPr>
            <w:tcW w:type="dxa" w:w="3135"/>
          </w:tcPr>
          <w:p>
            <w:r/>
            <w:r>
              <w:rPr>
                <w:b w:val="0"/>
                <w:sz w:val="18"/>
              </w:rPr>
              <w:t>docs/neurone_brief_r4.docx</w:t>
            </w:r>
          </w:p>
        </w:tc>
        <w:tc>
          <w:tcPr>
            <w:tcW w:type="dxa" w:w="3135"/>
          </w:tcPr>
          <w:p>
            <w:r/>
            <w:r>
              <w:rPr>
                <w:b w:val="0"/>
                <w:sz w:val="18"/>
              </w:rPr>
              <w:t>ISSUED</w:t>
            </w:r>
          </w:p>
        </w:tc>
      </w:tr>
      <w:tr>
        <w:tc>
          <w:tcPr>
            <w:tcW w:type="dxa" w:w="3135"/>
          </w:tcPr>
          <w:p>
            <w:r/>
            <w:r>
              <w:rPr>
                <w:b w:val="0"/>
                <w:sz w:val="18"/>
              </w:rPr>
              <w:t>Design Brief Rev 5 — THIS DOCUMENT</w:t>
            </w:r>
          </w:p>
        </w:tc>
        <w:tc>
          <w:tcPr>
            <w:tcW w:type="dxa" w:w="3135"/>
          </w:tcPr>
          <w:p>
            <w:r/>
            <w:r>
              <w:rPr>
                <w:b w:val="0"/>
                <w:sz w:val="18"/>
              </w:rPr>
              <w:t>docs/neurone_design_brief_r5.docx</w:t>
            </w:r>
          </w:p>
        </w:tc>
        <w:tc>
          <w:tcPr>
            <w:tcW w:type="dxa" w:w="3135"/>
          </w:tcPr>
          <w:p>
            <w:r/>
            <w:r>
              <w:rPr>
                <w:b w:val="0"/>
                <w:sz w:val="18"/>
              </w:rPr>
              <w:t>ISSUED 2026-05-16</w:t>
            </w:r>
          </w:p>
        </w:tc>
      </w:tr>
      <w:tr>
        <w:tc>
          <w:tcPr>
            <w:tcW w:type="dxa" w:w="3135"/>
          </w:tcPr>
          <w:p>
            <w:r/>
            <w:r>
              <w:rPr>
                <w:b w:val="0"/>
                <w:sz w:val="18"/>
              </w:rPr>
              <w:t>NP-QMS-001 Rev A — QMS Manual</w:t>
            </w:r>
          </w:p>
        </w:tc>
        <w:tc>
          <w:tcPr>
            <w:tcW w:type="dxa" w:w="3135"/>
          </w:tcPr>
          <w:p>
            <w:r/>
            <w:r>
              <w:rPr>
                <w:b w:val="0"/>
                <w:sz w:val="18"/>
              </w:rPr>
              <w:t>docs/neurone_qms_manual_001.md</w:t>
            </w:r>
          </w:p>
        </w:tc>
        <w:tc>
          <w:tcPr>
            <w:tcW w:type="dxa" w:w="3135"/>
          </w:tcPr>
          <w:p>
            <w:r/>
            <w:r>
              <w:rPr>
                <w:b w:val="0"/>
                <w:sz w:val="18"/>
              </w:rPr>
              <w:t>BASELINED 2026-05-13</w:t>
            </w:r>
          </w:p>
        </w:tc>
      </w:tr>
      <w:tr>
        <w:tc>
          <w:tcPr>
            <w:tcW w:type="dxa" w:w="3135"/>
          </w:tcPr>
          <w:p>
            <w:r/>
            <w:r>
              <w:rPr>
                <w:b w:val="0"/>
                <w:sz w:val="18"/>
              </w:rPr>
              <w:t>NP-DHF-001 Rev A — DHF Index</w:t>
            </w:r>
          </w:p>
        </w:tc>
        <w:tc>
          <w:tcPr>
            <w:tcW w:type="dxa" w:w="3135"/>
          </w:tcPr>
          <w:p>
            <w:r/>
            <w:r>
              <w:rPr>
                <w:b w:val="0"/>
                <w:sz w:val="18"/>
              </w:rPr>
              <w:t>docs/neurone_dhf_index_001.md</w:t>
            </w:r>
          </w:p>
        </w:tc>
        <w:tc>
          <w:tcPr>
            <w:tcW w:type="dxa" w:w="3135"/>
          </w:tcPr>
          <w:p>
            <w:r/>
            <w:r>
              <w:rPr>
                <w:b w:val="0"/>
                <w:sz w:val="18"/>
              </w:rPr>
              <w:t>BASELINED 2026-05-13</w:t>
            </w:r>
          </w:p>
        </w:tc>
      </w:tr>
      <w:tr>
        <w:tc>
          <w:tcPr>
            <w:tcW w:type="dxa" w:w="3135"/>
          </w:tcPr>
          <w:p>
            <w:r/>
            <w:r>
              <w:rPr>
                <w:b w:val="0"/>
                <w:sz w:val="18"/>
              </w:rPr>
              <w:t>NP-QMS-DC-001 Rev A — Design Controls Procedure</w:t>
            </w:r>
          </w:p>
        </w:tc>
        <w:tc>
          <w:tcPr>
            <w:tcW w:type="dxa" w:w="3135"/>
          </w:tcPr>
          <w:p>
            <w:r/>
            <w:r>
              <w:rPr>
                <w:b w:val="0"/>
                <w:sz w:val="18"/>
              </w:rPr>
              <w:t>docs/neurone_design_controls_001.md</w:t>
            </w:r>
          </w:p>
        </w:tc>
        <w:tc>
          <w:tcPr>
            <w:tcW w:type="dxa" w:w="3135"/>
          </w:tcPr>
          <w:p>
            <w:r/>
            <w:r>
              <w:rPr>
                <w:b w:val="0"/>
                <w:sz w:val="18"/>
              </w:rPr>
              <w:t>BASELINED 2026-05-13</w:t>
            </w:r>
          </w:p>
        </w:tc>
      </w:tr>
      <w:tr>
        <w:tc>
          <w:tcPr>
            <w:tcW w:type="dxa" w:w="3135"/>
          </w:tcPr>
          <w:p>
            <w:r/>
            <w:r>
              <w:rPr>
                <w:b w:val="0"/>
                <w:sz w:val="18"/>
              </w:rPr>
              <w:t>NP-RM-001 Rev A — ISO 14971 Risk Management Plan</w:t>
            </w:r>
          </w:p>
        </w:tc>
        <w:tc>
          <w:tcPr>
            <w:tcW w:type="dxa" w:w="3135"/>
          </w:tcPr>
          <w:p>
            <w:r/>
            <w:r>
              <w:rPr>
                <w:b w:val="0"/>
                <w:sz w:val="18"/>
              </w:rPr>
              <w:t>docs/neurone_risk_mgmt_plan_001.md</w:t>
            </w:r>
          </w:p>
        </w:tc>
        <w:tc>
          <w:tcPr>
            <w:tcW w:type="dxa" w:w="3135"/>
          </w:tcPr>
          <w:p>
            <w:r/>
            <w:r>
              <w:rPr>
                <w:b w:val="0"/>
                <w:sz w:val="18"/>
              </w:rPr>
              <w:t>BASELINED 2026-05-13</w:t>
            </w:r>
          </w:p>
        </w:tc>
      </w:tr>
      <w:tr>
        <w:tc>
          <w:tcPr>
            <w:tcW w:type="dxa" w:w="3135"/>
          </w:tcPr>
          <w:p>
            <w:r/>
            <w:r>
              <w:rPr>
                <w:b w:val="0"/>
                <w:sz w:val="18"/>
              </w:rPr>
              <w:t>NP-SW-001 Rev A — IEC 62304 Software Development Plan</w:t>
            </w:r>
          </w:p>
        </w:tc>
        <w:tc>
          <w:tcPr>
            <w:tcW w:type="dxa" w:w="3135"/>
          </w:tcPr>
          <w:p>
            <w:r/>
            <w:r>
              <w:rPr>
                <w:b w:val="0"/>
                <w:sz w:val="18"/>
              </w:rPr>
              <w:t>docs/neurone_sw_dev_plan_001.md</w:t>
            </w:r>
          </w:p>
        </w:tc>
        <w:tc>
          <w:tcPr>
            <w:tcW w:type="dxa" w:w="3135"/>
          </w:tcPr>
          <w:p>
            <w:r/>
            <w:r>
              <w:rPr>
                <w:b w:val="0"/>
                <w:sz w:val="18"/>
              </w:rPr>
              <w:t>BASELINED 2026-05-13</w:t>
            </w:r>
          </w:p>
        </w:tc>
      </w:tr>
      <w:tr>
        <w:tc>
          <w:tcPr>
            <w:tcW w:type="dxa" w:w="3135"/>
          </w:tcPr>
          <w:p>
            <w:r/>
            <w:r>
              <w:rPr>
                <w:b w:val="0"/>
                <w:sz w:val="18"/>
              </w:rPr>
              <w:t>NP-QMS-CAPA-001 Rev A — CAPA Procedure</w:t>
            </w:r>
          </w:p>
        </w:tc>
        <w:tc>
          <w:tcPr>
            <w:tcW w:type="dxa" w:w="3135"/>
          </w:tcPr>
          <w:p>
            <w:r/>
            <w:r>
              <w:rPr>
                <w:b w:val="0"/>
                <w:sz w:val="18"/>
              </w:rPr>
              <w:t>docs/neurone_capa_001.md</w:t>
            </w:r>
          </w:p>
        </w:tc>
        <w:tc>
          <w:tcPr>
            <w:tcW w:type="dxa" w:w="3135"/>
          </w:tcPr>
          <w:p>
            <w:r/>
            <w:r>
              <w:rPr>
                <w:b w:val="0"/>
                <w:sz w:val="18"/>
              </w:rPr>
              <w:t>BASELINED 2026-05-13</w:t>
            </w:r>
          </w:p>
        </w:tc>
      </w:tr>
      <w:tr>
        <w:tc>
          <w:tcPr>
            <w:tcW w:type="dxa" w:w="3135"/>
          </w:tcPr>
          <w:p>
            <w:r/>
            <w:r>
              <w:rPr>
                <w:b w:val="0"/>
                <w:sz w:val="18"/>
              </w:rPr>
              <w:t>NP-FW-EMMC-001 Rev A — eMMC Partition Architecture</w:t>
            </w:r>
          </w:p>
        </w:tc>
        <w:tc>
          <w:tcPr>
            <w:tcW w:type="dxa" w:w="3135"/>
          </w:tcPr>
          <w:p>
            <w:r/>
            <w:r>
              <w:rPr>
                <w:b w:val="0"/>
                <w:sz w:val="18"/>
              </w:rPr>
              <w:t>docs/neurone_fw_emmc_001.docx</w:t>
            </w:r>
          </w:p>
        </w:tc>
        <w:tc>
          <w:tcPr>
            <w:tcW w:type="dxa" w:w="3135"/>
          </w:tcPr>
          <w:p>
            <w:r/>
            <w:r>
              <w:rPr>
                <w:b w:val="0"/>
                <w:sz w:val="18"/>
              </w:rPr>
              <w:t>BASELINED 2026-05-11</w:t>
            </w:r>
          </w:p>
        </w:tc>
      </w:tr>
      <w:tr>
        <w:tc>
          <w:tcPr>
            <w:tcW w:type="dxa" w:w="3135"/>
          </w:tcPr>
          <w:p>
            <w:r/>
            <w:r>
              <w:rPr>
                <w:b w:val="0"/>
                <w:sz w:val="18"/>
              </w:rPr>
              <w:t>NP-FW-HRV-001 Rev A — HRV Biofeedback Firmware Spec</w:t>
            </w:r>
          </w:p>
        </w:tc>
        <w:tc>
          <w:tcPr>
            <w:tcW w:type="dxa" w:w="3135"/>
          </w:tcPr>
          <w:p>
            <w:r/>
            <w:r>
              <w:rPr>
                <w:b w:val="0"/>
                <w:sz w:val="18"/>
              </w:rPr>
              <w:t>docs/neurone_fw_hrv_001.md</w:t>
            </w:r>
          </w:p>
        </w:tc>
        <w:tc>
          <w:tcPr>
            <w:tcW w:type="dxa" w:w="3135"/>
          </w:tcPr>
          <w:p>
            <w:r/>
            <w:r>
              <w:rPr>
                <w:b w:val="0"/>
                <w:sz w:val="18"/>
              </w:rPr>
              <w:t>BASELINED 2026-05-11</w:t>
            </w:r>
          </w:p>
        </w:tc>
      </w:tr>
      <w:tr>
        <w:tc>
          <w:tcPr>
            <w:tcW w:type="dxa" w:w="3135"/>
          </w:tcPr>
          <w:p>
            <w:r/>
            <w:r>
              <w:rPr>
                <w:b w:val="0"/>
                <w:sz w:val="18"/>
              </w:rPr>
              <w:t>NP-FW-ZA-001 Rev A — Zone Announce Firmware Spec</w:t>
            </w:r>
          </w:p>
        </w:tc>
        <w:tc>
          <w:tcPr>
            <w:tcW w:type="dxa" w:w="3135"/>
          </w:tcPr>
          <w:p>
            <w:r/>
            <w:r>
              <w:rPr>
                <w:b w:val="0"/>
                <w:sz w:val="18"/>
              </w:rPr>
              <w:t>docs/neurone_fw_zone_announce_001.md</w:t>
            </w:r>
          </w:p>
        </w:tc>
        <w:tc>
          <w:tcPr>
            <w:tcW w:type="dxa" w:w="3135"/>
          </w:tcPr>
          <w:p>
            <w:r/>
            <w:r>
              <w:rPr>
                <w:b w:val="0"/>
                <w:sz w:val="18"/>
              </w:rPr>
              <w:t>BASELINED 2026-05-11</w:t>
            </w:r>
          </w:p>
        </w:tc>
      </w:tr>
      <w:tr>
        <w:tc>
          <w:tcPr>
            <w:tcW w:type="dxa" w:w="3135"/>
          </w:tcPr>
          <w:p>
            <w:r/>
            <w:r>
              <w:rPr>
                <w:b w:val="0"/>
                <w:sz w:val="18"/>
              </w:rPr>
              <w:t>NP-FW-HD-001 Rev A — sLORETA HD-tDCS Firmware Spec</w:t>
            </w:r>
          </w:p>
        </w:tc>
        <w:tc>
          <w:tcPr>
            <w:tcW w:type="dxa" w:w="3135"/>
          </w:tcPr>
          <w:p>
            <w:r/>
            <w:r>
              <w:rPr>
                <w:b w:val="0"/>
                <w:sz w:val="18"/>
              </w:rPr>
              <w:t>docs/neurone_fw_sloreta_hdtdcs_001.md</w:t>
            </w:r>
          </w:p>
        </w:tc>
        <w:tc>
          <w:tcPr>
            <w:tcW w:type="dxa" w:w="3135"/>
          </w:tcPr>
          <w:p>
            <w:r/>
            <w:r>
              <w:rPr>
                <w:b w:val="0"/>
                <w:sz w:val="18"/>
              </w:rPr>
              <w:t>BASELINED 2026-05-11</w:t>
            </w:r>
          </w:p>
        </w:tc>
      </w:tr>
      <w:tr>
        <w:tc>
          <w:tcPr>
            <w:tcW w:type="dxa" w:w="3135"/>
          </w:tcPr>
          <w:p>
            <w:r/>
            <w:r>
              <w:rPr>
                <w:b w:val="0"/>
                <w:sz w:val="18"/>
              </w:rPr>
              <w:t>NP-FW-CVNS-001 Rev A — Cervical VNS Safety Interlock</w:t>
            </w:r>
          </w:p>
        </w:tc>
        <w:tc>
          <w:tcPr>
            <w:tcW w:type="dxa" w:w="3135"/>
          </w:tcPr>
          <w:p>
            <w:r/>
            <w:r>
              <w:rPr>
                <w:b w:val="0"/>
                <w:sz w:val="18"/>
              </w:rPr>
              <w:t>docs/neurone_fw_cvns_001.md</w:t>
            </w:r>
          </w:p>
        </w:tc>
        <w:tc>
          <w:tcPr>
            <w:tcW w:type="dxa" w:w="3135"/>
          </w:tcPr>
          <w:p>
            <w:r/>
            <w:r>
              <w:rPr>
                <w:b w:val="0"/>
                <w:sz w:val="18"/>
              </w:rPr>
              <w:t>BASELINED 2026-05-11</w:t>
            </w:r>
          </w:p>
        </w:tc>
      </w:tr>
      <w:tr>
        <w:tc>
          <w:tcPr>
            <w:tcW w:type="dxa" w:w="3135"/>
          </w:tcPr>
          <w:p>
            <w:r/>
            <w:r>
              <w:rPr>
                <w:b w:val="0"/>
                <w:sz w:val="18"/>
              </w:rPr>
              <w:t>NP-FW-PBM1064-001 Rev A — 1064nm Smart Module Firmware</w:t>
            </w:r>
          </w:p>
        </w:tc>
        <w:tc>
          <w:tcPr>
            <w:tcW w:type="dxa" w:w="3135"/>
          </w:tcPr>
          <w:p>
            <w:r/>
            <w:r>
              <w:rPr>
                <w:b w:val="0"/>
                <w:sz w:val="18"/>
              </w:rPr>
              <w:t>docs/neurone_fw_pbm1064_001.md</w:t>
            </w:r>
          </w:p>
        </w:tc>
        <w:tc>
          <w:tcPr>
            <w:tcW w:type="dxa" w:w="3135"/>
          </w:tcPr>
          <w:p>
            <w:r/>
            <w:r>
              <w:rPr>
                <w:b w:val="0"/>
                <w:sz w:val="18"/>
              </w:rPr>
              <w:t>BASELINED 2026-05-12</w:t>
            </w:r>
          </w:p>
        </w:tc>
      </w:tr>
      <w:tr>
        <w:tc>
          <w:tcPr>
            <w:tcW w:type="dxa" w:w="3135"/>
          </w:tcPr>
          <w:p>
            <w:r/>
            <w:r>
              <w:rPr>
                <w:b w:val="0"/>
                <w:sz w:val="18"/>
              </w:rPr>
              <w:t>NP-SES-1064-001 Rev A — 1064nm Session Protocol</w:t>
            </w:r>
          </w:p>
        </w:tc>
        <w:tc>
          <w:tcPr>
            <w:tcW w:type="dxa" w:w="3135"/>
          </w:tcPr>
          <w:p>
            <w:r/>
            <w:r>
              <w:rPr>
                <w:b w:val="0"/>
                <w:sz w:val="18"/>
              </w:rPr>
              <w:t>docs/neurone_session_protocol_1064_001.md</w:t>
            </w:r>
          </w:p>
        </w:tc>
        <w:tc>
          <w:tcPr>
            <w:tcW w:type="dxa" w:w="3135"/>
          </w:tcPr>
          <w:p>
            <w:r/>
            <w:r>
              <w:rPr>
                <w:b w:val="0"/>
                <w:sz w:val="18"/>
              </w:rPr>
              <w:t>BASELINED 2026-05-12</w:t>
            </w:r>
          </w:p>
        </w:tc>
      </w:tr>
      <w:tr>
        <w:tc>
          <w:tcPr>
            <w:tcW w:type="dxa" w:w="3135"/>
          </w:tcPr>
          <w:p>
            <w:r/>
            <w:r>
              <w:rPr>
                <w:b w:val="0"/>
                <w:sz w:val="18"/>
              </w:rPr>
              <w:t>NP-HW-FPC-001 Rev E — FPC Zone Module Spec (smart variant)</w:t>
            </w:r>
          </w:p>
        </w:tc>
        <w:tc>
          <w:tcPr>
            <w:tcW w:type="dxa" w:w="3135"/>
          </w:tcPr>
          <w:p>
            <w:r/>
            <w:r>
              <w:rPr>
                <w:b w:val="0"/>
                <w:sz w:val="18"/>
              </w:rPr>
              <w:t>docs/neurone_hw_fpc_smart_001.md</w:t>
            </w:r>
          </w:p>
        </w:tc>
        <w:tc>
          <w:tcPr>
            <w:tcW w:type="dxa" w:w="3135"/>
          </w:tcPr>
          <w:p>
            <w:r/>
            <w:r>
              <w:rPr>
                <w:b w:val="0"/>
                <w:sz w:val="18"/>
              </w:rPr>
              <w:t>BASELINED 2026-05-13</w:t>
            </w:r>
          </w:p>
        </w:tc>
      </w:tr>
      <w:tr>
        <w:tc>
          <w:tcPr>
            <w:tcW w:type="dxa" w:w="3135"/>
          </w:tcPr>
          <w:p>
            <w:r/>
            <w:r>
              <w:rPr>
                <w:b w:val="0"/>
                <w:sz w:val="18"/>
              </w:rPr>
              <w:t>NP-HW-HUB-001 Rev B — Hub PCB Rev B TIA Gain Switch</w:t>
            </w:r>
          </w:p>
        </w:tc>
        <w:tc>
          <w:tcPr>
            <w:tcW w:type="dxa" w:w="3135"/>
          </w:tcPr>
          <w:p>
            <w:r/>
            <w:r>
              <w:rPr>
                <w:b w:val="0"/>
                <w:sz w:val="18"/>
              </w:rPr>
              <w:t>docs/neurone_hw_hub_pcb_revb_001.md</w:t>
            </w:r>
          </w:p>
        </w:tc>
        <w:tc>
          <w:tcPr>
            <w:tcW w:type="dxa" w:w="3135"/>
          </w:tcPr>
          <w:p>
            <w:r/>
            <w:r>
              <w:rPr>
                <w:b w:val="0"/>
                <w:sz w:val="18"/>
              </w:rPr>
              <w:t>BASELINED 2026-05-13</w:t>
            </w:r>
          </w:p>
        </w:tc>
      </w:tr>
      <w:tr>
        <w:tc>
          <w:tcPr>
            <w:tcW w:type="dxa" w:w="3135"/>
          </w:tcPr>
          <w:p>
            <w:r/>
            <w:r>
              <w:rPr>
                <w:b w:val="0"/>
                <w:sz w:val="18"/>
              </w:rPr>
              <w:t>NP-REG-PBM1064-001 Rev A — RISK-03 Scope Expansion Brief</w:t>
            </w:r>
          </w:p>
        </w:tc>
        <w:tc>
          <w:tcPr>
            <w:tcW w:type="dxa" w:w="3135"/>
          </w:tcPr>
          <w:p>
            <w:r/>
            <w:r>
              <w:rPr>
                <w:b w:val="0"/>
                <w:sz w:val="18"/>
              </w:rPr>
              <w:t>docs/neurone_reg_pbm1064_risk03_001.md</w:t>
            </w:r>
          </w:p>
        </w:tc>
        <w:tc>
          <w:tcPr>
            <w:tcW w:type="dxa" w:w="3135"/>
          </w:tcPr>
          <w:p>
            <w:r/>
            <w:r>
              <w:rPr>
                <w:b w:val="0"/>
                <w:sz w:val="18"/>
              </w:rPr>
              <w:t>ISSUED 2026-05-13</w:t>
            </w:r>
          </w:p>
        </w:tc>
      </w:tr>
      <w:tr>
        <w:tc>
          <w:tcPr>
            <w:tcW w:type="dxa" w:w="3135"/>
          </w:tcPr>
          <w:p>
            <w:r/>
            <w:r>
              <w:rPr>
                <w:b w:val="0"/>
                <w:sz w:val="18"/>
              </w:rPr>
              <w:t>NP-REG-CVNS-001 Rev A — Cervical VNS 510(k) Q-Sub</w:t>
            </w:r>
          </w:p>
        </w:tc>
        <w:tc>
          <w:tcPr>
            <w:tcW w:type="dxa" w:w="3135"/>
          </w:tcPr>
          <w:p>
            <w:r/>
            <w:r>
              <w:rPr>
                <w:b w:val="0"/>
                <w:sz w:val="18"/>
              </w:rPr>
              <w:t>docs/neurone_cvns_510k_presub_001.md</w:t>
            </w:r>
          </w:p>
        </w:tc>
        <w:tc>
          <w:tcPr>
            <w:tcW w:type="dxa" w:w="3135"/>
          </w:tcPr>
          <w:p>
            <w:r/>
            <w:r>
              <w:rPr>
                <w:b w:val="0"/>
                <w:sz w:val="18"/>
              </w:rPr>
              <w:t>BASELINED 2026-05-11</w:t>
            </w:r>
          </w:p>
        </w:tc>
      </w:tr>
      <w:tr>
        <w:tc>
          <w:tcPr>
            <w:tcW w:type="dxa" w:w="3135"/>
          </w:tcPr>
          <w:p>
            <w:r/>
            <w:r>
              <w:rPr>
                <w:b w:val="0"/>
                <w:sz w:val="18"/>
              </w:rPr>
              <w:t>NP-BIB-1064-001 Rev A — 1064nm Bibliography Addendum</w:t>
            </w:r>
          </w:p>
        </w:tc>
        <w:tc>
          <w:tcPr>
            <w:tcW w:type="dxa" w:w="3135"/>
          </w:tcPr>
          <w:p>
            <w:r/>
            <w:r>
              <w:rPr>
                <w:b w:val="0"/>
                <w:sz w:val="18"/>
              </w:rPr>
              <w:t>docs/neurone_bibliography_1064nm_001.md</w:t>
            </w:r>
          </w:p>
        </w:tc>
        <w:tc>
          <w:tcPr>
            <w:tcW w:type="dxa" w:w="3135"/>
          </w:tcPr>
          <w:p>
            <w:r/>
            <w:r>
              <w:rPr>
                <w:b w:val="0"/>
                <w:sz w:val="18"/>
              </w:rPr>
              <w:t>ISSUED 2026-05-13</w:t>
            </w:r>
          </w:p>
        </w:tc>
      </w:tr>
      <w:tr>
        <w:tc>
          <w:tcPr>
            <w:tcW w:type="dxa" w:w="3135"/>
          </w:tcPr>
          <w:p>
            <w:r/>
            <w:r>
              <w:rPr>
                <w:b w:val="0"/>
                <w:sz w:val="18"/>
              </w:rPr>
              <w:t>NP-TOOL-ZM-SM-001 Rev A — Smart Module Mold Variant</w:t>
            </w:r>
          </w:p>
        </w:tc>
        <w:tc>
          <w:tcPr>
            <w:tcW w:type="dxa" w:w="3135"/>
          </w:tcPr>
          <w:p>
            <w:r/>
            <w:r>
              <w:rPr>
                <w:b w:val="0"/>
                <w:sz w:val="18"/>
              </w:rPr>
              <w:t>docs/neurone_tool_zone_module_smart_001.md</w:t>
            </w:r>
          </w:p>
        </w:tc>
        <w:tc>
          <w:tcPr>
            <w:tcW w:type="dxa" w:w="3135"/>
          </w:tcPr>
          <w:p>
            <w:r/>
            <w:r>
              <w:rPr>
                <w:b w:val="0"/>
                <w:sz w:val="18"/>
              </w:rPr>
              <w:t>ISSUED</w:t>
            </w:r>
          </w:p>
        </w:tc>
      </w:tr>
      <w:tr>
        <w:tc>
          <w:tcPr>
            <w:tcW w:type="dxa" w:w="3135"/>
          </w:tcPr>
          <w:p>
            <w:r/>
            <w:r>
              <w:rPr>
                <w:b w:val="0"/>
                <w:sz w:val="18"/>
              </w:rPr>
              <w:t>NP-APP-ROADMAP-001 Rev A — iOS App Roadmap</w:t>
            </w:r>
          </w:p>
        </w:tc>
        <w:tc>
          <w:tcPr>
            <w:tcW w:type="dxa" w:w="3135"/>
          </w:tcPr>
          <w:p>
            <w:r/>
            <w:r>
              <w:rPr>
                <w:b w:val="0"/>
                <w:sz w:val="18"/>
              </w:rPr>
              <w:t>docs/neurone_ios_app_roadmap_001.md</w:t>
            </w:r>
          </w:p>
        </w:tc>
        <w:tc>
          <w:tcPr>
            <w:tcW w:type="dxa" w:w="3135"/>
          </w:tcPr>
          <w:p>
            <w:r/>
            <w:r>
              <w:rPr>
                <w:b w:val="0"/>
                <w:sz w:val="18"/>
              </w:rPr>
              <w:t>BASELINED 2026-05-11</w:t>
            </w:r>
          </w:p>
        </w:tc>
      </w:tr>
      <w:tr>
        <w:tc>
          <w:tcPr>
            <w:tcW w:type="dxa" w:w="3135"/>
          </w:tcPr>
          <w:p>
            <w:r/>
            <w:r>
              <w:rPr>
                <w:b w:val="0"/>
                <w:sz w:val="18"/>
              </w:rPr>
              <w:t>NP-TOOL-SHELL-001 Rev A — Shell Tooling Specification</w:t>
            </w:r>
          </w:p>
        </w:tc>
        <w:tc>
          <w:tcPr>
            <w:tcW w:type="dxa" w:w="3135"/>
          </w:tcPr>
          <w:p>
            <w:r/>
            <w:r>
              <w:rPr>
                <w:b w:val="0"/>
                <w:sz w:val="18"/>
              </w:rPr>
              <w:t>docs/neurone_tool_shell_001.docx</w:t>
            </w:r>
          </w:p>
        </w:tc>
        <w:tc>
          <w:tcPr>
            <w:tcW w:type="dxa" w:w="3135"/>
          </w:tcPr>
          <w:p>
            <w:r/>
            <w:r>
              <w:rPr>
                <w:b w:val="0"/>
                <w:sz w:val="18"/>
              </w:rPr>
              <w:t>ISSUED 2026-05-10</w:t>
            </w:r>
          </w:p>
        </w:tc>
      </w:tr>
      <w:tr>
        <w:tc>
          <w:tcPr>
            <w:tcW w:type="dxa" w:w="3135"/>
          </w:tcPr>
          <w:p>
            <w:r/>
            <w:r>
              <w:rPr>
                <w:b w:val="0"/>
                <w:sz w:val="18"/>
              </w:rPr>
              <w:t>NP-TOOL-LENS-001 Rev B — Lens/Goggle Assembly Tooling</w:t>
            </w:r>
          </w:p>
        </w:tc>
        <w:tc>
          <w:tcPr>
            <w:tcW w:type="dxa" w:w="3135"/>
          </w:tcPr>
          <w:p>
            <w:r/>
            <w:r>
              <w:rPr>
                <w:b w:val="0"/>
                <w:sz w:val="18"/>
              </w:rPr>
              <w:t>docs/neurone_tool_lens_001.docx</w:t>
            </w:r>
          </w:p>
        </w:tc>
        <w:tc>
          <w:tcPr>
            <w:tcW w:type="dxa" w:w="3135"/>
          </w:tcPr>
          <w:p>
            <w:r/>
            <w:r>
              <w:rPr>
                <w:b w:val="0"/>
                <w:sz w:val="18"/>
              </w:rPr>
              <w:t>ISSUED 2026-05-10</w:t>
            </w:r>
          </w:p>
        </w:tc>
      </w:tr>
      <w:tr>
        <w:tc>
          <w:tcPr>
            <w:tcW w:type="dxa" w:w="3135"/>
          </w:tcPr>
          <w:p>
            <w:r/>
            <w:r>
              <w:rPr>
                <w:b w:val="0"/>
                <w:sz w:val="18"/>
              </w:rPr>
              <w:t>NP-DRV-SHELL-001 Rev B — Shell FPC Routing Review</w:t>
            </w:r>
          </w:p>
        </w:tc>
        <w:tc>
          <w:tcPr>
            <w:tcW w:type="dxa" w:w="3135"/>
          </w:tcPr>
          <w:p>
            <w:r/>
            <w:r>
              <w:rPr>
                <w:b w:val="0"/>
                <w:sz w:val="18"/>
              </w:rPr>
              <w:t>docs/neurone_shell_fpc_routing_review.docx</w:t>
            </w:r>
          </w:p>
        </w:tc>
        <w:tc>
          <w:tcPr>
            <w:tcW w:type="dxa" w:w="3135"/>
          </w:tcPr>
          <w:p>
            <w:r/>
            <w:r>
              <w:rPr>
                <w:b w:val="0"/>
                <w:sz w:val="18"/>
              </w:rPr>
              <w:t>ISSUED 2026-05-10</w:t>
            </w:r>
          </w:p>
        </w:tc>
      </w:tr>
      <w:tr>
        <w:tc>
          <w:tcPr>
            <w:tcW w:type="dxa" w:w="3135"/>
          </w:tcPr>
          <w:p>
            <w:r/>
            <w:r>
              <w:rPr>
                <w:b w:val="0"/>
                <w:sz w:val="18"/>
              </w:rPr>
              <w:t>NP-TOOL-ZM-001 Rev A — Zone Module Tooling Specification</w:t>
            </w:r>
          </w:p>
        </w:tc>
        <w:tc>
          <w:tcPr>
            <w:tcW w:type="dxa" w:w="3135"/>
          </w:tcPr>
          <w:p>
            <w:r/>
            <w:r>
              <w:rPr>
                <w:b w:val="0"/>
                <w:sz w:val="18"/>
              </w:rPr>
              <w:t>docs/neurone_tool_zone_module_001.docx</w:t>
            </w:r>
          </w:p>
        </w:tc>
        <w:tc>
          <w:tcPr>
            <w:tcW w:type="dxa" w:w="3135"/>
          </w:tcPr>
          <w:p>
            <w:r/>
            <w:r>
              <w:rPr>
                <w:b w:val="0"/>
                <w:sz w:val="18"/>
              </w:rPr>
              <w:t>ISSUED</w:t>
            </w:r>
          </w:p>
        </w:tc>
      </w:tr>
      <w:tr>
        <w:tc>
          <w:tcPr>
            <w:tcW w:type="dxa" w:w="3135"/>
          </w:tcPr>
          <w:p>
            <w:r/>
            <w:r>
              <w:rPr>
                <w:b w:val="0"/>
                <w:sz w:val="18"/>
              </w:rPr>
              <w:t>NP-COORD-001 Rev A.7 — Engineering Coordination Checklist</w:t>
            </w:r>
          </w:p>
        </w:tc>
        <w:tc>
          <w:tcPr>
            <w:tcW w:type="dxa" w:w="3135"/>
          </w:tcPr>
          <w:p>
            <w:r/>
            <w:r>
              <w:rPr>
                <w:b w:val="0"/>
                <w:sz w:val="18"/>
              </w:rPr>
              <w:t>docs/neurone_eng_coordination_checklist.docx</w:t>
            </w:r>
          </w:p>
        </w:tc>
        <w:tc>
          <w:tcPr>
            <w:tcW w:type="dxa" w:w="3135"/>
          </w:tcPr>
          <w:p>
            <w:r/>
            <w:r>
              <w:rPr>
                <w:b w:val="0"/>
                <w:sz w:val="18"/>
              </w:rPr>
              <w:t>CURRENT</w:t>
            </w:r>
          </w:p>
        </w:tc>
      </w:tr>
      <w:tr>
        <w:tc>
          <w:tcPr>
            <w:tcW w:type="dxa" w:w="3135"/>
          </w:tcPr>
          <w:p>
            <w:r/>
            <w:r>
              <w:rPr>
                <w:b w:val="0"/>
                <w:sz w:val="18"/>
              </w:rPr>
              <w:t>NP-FAI-ZM-001 Rev A — FAI Zone Module Checklist</w:t>
            </w:r>
          </w:p>
        </w:tc>
        <w:tc>
          <w:tcPr>
            <w:tcW w:type="dxa" w:w="3135"/>
          </w:tcPr>
          <w:p>
            <w:r/>
            <w:r>
              <w:rPr>
                <w:b w:val="0"/>
                <w:sz w:val="18"/>
              </w:rPr>
              <w:t>docs/neurone_fai_zone_module.docx</w:t>
            </w:r>
          </w:p>
        </w:tc>
        <w:tc>
          <w:tcPr>
            <w:tcW w:type="dxa" w:w="3135"/>
          </w:tcPr>
          <w:p>
            <w:r/>
            <w:r>
              <w:rPr>
                <w:b w:val="0"/>
                <w:sz w:val="18"/>
              </w:rPr>
              <w:t>ISSUED</w:t>
            </w:r>
          </w:p>
        </w:tc>
      </w:tr>
      <w:tr>
        <w:tc>
          <w:tcPr>
            <w:tcW w:type="dxa" w:w="3135"/>
          </w:tcPr>
          <w:p>
            <w:r/>
            <w:r>
              <w:rPr>
                <w:b w:val="0"/>
                <w:sz w:val="18"/>
              </w:rPr>
              <w:t>NP-HW-FPC-001 Rev D — FPC Zone Module Spec (base)</w:t>
            </w:r>
          </w:p>
        </w:tc>
        <w:tc>
          <w:tcPr>
            <w:tcW w:type="dxa" w:w="3135"/>
          </w:tcPr>
          <w:p>
            <w:r/>
            <w:r>
              <w:rPr>
                <w:b w:val="0"/>
                <w:sz w:val="18"/>
              </w:rPr>
              <w:t>docs/neurone_fpc_zone_module_spec_revA.docx</w:t>
            </w:r>
          </w:p>
        </w:tc>
        <w:tc>
          <w:tcPr>
            <w:tcW w:type="dxa" w:w="3135"/>
          </w:tcPr>
          <w:p>
            <w:r/>
            <w:r>
              <w:rPr>
                <w:b w:val="0"/>
                <w:sz w:val="18"/>
              </w:rPr>
              <w:t>ISSUED</w:t>
            </w:r>
          </w:p>
        </w:tc>
      </w:tr>
      <w:tr>
        <w:tc>
          <w:tcPr>
            <w:tcW w:type="dxa" w:w="3135"/>
          </w:tcPr>
          <w:p>
            <w:r/>
            <w:r>
              <w:rPr>
                <w:b w:val="0"/>
                <w:sz w:val="18"/>
              </w:rPr>
              <w:t>NP-PROC-FPC-001 Rev A — FPC Procurement Requirements</w:t>
            </w:r>
          </w:p>
        </w:tc>
        <w:tc>
          <w:tcPr>
            <w:tcW w:type="dxa" w:w="3135"/>
          </w:tcPr>
          <w:p>
            <w:r/>
            <w:r>
              <w:rPr>
                <w:b w:val="0"/>
                <w:sz w:val="18"/>
              </w:rPr>
              <w:t>docs/neurone_fpc_procurement_requirements.docx</w:t>
            </w:r>
          </w:p>
        </w:tc>
        <w:tc>
          <w:tcPr>
            <w:tcW w:type="dxa" w:w="3135"/>
          </w:tcPr>
          <w:p>
            <w:r/>
            <w:r>
              <w:rPr>
                <w:b w:val="0"/>
                <w:sz w:val="18"/>
              </w:rPr>
              <w:t>ISSUED</w:t>
            </w:r>
          </w:p>
        </w:tc>
      </w:tr>
      <w:tr>
        <w:tc>
          <w:tcPr>
            <w:tcW w:type="dxa" w:w="3135"/>
          </w:tcPr>
          <w:p>
            <w:r/>
            <w:r>
              <w:rPr>
                <w:b w:val="0"/>
                <w:sz w:val="18"/>
              </w:rPr>
              <w:t>NP-PROC-SUP-001 Rev A — Supplier Selection Checklist</w:t>
            </w:r>
          </w:p>
        </w:tc>
        <w:tc>
          <w:tcPr>
            <w:tcW w:type="dxa" w:w="3135"/>
          </w:tcPr>
          <w:p>
            <w:r/>
            <w:r>
              <w:rPr>
                <w:b w:val="0"/>
                <w:sz w:val="18"/>
              </w:rPr>
              <w:t>docs/neurone_supplier_selection_checklist.docx</w:t>
            </w:r>
          </w:p>
        </w:tc>
        <w:tc>
          <w:tcPr>
            <w:tcW w:type="dxa" w:w="3135"/>
          </w:tcPr>
          <w:p>
            <w:r/>
            <w:r>
              <w:rPr>
                <w:b w:val="0"/>
                <w:sz w:val="18"/>
              </w:rPr>
              <w:t>ISSUED</w:t>
            </w:r>
          </w:p>
        </w:tc>
      </w:tr>
      <w:tr>
        <w:tc>
          <w:tcPr>
            <w:tcW w:type="dxa" w:w="3135"/>
          </w:tcPr>
          <w:p>
            <w:r/>
            <w:r>
              <w:rPr>
                <w:b w:val="0"/>
                <w:sz w:val="18"/>
              </w:rPr>
              <w:t>NP-RM-001 Annex — Zone Module Risk Register (25 risks)</w:t>
            </w:r>
          </w:p>
        </w:tc>
        <w:tc>
          <w:tcPr>
            <w:tcW w:type="dxa" w:w="3135"/>
          </w:tcPr>
          <w:p>
            <w:r/>
            <w:r>
              <w:rPr>
                <w:b w:val="0"/>
                <w:sz w:val="18"/>
              </w:rPr>
              <w:t>docs/neurone_fpc_zone_module_risks_revA.docx</w:t>
            </w:r>
          </w:p>
        </w:tc>
        <w:tc>
          <w:tcPr>
            <w:tcW w:type="dxa" w:w="3135"/>
          </w:tcPr>
          <w:p>
            <w:r/>
            <w:r>
              <w:rPr>
                <w:b w:val="0"/>
                <w:sz w:val="18"/>
              </w:rPr>
              <w:t>ISSUED (RISK-25 added Rev 5)</w:t>
            </w:r>
          </w:p>
        </w:tc>
      </w:tr>
      <w:tr>
        <w:tc>
          <w:tcPr>
            <w:tcW w:type="dxa" w:w="3135"/>
          </w:tcPr>
          <w:p>
            <w:r/>
            <w:r>
              <w:rPr>
                <w:b w:val="0"/>
                <w:sz w:val="18"/>
              </w:rPr>
              <w:t>NP-CLIN-001 Rev A — Clinical Trials Strategy</w:t>
            </w:r>
          </w:p>
        </w:tc>
        <w:tc>
          <w:tcPr>
            <w:tcW w:type="dxa" w:w="3135"/>
          </w:tcPr>
          <w:p>
            <w:r/>
            <w:r>
              <w:rPr>
                <w:b w:val="0"/>
                <w:sz w:val="18"/>
              </w:rPr>
              <w:t>docs/neurone_clinical_trials_strategy.docx</w:t>
            </w:r>
          </w:p>
        </w:tc>
        <w:tc>
          <w:tcPr>
            <w:tcW w:type="dxa" w:w="3135"/>
          </w:tcPr>
          <w:p>
            <w:r/>
            <w:r>
              <w:rPr>
                <w:b w:val="0"/>
                <w:sz w:val="18"/>
              </w:rPr>
              <w:t>ISSUED</w:t>
            </w:r>
          </w:p>
        </w:tc>
      </w:tr>
      <w:tr>
        <w:tc>
          <w:tcPr>
            <w:tcW w:type="dxa" w:w="3135"/>
          </w:tcPr>
          <w:p>
            <w:r/>
            <w:r>
              <w:rPr>
                <w:b w:val="0"/>
                <w:sz w:val="18"/>
              </w:rPr>
              <w:t>NP-MOD-EXT-001 Rev A — Additional Modalities</w:t>
            </w:r>
          </w:p>
        </w:tc>
        <w:tc>
          <w:tcPr>
            <w:tcW w:type="dxa" w:w="3135"/>
          </w:tcPr>
          <w:p>
            <w:r/>
            <w:r>
              <w:rPr>
                <w:b w:val="0"/>
                <w:sz w:val="18"/>
              </w:rPr>
              <w:t>docs/neurone_additional_modalities.docx</w:t>
            </w:r>
          </w:p>
        </w:tc>
        <w:tc>
          <w:tcPr>
            <w:tcW w:type="dxa" w:w="3135"/>
          </w:tcPr>
          <w:p>
            <w:r/>
            <w:r>
              <w:rPr>
                <w:b w:val="0"/>
                <w:sz w:val="18"/>
              </w:rPr>
              <w:t>ISSUED</w:t>
            </w:r>
          </w:p>
        </w:tc>
      </w:tr>
      <w:tr>
        <w:tc>
          <w:tcPr>
            <w:tcW w:type="dxa" w:w="3135"/>
          </w:tcPr>
          <w:p>
            <w:r/>
            <w:r>
              <w:rPr>
                <w:b w:val="0"/>
                <w:sz w:val="18"/>
              </w:rPr>
              <w:t>NP-SBIR-001 — SBIR Phase I Draft</w:t>
            </w:r>
          </w:p>
        </w:tc>
        <w:tc>
          <w:tcPr>
            <w:tcW w:type="dxa" w:w="3135"/>
          </w:tcPr>
          <w:p>
            <w:r/>
            <w:r>
              <w:rPr>
                <w:b w:val="0"/>
                <w:sz w:val="18"/>
              </w:rPr>
              <w:t>docs/neurone_sbir_phase1_draft.docx</w:t>
            </w:r>
          </w:p>
        </w:tc>
        <w:tc>
          <w:tcPr>
            <w:tcW w:type="dxa" w:w="3135"/>
          </w:tcPr>
          <w:p>
            <w:r/>
            <w:r>
              <w:rPr>
                <w:b w:val="0"/>
                <w:sz w:val="18"/>
              </w:rPr>
              <w:t>DRAFT</w:t>
            </w:r>
          </w:p>
        </w:tc>
      </w:tr>
      <w:tr>
        <w:tc>
          <w:tcPr>
            <w:tcW w:type="dxa" w:w="3135"/>
          </w:tcPr>
          <w:p>
            <w:r/>
            <w:r>
              <w:rPr>
                <w:b w:val="0"/>
                <w:sz w:val="18"/>
              </w:rPr>
              <w:t>Clinical Evidence Bibliography (33 entries)</w:t>
            </w:r>
          </w:p>
        </w:tc>
        <w:tc>
          <w:tcPr>
            <w:tcW w:type="dxa" w:w="3135"/>
          </w:tcPr>
          <w:p>
            <w:r/>
            <w:r>
              <w:rPr>
                <w:b w:val="0"/>
                <w:sz w:val="18"/>
              </w:rPr>
              <w:t>docs/neurone_bibliography.docx</w:t>
            </w:r>
          </w:p>
        </w:tc>
        <w:tc>
          <w:tcPr>
            <w:tcW w:type="dxa" w:w="3135"/>
          </w:tcPr>
          <w:p>
            <w:r/>
            <w:r>
              <w:rPr>
                <w:b w:val="0"/>
                <w:sz w:val="18"/>
              </w:rPr>
              <w:t>ISSUED</w:t>
            </w:r>
          </w:p>
        </w:tc>
      </w:tr>
      <w:tr>
        <w:tc>
          <w:tcPr>
            <w:tcW w:type="dxa" w:w="3135"/>
          </w:tcPr>
          <w:p>
            <w:r/>
            <w:r>
              <w:rPr>
                <w:b w:val="0"/>
                <w:sz w:val="18"/>
              </w:rPr>
              <w:t>Researcher Candidate List (12 researchers)</w:t>
            </w:r>
          </w:p>
        </w:tc>
        <w:tc>
          <w:tcPr>
            <w:tcW w:type="dxa" w:w="3135"/>
          </w:tcPr>
          <w:p>
            <w:r/>
            <w:r>
              <w:rPr>
                <w:b w:val="0"/>
                <w:sz w:val="18"/>
              </w:rPr>
              <w:t>docs/neurone_researchers.docx</w:t>
            </w:r>
          </w:p>
        </w:tc>
        <w:tc>
          <w:tcPr>
            <w:tcW w:type="dxa" w:w="3135"/>
          </w:tcPr>
          <w:p>
            <w:r/>
            <w:r>
              <w:rPr>
                <w:b w:val="0"/>
                <w:sz w:val="18"/>
              </w:rPr>
              <w:t>ISSUED</w:t>
            </w:r>
          </w:p>
        </w:tc>
      </w:tr>
      <w:tr>
        <w:tc>
          <w:tcPr>
            <w:tcW w:type="dxa" w:w="3135"/>
          </w:tcPr>
          <w:p>
            <w:r/>
            <w:r>
              <w:rPr>
                <w:b w:val="0"/>
                <w:sz w:val="18"/>
              </w:rPr>
              <w:t>firmware/bootloader/</w:t>
            </w:r>
          </w:p>
        </w:tc>
        <w:tc>
          <w:tcPr>
            <w:tcW w:type="dxa" w:w="3135"/>
          </w:tcPr>
          <w:p>
            <w:r/>
            <w:r>
              <w:rPr>
                <w:b w:val="0"/>
                <w:sz w:val="18"/>
              </w:rPr>
              <w:t>firmware/bootloader/</w:t>
            </w:r>
          </w:p>
        </w:tc>
        <w:tc>
          <w:tcPr>
            <w:tcW w:type="dxa" w:w="3135"/>
          </w:tcPr>
          <w:p>
            <w:r/>
            <w:r>
              <w:rPr>
                <w:b w:val="0"/>
                <w:sz w:val="18"/>
              </w:rPr>
              <w:t>BASELINED 2026-05-11 (Issue #20)</w:t>
            </w:r>
          </w:p>
        </w:tc>
      </w:tr>
      <w:tr>
        <w:tc>
          <w:tcPr>
            <w:tcW w:type="dxa" w:w="3135"/>
          </w:tcPr>
          <w:p>
            <w:r/>
            <w:r>
              <w:rPr>
                <w:b w:val="0"/>
                <w:sz w:val="18"/>
              </w:rPr>
              <w:t>firmware/hrv_biofeedback/</w:t>
            </w:r>
          </w:p>
        </w:tc>
        <w:tc>
          <w:tcPr>
            <w:tcW w:type="dxa" w:w="3135"/>
          </w:tcPr>
          <w:p>
            <w:r/>
            <w:r>
              <w:rPr>
                <w:b w:val="0"/>
                <w:sz w:val="18"/>
              </w:rPr>
              <w:t>firmware/hrv_biofeedback/</w:t>
            </w:r>
          </w:p>
        </w:tc>
        <w:tc>
          <w:tcPr>
            <w:tcW w:type="dxa" w:w="3135"/>
          </w:tcPr>
          <w:p>
            <w:r/>
            <w:r>
              <w:rPr>
                <w:b w:val="0"/>
                <w:sz w:val="18"/>
              </w:rPr>
              <w:t>BASELINED 2026-05-11 (Issue #21)</w:t>
            </w:r>
          </w:p>
        </w:tc>
      </w:tr>
      <w:tr>
        <w:tc>
          <w:tcPr>
            <w:tcW w:type="dxa" w:w="3135"/>
          </w:tcPr>
          <w:p>
            <w:r/>
            <w:r>
              <w:rPr>
                <w:b w:val="0"/>
                <w:sz w:val="18"/>
              </w:rPr>
              <w:t>firmware/zone_announce/</w:t>
            </w:r>
          </w:p>
        </w:tc>
        <w:tc>
          <w:tcPr>
            <w:tcW w:type="dxa" w:w="3135"/>
          </w:tcPr>
          <w:p>
            <w:r/>
            <w:r>
              <w:rPr>
                <w:b w:val="0"/>
                <w:sz w:val="18"/>
              </w:rPr>
              <w:t>firmware/zone_announce/</w:t>
            </w:r>
          </w:p>
        </w:tc>
        <w:tc>
          <w:tcPr>
            <w:tcW w:type="dxa" w:w="3135"/>
          </w:tcPr>
          <w:p>
            <w:r/>
            <w:r>
              <w:rPr>
                <w:b w:val="0"/>
                <w:sz w:val="18"/>
              </w:rPr>
              <w:t>BASELINED 2026-05-11 (Issue #22)</w:t>
            </w:r>
          </w:p>
        </w:tc>
      </w:tr>
      <w:tr>
        <w:tc>
          <w:tcPr>
            <w:tcW w:type="dxa" w:w="3135"/>
          </w:tcPr>
          <w:p>
            <w:r/>
            <w:r>
              <w:rPr>
                <w:b w:val="0"/>
                <w:sz w:val="18"/>
              </w:rPr>
              <w:t>firmware/sloreta_hdtdcs/</w:t>
            </w:r>
          </w:p>
        </w:tc>
        <w:tc>
          <w:tcPr>
            <w:tcW w:type="dxa" w:w="3135"/>
          </w:tcPr>
          <w:p>
            <w:r/>
            <w:r>
              <w:rPr>
                <w:b w:val="0"/>
                <w:sz w:val="18"/>
              </w:rPr>
              <w:t>firmware/sloreta_hdtdcs/</w:t>
            </w:r>
          </w:p>
        </w:tc>
        <w:tc>
          <w:tcPr>
            <w:tcW w:type="dxa" w:w="3135"/>
          </w:tcPr>
          <w:p>
            <w:r/>
            <w:r>
              <w:rPr>
                <w:b w:val="0"/>
                <w:sz w:val="18"/>
              </w:rPr>
              <w:t>BASELINED 2026-05-11 (Issue #23)</w:t>
            </w:r>
          </w:p>
        </w:tc>
      </w:tr>
      <w:tr>
        <w:tc>
          <w:tcPr>
            <w:tcW w:type="dxa" w:w="3135"/>
          </w:tcPr>
          <w:p>
            <w:r/>
            <w:r>
              <w:rPr>
                <w:b w:val="0"/>
                <w:sz w:val="18"/>
              </w:rPr>
              <w:t>firmware/cervical_vns/</w:t>
            </w:r>
          </w:p>
        </w:tc>
        <w:tc>
          <w:tcPr>
            <w:tcW w:type="dxa" w:w="3135"/>
          </w:tcPr>
          <w:p>
            <w:r/>
            <w:r>
              <w:rPr>
                <w:b w:val="0"/>
                <w:sz w:val="18"/>
              </w:rPr>
              <w:t>firmware/cervical_vns/</w:t>
            </w:r>
          </w:p>
        </w:tc>
        <w:tc>
          <w:tcPr>
            <w:tcW w:type="dxa" w:w="3135"/>
          </w:tcPr>
          <w:p>
            <w:r/>
            <w:r>
              <w:rPr>
                <w:b w:val="0"/>
                <w:sz w:val="18"/>
              </w:rPr>
              <w:t>BASELINED 2026-05-11 (Issue #24)</w:t>
            </w:r>
          </w:p>
        </w:tc>
      </w:tr>
      <w:tr>
        <w:tc>
          <w:tcPr>
            <w:tcW w:type="dxa" w:w="3135"/>
          </w:tcPr>
          <w:p>
            <w:r/>
            <w:r>
              <w:rPr>
                <w:b w:val="0"/>
                <w:sz w:val="18"/>
              </w:rPr>
              <w:t>firmware/pbm_1064nm/</w:t>
            </w:r>
          </w:p>
        </w:tc>
        <w:tc>
          <w:tcPr>
            <w:tcW w:type="dxa" w:w="3135"/>
          </w:tcPr>
          <w:p>
            <w:r/>
            <w:r>
              <w:rPr>
                <w:b w:val="0"/>
                <w:sz w:val="18"/>
              </w:rPr>
              <w:t>firmware/pbm_1064nm/</w:t>
            </w:r>
          </w:p>
        </w:tc>
        <w:tc>
          <w:tcPr>
            <w:tcW w:type="dxa" w:w="3135"/>
          </w:tcPr>
          <w:p>
            <w:r/>
            <w:r>
              <w:rPr>
                <w:b w:val="0"/>
                <w:sz w:val="18"/>
              </w:rPr>
              <w:t>BASELINED 2026-05-12 (Issues #53–56)</w:t>
            </w:r>
          </w:p>
        </w:tc>
      </w:tr>
    </w:tbl>
    <w:p/>
    <w:p>
      <w:pPr>
        <w:jc w:val="center"/>
      </w:pPr>
      <w:r>
        <w:rPr>
          <w:i/>
          <w:color w:val="888888"/>
          <w:sz w:val="16"/>
        </w:rPr>
        <w:t>NP-DB-001 Rev 5  ·  2026-05-16  ·  Pre-tooling design phase  ·  All decisions marked "locked" have been through full design review  ·  Decisions marked "pending" require resolution before first tooling cut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