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NeurOne</w:t>
      </w:r>
    </w:p>
    <w:p>
      <w:pPr>
        <w:jc w:val="center"/>
      </w:pPr>
      <w:r>
        <w:rPr>
          <w:b/>
          <w:sz w:val="28"/>
        </w:rPr>
        <w:t>Zone Module FPC Assembly</w:t>
        <w:br/>
        <w:t>First Article Inspection (FAI) Checklist</w:t>
      </w:r>
    </w:p>
    <w:p>
      <w:pPr>
        <w:jc w:val="center"/>
      </w:pPr>
      <w:r>
        <w:rPr>
          <w:color w:val="606060"/>
          <w:sz w:val="18"/>
        </w:rPr>
        <w:t>NP-FAI-ZM-001  Rev A  |  2026-05-06  |  Pre-Production Draft</w:t>
        <w:br/>
        <w:t>References: NP-HW-FPC-001 Rev C · NP-PROC-FPC-001 Rev A · NP-DRV-SHELL-001 Rev A</w:t>
        <w:br/>
        <w:t>Risk mitigations consolidated: RISK-01, 02, 04, 05, 06, 07, 08, 10, 11, 12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Build lot / serial: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FAI date: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Headset serial number: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Inspector name: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FPC lot number: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Reviewed by: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Shell revision: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Final result: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 xml:space="preserve">  PASS  /  FAIL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>
              <w:rPr>
                <w:b/>
                <w:color w:val="BF6000"/>
                <w:sz w:val="20"/>
              </w:rPr>
              <w:t xml:space="preserve">SCOPE:  </w:t>
            </w:r>
            <w:r>
              <w:rPr>
                <w:sz w:val="20"/>
              </w:rPr>
              <w:t>This checklist covers the first article of each zone module FPC assembly. ALL items must pass before production release. Any FAIL triggers a disposition review — no waiver without Engineering and Quality sign-off. Items marked [BLOCKING] must pass before any other FAI items proceed.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1 — PRE-INSPECTION DOCUMENT CHECK</w:t>
      </w:r>
    </w:p>
    <w:p>
      <w:pPr>
        <w:spacing w:after="80"/>
      </w:pPr>
      <w:r>
        <w:rPr>
          <w:sz w:val="20"/>
        </w:rPr>
        <w:t>Verify all required documents and BOM revisions are current before physical inspection.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FAI-D01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6"/>
              </w:rPr>
              <w:t>FPC specification NP-HW-FPC-001 Rev C on file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6"/>
              </w:rPr>
              <w:t>Document check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Rev C or later confirmed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FAI-D02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sz w:val="16"/>
              </w:rPr>
              <w:t>Procurement requirements NP-PROC-FPC-001 Rev A on file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6"/>
              </w:rPr>
              <w:t>Document check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Rev A or later confirmed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FAI-D03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6"/>
              </w:rPr>
              <w:t>Shell tooling design review NP-DRV-SHELL-001 Rev A fully signed off (all 8 signatories)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6"/>
              </w:rPr>
              <w:t>Document check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All sign-off boxes in §8 completed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FAI-D04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sz w:val="16"/>
              </w:rPr>
              <w:t>BOM confirms BCR421W (not BCR421U) — verify against approved BOM revision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6"/>
              </w:rPr>
              <w:t>BOM review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BCR421W in all LED driver positions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FAI-D05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6"/>
              </w:rPr>
              <w:t>BOM confirms Hirose FH34S-20S-0.5SH(50) — no Molex SlimStack or 0.35 mm pitch connectors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6"/>
              </w:rPr>
              <w:t>BOM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FH34S or JAE FF03 only in connector positions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FAI-D06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sz w:val="16"/>
              </w:rPr>
              <w:t>FPC fab drawing specifies RA copper (IPC-4204/11 Type I) — check drawing fab notes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6"/>
              </w:rPr>
              <w:t>Drawing review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'ROLLED ANNEALED' or 'RA per IPC-4204/11' visible as fab note 1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FAI-D07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6"/>
              </w:rPr>
              <w:t>RA copper material certificate accompanies FPC lot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Cert references lot number and IPC-4204/11 Type I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FAI-D08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sz w:val="16"/>
              </w:rPr>
              <w:t>LED Vf bin distribution certificate accompanies LED lot (660 nm and 808–830 nm)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Cert present, lot mean ± range within ±0.10 V spec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2 — INCOMING COMPONENT INSPECTION</w:t>
      </w:r>
    </w:p>
    <w:p>
      <w:pPr>
        <w:spacing w:after="80"/>
      </w:pPr>
      <w:r>
        <w:rPr>
          <w:sz w:val="20"/>
        </w:rPr>
        <w:t>Verify purchased components before assembly. Failures here prevent assembly from proceeding.</w:t>
      </w:r>
    </w:p>
    <w:p>
      <w:pPr>
        <w:spacing w:before="160" w:after="40"/>
      </w:pPr>
      <w:r>
        <w:rPr>
          <w:b/>
          <w:color w:val="1F497D"/>
          <w:sz w:val="20"/>
        </w:rPr>
        <w:t>2a. LED Emitters (660 nm and 808–830 nm)</w:t>
      </w:r>
      <w:r>
        <w:rPr>
          <w:color w:val="808080"/>
          <w:sz w:val="18"/>
        </w:rPr>
        <w:t xml:space="preserve">  [RISK-08 Vf binning · RISK-10 RA copper ref]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FAI-L01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660 nm LED: measure Vf on 10-unit sample at 150 mA / 10 ms pulse / 25°C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Benchtop measurement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10 within ±0.10 V of lot mean on certificate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FAI-L02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808 nm LED: measure Vf on 10-unit sample at 150 mA / 10 ms pulse / 25°C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Benchtop measurement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All 10 within ±0.10 V of lot mean on certificate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FAI-L03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660 nm peak wavelength: spectrometer check on 5-unit sample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Spectrometer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λ_peak 655–670 nm, within ±5 nm of lot certificate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FAI-L04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808 nm peak wavelength: spectrometer check on 5-unit sample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Spectrometer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λ_peak 805–835 nm, within ±10 nm of lot certificate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FAI-L05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Reel label part number and date code check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Part number matches BOM; floor life not expired (MSL 3)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2b. BCR421W LED Driver IC</w:t>
      </w:r>
      <w:r>
        <w:rPr>
          <w:color w:val="808080"/>
          <w:sz w:val="18"/>
        </w:rPr>
        <w:t xml:space="preserve">  [RISK-07 variant confusion]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FAI-C01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Part marking: confirm 'W' suffix on every sampled IC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 / magnifier (10×)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Marking reads BCR421W. Any BCR421U → reject entire lot immediately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FAI-C02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Package type: SOT-323 (SC-70) 3-pin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 / caliper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SOT-323 body size 2.0 × 1.25 mm confirmed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FAI-C03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Authorised distributor CoC present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Distributor is Mouser, DigiKey, or Avnet; CoC on file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2c. Hirose FH34S Connector</w:t>
      </w:r>
      <w:r>
        <w:rPr>
          <w:color w:val="808080"/>
          <w:sz w:val="18"/>
        </w:rPr>
        <w:t xml:space="preserve">  [RISK-01 connector family]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Part number on reel label: confirm FH34S-20S-0.5SH(50)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Exact part number confirmed. Any Molex or 0.35 mm connector → reject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FAI-K02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Position count: 20 contacts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 / pin count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Count = 20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Lever actuation: back-flip lever opens and closes smoothly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Manual test, 3 samples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stiffness, no binding, lever fully releases at 180°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FAI-K04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Contact resistance: insert FPC tail, measure all 20 contacts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4-wire measurement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All contacts &lt; 50 mΩ after 5 insertion cycles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2d. FPC Laminate</w:t>
      </w:r>
      <w:r>
        <w:rPr>
          <w:color w:val="808080"/>
          <w:sz w:val="18"/>
        </w:rPr>
        <w:t xml:space="preserve">  [RISK-10 RA copper · RISK-02 power trace]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FAI-F01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RA copper material certificate: confirm 'Rolled Annealed' per IPC-4204/11 Type I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Certificate explicitly states RA. 'ED' certificate → reject lot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FAI-F02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Copper weight: 1 oz (35 µm ± 10%) confirmed on certificate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35 µm ± 3.5 µm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FAI-F03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Connector tail hard gold thickness: XRF measurement on 2 samples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XRF (2 pads/unit)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≥ 0.5 µm gold. Any pad &lt; 0.4 µm → quarantine lot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FAI-F04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IPC class 2 certificate accompanies lot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Certificate references IPC-A-600 Class 2 or better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3 — ASSEMBLED ZONE MODULE INSPECTION</w:t>
      </w:r>
    </w:p>
    <w:p>
      <w:pPr>
        <w:spacing w:after="80"/>
      </w:pPr>
      <w:r>
        <w:rPr>
          <w:sz w:val="20"/>
        </w:rPr>
        <w:t>Inspect first-article assembled zone module PCB before installation into shell.</w:t>
      </w:r>
    </w:p>
    <w:p>
      <w:pPr>
        <w:spacing w:before="160" w:after="40"/>
      </w:pPr>
      <w:r>
        <w:rPr>
          <w:b/>
          <w:color w:val="1F497D"/>
          <w:sz w:val="20"/>
        </w:rPr>
        <w:t>3a. Power Trace and Thermal Verification</w:t>
      </w:r>
      <w:r>
        <w:rPr>
          <w:color w:val="808080"/>
          <w:sz w:val="18"/>
        </w:rPr>
        <w:t xml:space="preserve">  [RISK-02 current capacity]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FAI-T01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Power trace width on VLED rail: measure from top layer photograph (calibrated image scale)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Optical / caliper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≥ 2.0 mm on all VLED/GND power bus segments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FAI-T02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Thermal imaging: run all 10 strings in one zone at full rated current (180 mA/string) for 60 s; capture IR image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FLIR or equivalent IR camera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No hotspot &gt; 62°C junction temperature; uniform temperature gradient across strings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FAI-T03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Trace continuity on all 20 power pins: measure resistance pin-to-string LED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4-wire measurement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Per-trace resistance &lt; 50 mΩ for any signal trace, &lt; 10 mΩ for power rail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3b. LED Driver Current Verification</w:t>
      </w:r>
      <w:r>
        <w:rPr>
          <w:color w:val="808080"/>
          <w:sz w:val="18"/>
        </w:rPr>
        <w:t xml:space="preserve">  [RISK-05 current hogging · RISK-07 BCR421W]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FAI-E01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Per-string current: measure actual current in each of 10 strings for one wavelength at rated RSET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Clamp meter / shunt, each string individually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10 strings within ±5% of target (e.g. 180 mA ± 9 mA). Any string outside ±10% → investigate driver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FAI-E02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Across-wavelength match: compare 660 nm string mean vs 808 nm string mean current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As above, both wavelengths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Means within ±3% of each other at same RSET (same driver part)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FAI-E03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BCR421W thermal rise: measure IC case temperature at rated current for 60 s (no heat sink)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NTC or contact thermocouple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Case temperature ≤ 85°C. Above 80°C → evaluate thermal derating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3c. Reference Photodiode Optical Isolation</w:t>
      </w:r>
      <w:r>
        <w:rPr>
          <w:color w:val="808080"/>
          <w:sz w:val="18"/>
        </w:rPr>
        <w:t xml:space="preserve">  [RISK-06 photodiode contamination]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FAI-P01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Dark-field isolation test: cover all LEDs with opaque black tape; run photodiode readout in synchronous lock-in mode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Bench test, firmware lock-in mode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Photodiode ADC output &lt; 1% of full-scale in absence of LED illumination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FAI-P02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Response test: uncover LEDs; run all 10 strings in zone at 25% duty cycle; verify photodiode responds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Bench test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Photodiode output increases ≥ 90× compared to dark reading; signal stable across 10 s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FAI-P03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LED aging simulation: attenuate LED output 30% with ND filter over PDMS window; verify photodiode detects reduction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ND filter + bench test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Reported J/cm² decreases by 28–32% (within ±2% of filter attenuation)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FAI-P04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PDMS window optical transmission: measure before and after assembly with integrating sphere or photodiode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Integrating sphere / benchtop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≥ 92% at 660 nm; ≥ 94% at 808–830 nm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3d. PDMS Window Adhesion</w:t>
      </w:r>
      <w:r>
        <w:rPr>
          <w:color w:val="808080"/>
          <w:sz w:val="18"/>
        </w:rPr>
        <w:t xml:space="preserve">  [RISK-04 CTE delamination]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FAI-M01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Visual inspection of PDMS–PI bond line: no delamination, no air bubbles &gt; 0.5 mm, no discolouration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Visual, 10× magnifier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defects visible. Any delamination ≥ 1 mm → reject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FAI-M02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Peel test (witness coupon from same bonding batch as production units): 90° peel test on 25 mm × 25 mm PDMS–PI bonded coupon. Coupon must be processed through full SiO₂ sputter + O₂ plasma + cure sequence identically to production FPCs.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Instron or similar, 90° peel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Peel force ≥ 150 N/m (per NP-HW-FPC-001 §9.3 and IPC-TM-650 2.4.9). Target ≥ 400 N/m. 100–149 N/m → conditional accept, review bonding process, re-run 3 coupons. &lt; 100 N/m → reject batch; halt production; SiO₂ interlayer process non-conformant — escalate to Manufacturing Eng.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FAI-M03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Accelerated thermal cycling screen (production batch check — 5 cycles): 5 cycles −20°C to +70°C on 1 witness coupon per production batch. This is a fast screen only — it does NOT replace the full 200-cycle IEC 60068-2-14 process qualification (see §3e FAI-TC items, which must pass before any production begins).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Thermal chamber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 new delamination (visual + 10× magnifier) after 5 cycles. If any delamination: halt batch; run full peel test per FAI-M02. If peel force drops below 150 N/m: reject batch, re-qualify process. Note: FAI-M03 pass alone does NOT confirm long-term reliability — §3e qualification must already be on file.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r>
        <w:rPr>
          <w:b w:val="0"/>
          <w:sz w:val="20"/>
        </w:rPr>
        <w:t>Test rationale: no published fatigue data exists for PI–PDMS bonds under LED-junction thermal cycling conditions (PDMS CTE ≈ 300 ppm/°C vs. PI ≈ 18 ppm/°C, 15:1 mismatch). 200-cycle IEC 60068-2-14 qualification generates this data. If the SiO₂ interlayer process requires adjustment, it must be identified here — not after tooling is committed.</w:t>
      </w:r>
    </w:p>
    <w:p>
      <w:r>
        <w:rPr>
          <w:b w:val="0"/>
          <w:sz w:val="20"/>
        </w:rPr>
        <w:t>This section covers the one-time process qualification test required before any production zone modules are built. It must be completed and signed off before zone module tooling is released (NP-COORD-001 gate G1-08). The test validates that the SiO₂-interlayer bonding process (NP-HW-FPC-001 §9.2) can survive the 1,800+ thermal cycles expected over device lifetime. FAI-TC02 is BLOCKING — production cannot start without a pass record on file.</w:t>
      </w:r>
    </w:p>
    <w:p>
      <w:r>
        <w:rPr>
          <w:b/>
          <w:color w:val="1F497D"/>
          <w:sz w:val="22"/>
        </w:rPr>
        <w:t>3e.  PDMS Thermal Cycling Process Qualification  [RISK-04 — one-time, pre-production]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FAI-TC01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Bonding process documentation check: confirm SiO₂ sputter parameters (75 nm, RF magnetron), O₂ plasma parameters (100 W / 30 sccm / 60 s), cure (120°C / 2 hr / 50 g/cm²), and &lt; 10 min delay between plasma and bond contact are documented in supplier process control plan before any qualification samples are made.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Process control plan review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5 parameters documented and confirmed. Any deviation from NP-HW-FPC-001 §9.2 must be approved in writing by HW EE before qualification proceeds.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FAI-TC02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[BLOCKING] Full thermal cycling qualification: IEC 60068-2-14 condition Na. 10 bonded PDMS–FPC coupons (same dimensions and process as production). 200 cycles, −10°C to +65°C, 15 min dwell at each extreme, ramp rate ≤ 3°C/min. Inspect 5 coupons at 100 cycles (interim check); inspect all 10 at 200 cycles.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IEC 60068-2-14 thermal chamber; 200 cycles; interim check at 100 cycles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Zero delamination (visual + 10× magnifier) at 100-cycle interim check. Zero delamination at 200 cycles on all 10 coupons. Any delamination at any point → HALT: SiO₂ interlayer process non-conformant. Review sputter thickness, plasma parameters, and cure conditions before re-run. Production CANNOT start until this test passes.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FAI-TC03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Post-cycling peel test: 90° peel test on all 10 coupons immediately after FAI-TC02 thermal cycling completion. Same test method as FAI-M02 (IPC-TM-650 2.4.9).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90° peel test, Instron or similar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Peel force ≥ 150 N/m on all 10 coupons after 200 cycles. Target ≥ 400 N/m (pre-cycling target applies here too — cycling should not degrade peel force below 150 N/m). Record min/max/mean — document in process qualification report.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FAI-TC04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Post-cycling optical transmission: measure optical transmittance at 660 nm and 808 nm through each of the 10 coupons after thermal cycling, using the same spectrophotometer as pre-cycling baseline measurement.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Spectrophotometer, 660 nm and 808 nm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Transmittance ≥ 90% of pre-cycling baseline value at both wavelengths. Any coupon below 90% → investigate for delamination-induced air gap or PDMS haze formation. Reject if &lt; 85% absolute transmittance.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FAI-TC05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LED junction thermal cycling simulation (supplemental, recommended): assemble 3 complete zone modules with qualified PDMS process; run 500 LED-on/LED-off thermal cycles at maximum rated current (PWM 25% duty, 180 mA peak). Monitor PD1 output each cycle — normalised to initial value.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Production zone module + bench power supply; 500 LED cycles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PD1 output remains within 5% of initial value after 500 cycles (no air gap forming under LED thermal cycling). This test is recommended, not mandatory for production release, but must be completed before claiming &gt; 2-year PDMS reliability.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FAI-TC06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Qualification report sign-off: all FAI-TC01 through FAI-TC04 results recorded in PDMS Process Qualification Report (document number NP-QR-PDMS-001). Report must be signed by Manufacturing Eng and HW EE before production start.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Document review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Signed qualification report on file. Report includes: supplier name, process control plan ref, test dates, all peel force and transmittance data, thermal chamber calibration certificate. Report retained for device lifetime + 2 years (regulatory retention requirement).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4 — SHELL INSTALLATION AND ALIGNMENT VERIFICATION</w:t>
      </w:r>
    </w:p>
    <w:p>
      <w:pPr>
        <w:spacing w:after="80"/>
      </w:pPr>
      <w:r>
        <w:rPr>
          <w:sz w:val="20"/>
        </w:rPr>
        <w:t>RISK-12 primary mitigation. All 5 zone modules must be verified individually. The ±0.5 mm system alignment requirement is achieved via ±0.3 mm shell tooling tolerance (±0.2 mm margin).</w:t>
      </w:r>
    </w:p>
    <w:p>
      <w:pPr>
        <w:spacing w:before="160" w:after="40"/>
      </w:pPr>
      <w:r>
        <w:rPr>
          <w:b/>
          <w:color w:val="1F497D"/>
          <w:sz w:val="20"/>
        </w:rPr>
        <w:t>4a. Zone Module Positional Accuracy</w:t>
      </w:r>
      <w:r>
        <w:rPr>
          <w:color w:val="808080"/>
          <w:sz w:val="18"/>
        </w:rPr>
        <w:t xml:space="preserve">  [RISK-12 alignment tolerance]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FAI-A01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[BLOCKING, PENDING REG-1] T1-B (EEG-carrying) module CMM measurement at the socket assigned to 10-20 site Fp1/Fp2 (single shared socket — Fp row holds one tile, REG-1 open item)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CMM / optical profilometer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LED/electrode centroid within ±0.3 mm of the socket's nominal 10-20 target position — socket assignment per docs/np_hex_zm_001.md §3.2/§4a, PROVISIONAL pending gate REG-1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FAI-A02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[BLOCKING, PENDING REG-1] T1-B (EEG-carrying) module CMM measurement at the socket assigned to 10-20 site F3/F4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CMM / optical profilometer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LED/electrode centroid within ±0.3 mm of the socket's nominal 10-20 target position — socket assignment per docs/np_hex_zm_001.md §3.2/§4a, PROVISIONAL pending gate REG-1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FAI-A03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[BLOCKING, PENDING REG-1] T1-B (EEG-carrying) module CMM measurement at the socket assigned to 10-20 site C3/C4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CMM / optical profilometer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LED/electrode centroid within ±0.3 mm of the socket's nominal 10-20 target position — socket assignment per docs/np_hex_zm_001.md §3.2/§4a, PROVISIONAL pending gate REG-1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FAI-A04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[BLOCKING, PENDING REG-1] T1-B (EEG-carrying) module CMM measurement at the socket assigned to 10-20 site P3/P4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CMM / optical profilometer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LED/electrode centroid within ±0.3 mm of the socket's nominal 10-20 target position — socket assignment per docs/np_hex_zm_001.md §3.2/§4a, PROVISIONAL pending gate REG-1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FAI-A05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[BLOCKING, PENDING REG-1] T1-B module CMM measurement at the socket assigned to Oz (required for the photoparoxysmal visual-stim safety interlock, docs/np_hex_zm_001.md §4a)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CMM / optical profilometer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Electrode centroid within ±0.3 mm of the Oz socket's nominal target position — PROVISIONAL pending gate REG-1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FAI-A06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Inter-electrode spacing: confirm T1-B socket positions match 10-20 system inter-electrode distances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CMM / derived from A01-A05 measurements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 inter-electrode distances within ±0.5 mm of 10-20 system nominal — PROVISIONAL pending gate REG-1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FAI-A07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Hex-tile module stiffener datum features (reference holes or edges): verify present and within ±0.1 mm of nominal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CMM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Datum features present; position ±0.1 mm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FAI-A08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Hex-tile module re-insertion repeatability: remove and re-insert each hex-tile module 3×; re-measure CMM position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CMM, 3 repeats per zone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Position repeatability ±0.1 mm (module self-locates to same position each insertion)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FAI-A09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Universal orientation key verification: attempt to insert a hex-tile module rotated 60°/120°/180°/240°/300° from correct orientation into a socket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Physical manual test — 5 wrong-orientation attempts per sampled socket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Zero incorrect-orientation insertions possible at any of the 5 rotations. Key geometry alone (no vision, no reading, no firmware) must stop the attempt before electrical contact — verifies the blind-safe claim in docs/np_hex_zm_001.md §4a.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FAI-A10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Correct-orientation insertion: confirm a module in the correct orientation seats fully and makes electrical contact on the first attempt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Physical manual test, sampled sockets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 seating and contact confirmed on first attempt at every sampled socket. No false resistance at correct orientation.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FAI-A11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UID auto-inventory verification: insert a known module type at a sampled socket; confirm np_module_map reports the correct type via UID-based auto-inventory (no ZONE_ID resistor — that mechanism is retired)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Hub MCU diagnostic mode / app inventory view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Reported module type at the socket matches the physical module inserted, within the poll interval specified in docs/np_hex_zm_001.md §4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FAI-A12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[BLOCKING] Type-mismatch rejection: attempt to run a protocol whose module map excludes the module type actually inserted at a required socket (e.g. T1-A where T1-B is required); confirm the app blocks the protocol before session start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 app + firmware test — np_module_map_check_placement()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Session blocked before any stimulation/PBM enable. Unmet socket + required type reported to the user via the app.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FAI-A13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[BLOCKING] Placement-check software gate: configure a protocol whose module map requires an EEG-capable module at a given socket; leave that socket unpopulated or populate it with a non-EEG module; confirm the app blocks the protocol and identifies the unmet socket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 app + firmware test — np_module_map_check_placement()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Protocol is disabled with the specific unmet socket identified to the user. Protocol becomes runnable immediately once a matching module is inserted at that socket — no other action required.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FAI-A14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Mixed-type insertion: populate a representative cluster with a mix of T1-A/B/C module types in arbitrary sockets; confirm all types insert, seat, and are correctly identified regardless of socket position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Physical + firmware test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Every type-agnostic combination inserts and is correctly identified. No socket position is type-restricted, per docs/np_hex_zm_001.md §4a "any type inserts into any socket."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b/>
                <w:sz w:val="16"/>
              </w:rPr>
              <w:t xml:space="preserve">FAI-A15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  <w:t xml:space="preserve">Eject lever accessibility test (RISK-22): 5 test subjects with diagnosed Parkinson's disease (Hoehn &amp; Yahr scale II–III) or post-stroke hand weakness (grip strength ≤ 8 kg). Each subject removes and reinserts all 5 zone modules twice (10 total operations). No coaching; standard user instructions only.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  <w:t xml:space="preserve">HFE formative test — 5 subjects with Parkinson's/post-stroke (pre-production)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  <w:t xml:space="preserve">All 5 subjects complete each extraction in ≤ 10 s with no more than 2 attempts. No reported pain or excessive effort. Lever detent must not prevent extraction. Lever must not accidentally eject during normal wear simulation (5 min handling without deliberate ejection attempt).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7FF"/>
          </w:tcPr>
          <w:p>
            <w:r>
              <w:rPr>
                <w:b/>
                <w:sz w:val="16"/>
              </w:rPr>
              <w:t xml:space="preserve">FAI-H01</w:t>
            </w:r>
          </w:p>
        </w:tc>
        <w:tc>
          <w:tcPr>
            <w:tcW w:w="3311" w:type="dxa"/>
            <w:shd w:val="clear" w:color="auto" w:fill="F0F7FF"/>
          </w:tcPr>
          <w:p>
            <w:r>
              <w:rPr>
                <w:sz w:val="16"/>
              </w:rPr>
              <w:t xml:space="preserve">HRV coherence baseline (standalone): subject performs 5-minute guided breathing session at 6 breaths/min. App displays real-time coherence score. Verify: PPG R-R interval successfully detected from auricular clip (&gt;95% beat detection); coherence score updates at ≤2s interval; bone conduction audio breathing cue audible at ≥60dB at ear.</w:t>
            </w:r>
          </w:p>
        </w:tc>
        <w:tc>
          <w:tcPr>
            <w:tcW w:w="1728" w:type="dxa"/>
            <w:shd w:val="clear" w:color="auto" w:fill="F0F7FF"/>
          </w:tcPr>
          <w:p>
            <w:r>
              <w:rPr>
                <w:sz w:val="16"/>
              </w:rPr>
              <w:t xml:space="preserve">App + firmware verification</w:t>
            </w:r>
          </w:p>
        </w:tc>
        <w:tc>
          <w:tcPr>
            <w:tcW w:w="2232" w:type="dxa"/>
            <w:shd w:val="clear" w:color="auto" w:fill="F0F7FF"/>
          </w:tcPr>
          <w:p>
            <w:r>
              <w:rPr>
                <w:sz w:val="16"/>
              </w:rPr>
              <w:t xml:space="preserve">Beat detection ≥95% (validated against ECG reference in bench test). Coherence score range 0–10 correctly calculated. Audio cue timing: ±0.1s of target.</w:t>
            </w:r>
          </w:p>
        </w:tc>
        <w:tc>
          <w:tcPr>
            <w:tcW w:w="936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7FF"/>
          </w:tcPr>
          <w:p>
            <w:r>
              <w:rPr>
                <w:b/>
                <w:sz w:val="16"/>
              </w:rPr>
              <w:t xml:space="preserve">FAI-H02</w:t>
            </w:r>
          </w:p>
        </w:tc>
        <w:tc>
          <w:tcPr>
            <w:tcW w:w="3311" w:type="dxa"/>
            <w:shd w:val="clear" w:color="auto" w:fill="F0F7FF"/>
          </w:tcPr>
          <w:p>
            <w:r>
              <w:rPr>
                <w:sz w:val="16"/>
              </w:rPr>
              <w:t>HRV+taVNS synchronization: 10-minute session, HRV+taVNS synchronized protocol. Verify firmware correctly identifies inspiration phase from PPG waveform and triggers taVNS pulse within ±150ms of peak inspiration for ≥80% of respiratory cycles. Subject: 3 healthy adults.</w:t>
            </w:r>
          </w:p>
        </w:tc>
        <w:tc>
          <w:tcPr>
            <w:tcW w:w="1728" w:type="dxa"/>
            <w:shd w:val="clear" w:color="auto" w:fill="F0F7FF"/>
          </w:tcPr>
          <w:p>
            <w:r>
              <w:rPr>
                <w:sz w:val="16"/>
              </w:rPr>
              <w:t xml:space="preserve">3 subjects, bench + human verification</w:t>
            </w:r>
          </w:p>
        </w:tc>
        <w:tc>
          <w:tcPr>
            <w:tcW w:w="2232" w:type="dxa"/>
            <w:shd w:val="clear" w:color="auto" w:fill="F0F7FF"/>
          </w:tcPr>
          <w:p>
            <w:r>
              <w:rPr>
                <w:sz w:val="16"/>
              </w:rPr>
              <w:t xml:space="preserve">Inspiration-triggered stimulation latency ≤150ms in ≥80% of cycles. No taVNS stimulation during expiration-only phases. No subject reports unexpected sensation from mis-timed stimulation.</w:t>
            </w:r>
          </w:p>
        </w:tc>
        <w:tc>
          <w:tcPr>
            <w:tcW w:w="936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7FF"/>
          </w:tcPr>
          <w:p>
            <w:r>
              <w:rPr>
                <w:b/>
                <w:sz w:val="16"/>
              </w:rPr>
              <w:t xml:space="preserve">FAI-H03</w:t>
            </w:r>
          </w:p>
        </w:tc>
        <w:tc>
          <w:tcPr>
            <w:tcW w:w="3311" w:type="dxa"/>
            <w:shd w:val="clear" w:color="auto" w:fill="F0F7FF"/>
          </w:tcPr>
          <w:p>
            <w:r>
              <w:rPr>
                <w:sz w:val="16"/>
              </w:rPr>
              <w:t xml:space="preserve">HRV+EEG dual biofeedback: 10-minute session, both coherence score and EEG alpha/theta band power displayed simultaneously. Verify: both metrics update independently without interference; EEG signal quality unchanged when taVNS is running concurrently (signal-to-noise check).</w:t>
            </w:r>
          </w:p>
        </w:tc>
        <w:tc>
          <w:tcPr>
            <w:tcW w:w="1728" w:type="dxa"/>
            <w:shd w:val="clear" w:color="auto" w:fill="F0F7FF"/>
          </w:tcPr>
          <w:p>
            <w:r>
              <w:rPr>
                <w:sz w:val="16"/>
              </w:rPr>
              <w:t xml:space="preserve">App + signal quality verification</w:t>
            </w:r>
          </w:p>
        </w:tc>
        <w:tc>
          <w:tcPr>
            <w:tcW w:w="2232" w:type="dxa"/>
            <w:shd w:val="clear" w:color="auto" w:fill="F0F7FF"/>
          </w:tcPr>
          <w:p>
            <w:r>
              <w:rPr>
                <w:sz w:val="16"/>
              </w:rPr>
              <w:t xml:space="preserve">Both metrics update at ≤2s intervals. EEG SNR during concurrent taVNS ≥90% of baseline (taVNS artefact &lt;5µV RMS after filtering).</w:t>
            </w:r>
          </w:p>
        </w:tc>
        <w:tc>
          <w:tcPr>
            <w:tcW w:w="936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7FF"/>
          </w:tcPr>
          <w:p>
            <w:r>
              <w:rPr>
                <w:b/>
                <w:sz w:val="16"/>
              </w:rPr>
              <w:t xml:space="preserve">FAI-H04</w:t>
            </w:r>
          </w:p>
        </w:tc>
        <w:tc>
          <w:tcPr>
            <w:tcW w:w="3311" w:type="dxa"/>
            <w:shd w:val="clear" w:color="auto" w:fill="F0F7FF"/>
          </w:tcPr>
          <w:p>
            <w:r>
              <w:rPr>
                <w:sz w:val="16"/>
              </w:rPr>
              <w:t xml:space="preserve">HRV+PBM multi-modal session: 15-minute combined session (PBM zone 1–5 at standard dose + HRV coherence training simultaneously). Verify: PBM dosimetry unaffected by concurrent HRV session; HRV coherence scores in expected range (≥5.0 for subjects trained in resonance breathing); no thermal interaction between PBM NTC monitoring and PPG signal processing.</w:t>
            </w:r>
          </w:p>
        </w:tc>
        <w:tc>
          <w:tcPr>
            <w:tcW w:w="1728" w:type="dxa"/>
            <w:shd w:val="clear" w:color="auto" w:fill="F0F7FF"/>
          </w:tcPr>
          <w:p>
            <w:r>
              <w:rPr>
                <w:sz w:val="16"/>
              </w:rPr>
              <w:t xml:space="preserve">3 subjects with prior HRV biofeedback experience</w:t>
            </w:r>
          </w:p>
        </w:tc>
        <w:tc>
          <w:tcPr>
            <w:tcW w:w="2232" w:type="dxa"/>
            <w:shd w:val="clear" w:color="auto" w:fill="F0F7FF"/>
          </w:tcPr>
          <w:p>
            <w:r>
              <w:rPr>
                <w:sz w:val="16"/>
              </w:rPr>
              <w:t xml:space="preserve">PBM J/cm² dose within ±5% of target. HRV coherence ≥5.0 in all 3 subjects (indicates usable biofeedback loop). NTC temperature reporting unaffected.</w:t>
            </w:r>
          </w:p>
        </w:tc>
        <w:tc>
          <w:tcPr>
            <w:tcW w:w="936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7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0FF"/>
          </w:tcPr>
          <w:p>
            <w:r>
              <w:rPr>
                <w:b/>
                <w:sz w:val="16"/>
              </w:rPr>
              <w:t xml:space="preserve">FAI-HD01</w:t>
            </w:r>
          </w:p>
        </w:tc>
        <w:tc>
          <w:tcPr>
            <w:tcW w:w="3311" w:type="dxa"/>
            <w:shd w:val="clear" w:color="auto" w:fill="F0F0FF"/>
          </w:tcPr>
          <w:p>
            <w:r>
              <w:rPr>
                <w:sz w:val="16"/>
              </w:rPr>
              <w:t>sLORETA source localization accuracy: T2 qEEG session (21-ch, eyes-closed resting state, 5 min). sLORETA algorithm computes cortical source map. Verify: source reconstruction completes within 10s; DLPFC peak activation localises to within ±15mm MNI coordinates of expected region (validated against published normative qEEG atlas). Bench test with 5 healthy adults.</w:t>
            </w:r>
          </w:p>
        </w:tc>
        <w:tc>
          <w:tcPr>
            <w:tcW w:w="1728" w:type="dxa"/>
            <w:shd w:val="clear" w:color="auto" w:fill="F0F0FF"/>
          </w:tcPr>
          <w:p>
            <w:r>
              <w:rPr>
                <w:sz w:val="16"/>
              </w:rPr>
              <w:t xml:space="preserve">Computational + bench verification (5 subjects)</w:t>
            </w:r>
          </w:p>
        </w:tc>
        <w:tc>
          <w:tcPr>
            <w:tcW w:w="2232" w:type="dxa"/>
            <w:shd w:val="clear" w:color="auto" w:fill="F0F0FF"/>
          </w:tcPr>
          <w:p>
            <w:r>
              <w:rPr>
                <w:sz w:val="16"/>
              </w:rPr>
              <w:t>sLORETA output within 10s. DLPFC localization error ≤15mm MNI vs atlas. Consistent across 5 subjects (σ ≤ 8mm inter-subject).</w:t>
            </w:r>
          </w:p>
        </w:tc>
        <w:tc>
          <w:tcPr>
            <w:tcW w:w="936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0FF"/>
          </w:tcPr>
          <w:p>
            <w:r>
              <w:rPr>
                <w:b/>
                <w:sz w:val="16"/>
              </w:rPr>
              <w:t xml:space="preserve">FAI-HD02</w:t>
            </w:r>
          </w:p>
        </w:tc>
        <w:tc>
          <w:tcPr>
            <w:tcW w:w="3311" w:type="dxa"/>
            <w:shd w:val="clear" w:color="auto" w:fill="F0F0FF"/>
          </w:tcPr>
          <w:p>
            <w:r>
              <w:rPr>
                <w:sz w:val="16"/>
              </w:rPr>
              <w:t xml:space="preserve">HD-tDCS electrode mapping: verify firmware correctly translates sLORETA MNI target coordinates to 10-20 electrode positions and generates 4×1 montage configuration. Test with 5 simulated target locations (F3/Fz/Cz/P3/Oz). Confirm current distribution computed correctly for each montage.</w:t>
            </w:r>
          </w:p>
        </w:tc>
        <w:tc>
          <w:tcPr>
            <w:tcW w:w="1728" w:type="dxa"/>
            <w:shd w:val="clear" w:color="auto" w:fill="F0F0FF"/>
          </w:tcPr>
          <w:p>
            <w:r>
              <w:rPr>
                <w:sz w:val="16"/>
              </w:rPr>
              <w:t xml:space="preserve">Firmware + computational verification</w:t>
            </w:r>
          </w:p>
        </w:tc>
        <w:tc>
          <w:tcPr>
            <w:tcW w:w="2232" w:type="dxa"/>
            <w:shd w:val="clear" w:color="auto" w:fill="F0F0FF"/>
          </w:tcPr>
          <w:p>
            <w:r>
              <w:rPr>
                <w:sz w:val="16"/>
              </w:rPr>
              <w:t xml:space="preserve">Correct 10-20 position identified for all 5 test targets. 4×1 montage configuration matches manual calculation ±5%. Current sum across all electrodes = 0 (charge-balanced) in all montages.</w:t>
            </w:r>
          </w:p>
        </w:tc>
        <w:tc>
          <w:tcPr>
            <w:tcW w:w="936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0FF"/>
          </w:tcPr>
          <w:p>
            <w:r>
              <w:rPr>
                <w:b/>
                <w:sz w:val="16"/>
              </w:rPr>
              <w:t xml:space="preserve">FAI-HD03</w:t>
            </w:r>
          </w:p>
        </w:tc>
        <w:tc>
          <w:tcPr>
            <w:tcW w:w="3311" w:type="dxa"/>
            <w:shd w:val="clear" w:color="auto" w:fill="F0F0FF"/>
          </w:tcPr>
          <w:p>
            <w:r>
              <w:rPr>
                <w:sz w:val="16"/>
              </w:rPr>
              <w:t xml:space="preserve">HD-tDCS focality vs standard tDCS: bench measurement using gel phantom. Compare electric field distribution for (a) standard 2-electrode 2mA tDCS and (b) 4×1 ring HD-tDCS 2mA at same scalp location. Measure with embedded electrode array (or finite element model validated against phantom). Confirm HD-tDCS half-maximum field width ≤ 3× narrower than standard.</w:t>
            </w:r>
          </w:p>
        </w:tc>
        <w:tc>
          <w:tcPr>
            <w:tcW w:w="1728" w:type="dxa"/>
            <w:shd w:val="clear" w:color="auto" w:fill="F0F0FF"/>
          </w:tcPr>
          <w:p>
            <w:r>
              <w:rPr>
                <w:sz w:val="16"/>
              </w:rPr>
              <w:t xml:space="preserve">Phantom / FEM bench test</w:t>
            </w:r>
          </w:p>
        </w:tc>
        <w:tc>
          <w:tcPr>
            <w:tcW w:w="2232" w:type="dxa"/>
            <w:shd w:val="clear" w:color="auto" w:fill="F0F0FF"/>
          </w:tcPr>
          <w:p>
            <w:r>
              <w:rPr>
                <w:sz w:val="16"/>
              </w:rPr>
              <w:t xml:space="preserve">HD-tDCS FWHM ≤ 3cm vs standard tDCS FWHM ≥ 8cm in gel phantom (consistent with Bikson lab published data). Peak field strength within safety envelope.</w:t>
            </w:r>
          </w:p>
        </w:tc>
        <w:tc>
          <w:tcPr>
            <w:tcW w:w="936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0F0FF"/>
          </w:tcPr>
          <w:p>
            <w:r>
              <w:rPr>
                <w:b/>
                <w:sz w:val="16"/>
              </w:rPr>
              <w:t xml:space="preserve">FAI-HD04</w:t>
            </w:r>
          </w:p>
        </w:tc>
        <w:tc>
          <w:tcPr>
            <w:tcW w:w="3311" w:type="dxa"/>
            <w:shd w:val="clear" w:color="auto" w:fill="F0F0FF"/>
          </w:tcPr>
          <w:p>
            <w:r>
              <w:rPr>
                <w:sz w:val="16"/>
              </w:rPr>
              <w:t xml:space="preserve">Simultaneous EEG + HD-tDCS signal quality: 21-ch EEG recorded during and after 1mA HD-tDCS (3 min on, 2 min post). Verify: (a) EEG artefact during stimulation is rejected correctly by artefact filter; (b) post-stimulation EEG SNR recovers to ≥95% of pre-stimulation baseline within 30s (electrode polarisation recovery); (c) no electrode damage or impedance drift &gt;5kΩ after 10 consecutive sessions. 3 bench subjects.</w:t>
            </w:r>
          </w:p>
        </w:tc>
        <w:tc>
          <w:tcPr>
            <w:tcW w:w="1728" w:type="dxa"/>
            <w:shd w:val="clear" w:color="auto" w:fill="F0F0FF"/>
          </w:tcPr>
          <w:p>
            <w:r>
              <w:rPr>
                <w:sz w:val="16"/>
              </w:rPr>
              <w:t xml:space="preserve">3 subjects, signal quality + electrode durability</w:t>
            </w:r>
          </w:p>
        </w:tc>
        <w:tc>
          <w:tcPr>
            <w:tcW w:w="2232" w:type="dxa"/>
            <w:shd w:val="clear" w:color="auto" w:fill="F0F0FF"/>
          </w:tcPr>
          <w:p>
            <w:r>
              <w:rPr>
                <w:sz w:val="16"/>
              </w:rPr>
              <w:t xml:space="preserve">EEG recovers ≥95% SNR within 30s post-stimulation. Impedance drift ≤5kΩ after 10 sessions. No visible electrode damage on inspection.</w:t>
            </w:r>
          </w:p>
        </w:tc>
        <w:tc>
          <w:tcPr>
            <w:tcW w:w="936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0F0FF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FF0F0"/>
          </w:tcPr>
          <w:p>
            <w:r>
              <w:rPr>
                <w:b/>
                <w:sz w:val="16"/>
              </w:rPr>
              <w:t xml:space="preserve">FAI-CV01</w:t>
            </w:r>
          </w:p>
        </w:tc>
        <w:tc>
          <w:tcPr>
            <w:tcW w:w="3311" w:type="dxa"/>
            <w:shd w:val="clear" w:color="auto" w:fill="FFF0F0"/>
          </w:tcPr>
          <w:p>
            <w:r>
              <w:rPr>
                <w:sz w:val="16"/>
              </w:rPr>
              <w:t xml:space="preserve">Cervical VNS electrode placement verification: confirm correct gel electrode placement on skin overlying sternocleidomastoid muscle / carotid sheath using anatomical landmarks. 5 subjects (3 male, 2 female, BMI range 20–32). Verify impedance &lt;5kΩ at placement; no stimulation over carotid artery directly (ultrasound-guided confirmation in bench study).</w:t>
            </w:r>
          </w:p>
        </w:tc>
        <w:tc>
          <w:tcPr>
            <w:tcW w:w="1728" w:type="dxa"/>
            <w:shd w:val="clear" w:color="auto" w:fill="FFF0F0"/>
          </w:tcPr>
          <w:p>
            <w:r>
              <w:rPr>
                <w:sz w:val="16"/>
              </w:rPr>
              <w:t xml:space="preserve">Anatomical bench verification, 5 subjects</w:t>
            </w:r>
          </w:p>
        </w:tc>
        <w:tc>
          <w:tcPr>
            <w:tcW w:w="2232" w:type="dxa"/>
            <w:shd w:val="clear" w:color="auto" w:fill="FFF0F0"/>
          </w:tcPr>
          <w:p>
            <w:r>
              <w:rPr>
                <w:sz w:val="16"/>
              </w:rPr>
              <w:t xml:space="preserve">Impedance &lt;5kΩ at correct placement in all 5 subjects. Ultrasound confirms electrode not directly over carotid bifurcation. Placement guide in IFU confirmed adequate by all 5 subjects.</w:t>
            </w:r>
          </w:p>
        </w:tc>
        <w:tc>
          <w:tcPr>
            <w:tcW w:w="936" w:type="dxa"/>
            <w:shd w:val="clear" w:color="auto" w:fill="FFF0F0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FF0F0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FF0F0"/>
          </w:tcPr>
          <w:p>
            <w:r>
              <w:rPr>
                <w:b/>
                <w:sz w:val="16"/>
              </w:rPr>
              <w:t xml:space="preserve">FAI-CV02</w:t>
            </w:r>
          </w:p>
        </w:tc>
        <w:tc>
          <w:tcPr>
            <w:tcW w:w="3311" w:type="dxa"/>
            <w:shd w:val="clear" w:color="auto" w:fill="FFF0F0"/>
          </w:tcPr>
          <w:p>
            <w:r>
              <w:rPr>
                <w:sz w:val="16"/>
              </w:rPr>
              <w:t xml:space="preserve">Cardiac safety interlock: connect cervical VNS to simulated artefact ECG waveform generator. Deliver 1mA cervical stimulation. Inject simulated HR change of +16 BPM at t=3s. Verify: safety MCU detects HR change &gt;15 BPM within ≤500ms and cuts stimulation enable line. No stimulation resumes without user confirmation.</w:t>
            </w:r>
          </w:p>
        </w:tc>
        <w:tc>
          <w:tcPr>
            <w:tcW w:w="1728" w:type="dxa"/>
            <w:shd w:val="clear" w:color="auto" w:fill="FFF0F0"/>
          </w:tcPr>
          <w:p>
            <w:r>
              <w:rPr>
                <w:sz w:val="16"/>
              </w:rPr>
              <w:t xml:space="preserve">Bench safety interlock test (simulated ECG generator)</w:t>
            </w:r>
          </w:p>
        </w:tc>
        <w:tc>
          <w:tcPr>
            <w:tcW w:w="2232" w:type="dxa"/>
            <w:shd w:val="clear" w:color="auto" w:fill="FFF0F0"/>
          </w:tcPr>
          <w:p>
            <w:r>
              <w:rPr>
                <w:sz w:val="16"/>
              </w:rPr>
              <w:t xml:space="preserve">Stimulation cutoff within ≤500ms of HR change &gt;15 BPM threshold. Stimulation does not resume automatically. Log entry created in SHDR with timestamp and HR value at cutoff.</w:t>
            </w:r>
          </w:p>
        </w:tc>
        <w:tc>
          <w:tcPr>
            <w:tcW w:w="936" w:type="dxa"/>
            <w:shd w:val="clear" w:color="auto" w:fill="FFF0F0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FF0F0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FF0F0"/>
          </w:tcPr>
          <w:p>
            <w:r>
              <w:rPr>
                <w:b/>
                <w:sz w:val="16"/>
              </w:rPr>
              <w:t xml:space="preserve">FAI-CV03</w:t>
            </w:r>
          </w:p>
        </w:tc>
        <w:tc>
          <w:tcPr>
            <w:tcW w:w="3311" w:type="dxa"/>
            <w:shd w:val="clear" w:color="auto" w:fill="FFF0F0"/>
          </w:tcPr>
          <w:p>
            <w:r>
              <w:rPr>
                <w:sz w:val="16"/>
              </w:rPr>
              <w:t xml:space="preserve">Cervical VNS tolerability: 10-minute session at 0.5mA (low) and 1.0mA (standard), bilateral cervical placement. 5 healthy adult subjects. Collect: subject comfort rating (NRS 0–10), carotid palpation result before/after, ECG rhythm pre/during/post. No vasovagal response, no carotid bruit change, no arrhythmia.</w:t>
            </w:r>
          </w:p>
        </w:tc>
        <w:tc>
          <w:tcPr>
            <w:tcW w:w="1728" w:type="dxa"/>
            <w:shd w:val="clear" w:color="auto" w:fill="FFF0F0"/>
          </w:tcPr>
          <w:p>
            <w:r>
              <w:rPr>
                <w:sz w:val="16"/>
              </w:rPr>
              <w:t xml:space="preserve">5 subjects, tolerability + cardiac monitoring</w:t>
            </w:r>
          </w:p>
        </w:tc>
        <w:tc>
          <w:tcPr>
            <w:tcW w:w="2232" w:type="dxa"/>
            <w:shd w:val="clear" w:color="auto" w:fill="FFF0F0"/>
          </w:tcPr>
          <w:p>
            <w:r>
              <w:rPr>
                <w:sz w:val="16"/>
              </w:rPr>
              <w:t xml:space="preserve">NRS comfort ≤4/10 at 1.0mA in all subjects. No vasovagal episode. No cardiac arrhythmia on ECG during or post-stimulation. No carotid bruit change on auscultation.</w:t>
            </w:r>
          </w:p>
        </w:tc>
        <w:tc>
          <w:tcPr>
            <w:tcW w:w="936" w:type="dxa"/>
            <w:shd w:val="clear" w:color="auto" w:fill="FFF0F0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FF0F0"/>
          </w:tcPr>
          <w:p>
            <w:r>
              <w:rPr>
                <w:sz w:val="16"/>
              </w:rPr>
              <w:t xml:space="preserve"/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4b. FPC Routing Path Verification (in-shell)</w:t>
      </w:r>
      <w:r>
        <w:rPr>
          <w:color w:val="808080"/>
          <w:sz w:val="18"/>
        </w:rPr>
        <w:t xml:space="preserve">  [RISK-11 bend radius]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FAI-R01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Zone 1 FPC: visual inspection of routing path in assembled headset — no visible kink, tight bend, or pinch point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 + endoscope (if needed)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kink visible; FPC follows channel smoothly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FAI-R02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Zone 2 FPC: same as FAI-R01 (highest risk — compound frontal curvature)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 + endoscope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No kink; smooth channel follow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FAI-R03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Zones 3–5 FPC: visual inspection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kink on any zone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FAI-R04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NEEDS REVIEW — was scoped to the retired 5-zone-slot FPC routing architecture (RISK-11/RISK-17). The hex-tile/socket architecture (NP-HEX-ZM-001) per-socket interconnect this test would run against is not yet designed (see MECH-1/MECH-2/SMART-1 in docs/np_hex_zm_001.md §7). Cannot be executed as written.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Radius gauge, bend check tool</w:t>
            </w:r>
          </w:p>
        </w:tc>
        <w:tc>
          <w:tcPr>
            <w:tcW w:type="dxa" w:w="2232"/>
            <w:shd w:val="clear" w:color="auto" w:fill="F5F5F5"/>
            <w:shd w:val="clear" w:color="auto" w:fill="FFE699"/>
          </w:tcPr>
          <w:p>
            <w:r>
              <w:rPr>
                <w:sz w:val="16"/>
              </w:rPr>
            </w:r>
            <w:r>
              <w:rPr>
                <w:b/>
                <w:color w:val="BF6000"/>
                <w:sz w:val="16"/>
              </w:rPr>
              <w:t>NEEDS RE-SCOPE once hex-tile interconnect design exists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FAI-R05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Zone 1 insertion/removal cycle test: insert/remove 10×; inspect FPC for crease, whitening, or deformation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Manual test + visual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crease, whitening, or deformation after 10 cycles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FAI-R06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Cross-zone interference: remove Zone 1 module; confirm Zone 2 FPC is not disturbed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Zone 2 FPC remains in channel during Zone 1 removal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FAI-R07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ZIF lever access: confirm user can actuate ZIF lever (full 180° flip) without contacting FPC with fingertip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Manual test, 3 operators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3 operators actuate lever without FPC contact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r>
        <w:rPr>
          <w:sz w:val="20"/>
        </w:rPr>
        <w:t>Self-sealing co-molded silicone gasket — no user action, no RTV, no re-sealing procedure. FAI-IPX-02 is BLOCKING.</w:t>
      </w:r>
    </w:p>
    <w:p>
      <w:r>
        <w:rPr>
          <w:b/>
          <w:color w:val="1F497D"/>
          <w:sz w:val="20"/>
        </w:rPr>
        <w:t>4c.  Sealing and IPX4 Verification  [RISK-16 — Option A gasket]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FAI-IPX-01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Initial IPX4 baseline: assembled headset, all 5 zone modules factory-installed. IEC 60529 IPX4 water spray from all directions, 10 minutes.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IEC 60529 IPX4 nozzle, 10 min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water ingress to Hub PCB, any connector, or zone module PCB. EEG impedance all channels &lt; 10 kΩ after test (functional check).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FAI-IPX-02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[BLOCKING] Field-replacement IPX4 re-test: remove and re-insert all 5 zone modules 10 times each (50 total swaps, no tools, no RTV, user-pace); then repeat full IEC 60529 IPX4 spray test without any re-sealing.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10 swap cycles per zone then IEC 60529 IPX4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Same pass criterion as FAI-IPX-01. Zero water ingress after 10 field swaps. Any ingress → HALT production; gasket geometry or shell rim tolerance non-conformant. Escalate to Mechanical Engineering immediately.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FAI-IPX-03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Gasket visual and dimensional check after 10 swap cycles: inspect all 5 zone module gaskets under 10× magnification; measure gasket cross-section height on 2 modules with calibrated comparator.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10× magnifier; calibrated comparator (2 modules)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tears, cuts, or embedded debris. Compression set &lt; 10%: gasket height ≥ 1.80 mm (vs. 2.00 mm nominal) after cycle release.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FAI-IPX-04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Gasket shelf-life / ageing qualification (first-article qualification, not every lot): store 5 sealed zone modules at 40°C / 75% RH for 90 days (equivalent to ~2 years at ambient per Arrhenius). Perform IPX4 test and gasket dimension check at end of storage.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IEC 60068-2-66 damp heat storage; then IPX4 + dimensional check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IPX4 pass. Gasket dimensions within 5% of nominal. Compression set &lt; 15% after ageing. Qualification pass required before first production run.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5 — CONNECTOR LIFECYCLE VALIDATION</w:t>
      </w:r>
    </w:p>
    <w:p>
      <w:pPr>
        <w:spacing w:after="80"/>
      </w:pPr>
      <w:r>
        <w:rPr>
          <w:sz w:val="20"/>
        </w:rPr>
        <w:t>Zone modules are user field-replaceable. The Hirose FH34S connector is rated ≥1,000 cycles. FAI validates first-article connector performance at incoming (10-cycle) and production-release (50-cycle) levels.</w:t>
      </w:r>
    </w:p>
    <w:p>
      <w:pPr>
        <w:spacing w:before="160" w:after="40"/>
      </w:pPr>
      <w:r>
        <w:rPr>
          <w:b/>
          <w:color w:val="1F497D"/>
          <w:sz w:val="20"/>
        </w:rPr>
        <w:t>5a. Connector Insertion Cycle Test</w:t>
      </w:r>
      <w:r>
        <w:rPr>
          <w:color w:val="808080"/>
          <w:sz w:val="18"/>
        </w:rPr>
        <w:t xml:space="preserve">  [RISK-01 connector family · RISK-11 routing path]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FAI-K10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Baseline contact resistance (before cycling): measure all 20 contacts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4-wire, all 20 pins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pins &lt; 50 mΩ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FAI-K11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Insert/remove zone module 50× (simulated field replacement pace — one cycle per 15 s)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Manual cycling, count logged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50 cycles completed without mechanical failure of lever, body, or contacts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FAI-K12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Post-cycle contact resistance: measure all 20 contacts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4-wire, all 20 pins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pins &lt; 50 mΩ. Increase &gt; 20 mΩ from baseline → flag for investigation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FAI-K13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Post-cycle visual: inspect connector body and FPC tail for wear marks, gold wear-through, or fretting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Visual, 10× magnifier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No exposed base metal on contact pads; no cracking of FPC coverlay at tail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FAI-K14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Post-cycle FPC position accuracy (re-run FAI-A01 to FAI-A05 on Zone 1 after 50 cycles)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CMM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Zone 1 position still within ±0.3 mm after 50 insertion cycles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6 — FUNCTIONAL SYSTEM TEST (ASSEMBLED HEADSET)</w:t>
      </w:r>
    </w:p>
    <w:p>
      <w:pPr>
        <w:spacing w:after="80"/>
      </w:pPr>
      <w:r>
        <w:rPr>
          <w:sz w:val="20"/>
        </w:rPr>
        <w:t>Run after all physical inspection items pass. Requires firmware-loaded headset connected to app.</w:t>
      </w:r>
    </w:p>
    <w:p>
      <w:pPr>
        <w:spacing w:before="160" w:after="40"/>
      </w:pPr>
      <w:r>
        <w:rPr>
          <w:b/>
          <w:color w:val="1F497D"/>
          <w:sz w:val="20"/>
        </w:rPr>
        <w:t>6a. End-to-End Zone Function</w:t>
      </w:r>
      <w:r>
        <w:rPr>
          <w:color w:val="808080"/>
          <w:sz w:val="18"/>
        </w:rPr>
        <w:t xml:space="preserve">  [RISK-05 · RISK-06 · RISK-12]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FAI-SY01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 populated sockets illuminate at 25% duty cycle when the "All" zone (protocols/predefined/00-zones.npps) is activated — app confirms socket-level active status, photodiode returns nonzero dose reading per populated socket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 UI, firmware telemetry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Every populated socket reports active; J/cm² &gt; 0 for each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FAI-SY02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Zone-selective deactivation: activate the "Frontal Left" zone only (protocols/predefined/00-zones.npps); confirm its member sockets are active and all sockets outside it remain inactive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 UI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Correct zone-membership isolation confirmed against the 00-zones.npps socket list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FAI-SY03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PDMS fouling simulation: apply light smear of petroleum jelly to Zone 1 PDMS window; confirm photodiode detects reduced output and app flags maintenance reminder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App UI + petroleum jelly test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App shows reduced dose for Zone 1; maintenance reminder displayed within 2 sessions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FAI-SY04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EEG signal quality on all 8 electrodes: confirm impedance &lt; 10 kΩ with hydrogel tips installed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App impedance display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All 8 electrodes &lt; 10 kΩ (green)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FAI-SY05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Closed-loop session: run 5-minute EEG-adaptive PBM session; confirm adaptation events logged in UHDR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App session log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At least 1 adaptation event logged; UHDR session record created and encrypted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7 — NON-CONFORMANCE SUMMARY</w:t>
      </w:r>
    </w:p>
    <w:p>
      <w:pPr>
        <w:spacing w:after="80"/>
      </w:pPr>
      <w:r>
        <w:rPr>
          <w:sz w:val="20"/>
        </w:rPr>
        <w:t>List all items that did not pass during this FAI. All non-conformances must be dispositioned before production release — either by corrective action (re-inspect after fix) or by formal Engineering deviation approval. No BLOCKING item may be waived.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FAI Item</w:t>
            </w:r>
          </w:p>
        </w:tc>
        <w:tc>
          <w:tcPr>
            <w:tcW w:type="dxa" w:w="3168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Non-Conformance Description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  <w:tc>
          <w:tcPr>
            <w:tcW w:type="dxa" w:w="2160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Corrective Action Ref</w:t>
            </w:r>
          </w:p>
        </w:tc>
        <w:tc>
          <w:tcPr>
            <w:tcW w:type="dxa" w:w="2016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Closed by /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8 — FAI RESULT AND SIGN-OFF</w:t>
      </w:r>
    </w:p>
    <w:p>
      <w:pPr>
        <w:spacing w:after="80"/>
      </w:pPr>
      <w:r>
        <w:rPr>
          <w:sz w:val="20"/>
        </w:rPr>
        <w:t>All checklist items in Sections 1–6 must show PASS, or non-conformances in Section 7 must be fully closed, before production release is authorised.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Overall FAI result: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 xml:space="preserve">  PASS  /  FAIL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Build lot approved for production: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 xml:space="preserve">  YES  /  NO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Manufacturing Engineer: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Hardware EE Lead: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Quality / Reliability: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Program Manager: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Notes: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9 — RISK MITIGATION CROSS-REFERENCE</w:t>
      </w:r>
    </w:p>
    <w:p>
      <w:pPr>
        <w:spacing w:after="80"/>
      </w:pPr>
      <w:r>
        <w:rPr>
          <w:sz w:val="20"/>
        </w:rPr>
        <w:t>All FAI items trace back to at least one risk register entry or specification requirement.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Risk ID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Risk Title (abbreviated)</w:t>
            </w:r>
          </w:p>
        </w:tc>
        <w:tc>
          <w:tcPr>
            <w:tcW w:type="dxa" w:w="3384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FAI Items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RISK-01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Connector family — Hirose FH34S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FAI-D05, FAI-K01–FAI-K04, FAI-K10–FAI-K14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RISK-02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FPC power trace current capacity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FAI-T01, FAI-T02, FAI-T03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PDMS–PI CTE mismatch delamination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FAI-M01, FAI-M02, FAI-M03, FAI-P04</w:t>
            </w:r>
          </w:p>
        </w:tc>
        <w:tc>
          <w:tcPr>
            <w:tcW w:type="dxa" w:w="2592"/>
            <w:shd w:val="clear" w:color="auto" w:fill="FFF2CC"/>
          </w:tcPr>
          <w:p>
            <w:r>
              <w:rPr>
                <w:sz w:val="16"/>
              </w:rPr>
              <w:t>OPEN (process qualification pending)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RISK-05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LED current hogging (per-string CCC)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FAI-E01, FAI-E02, FAI-E03, FAI-SY01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Reference photodiode optical isolation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FAI-P01, FAI-P02, FAI-P03, FAI-SY03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RISK-07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BCR421U vs BCR421W variant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FAI-C01, FAI-C02, FAI-D04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LED Vf binning not on PO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FAI-L01–FAI-L05, FAI-D08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RISK-10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ED copper default on FPC fab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FAI-D06, FAI-D07, FAI-F01, FAI-F02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RISK-11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Shell bend radius not specified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FAI-R01–FAI-R07, FAI-K14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RISK-12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Zone alignment tolerance not validated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FAI-A01–FAI-A08, FAI-SY04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 (this FAI)</w:t>
            </w:r>
          </w:p>
        </w:tc>
      </w:tr>
      <w:tr>
        <w:tc>
          <w:tcPr>
            <w:tcW w:w="936" w:type="dxa"/>
          </w:tcPr>
          <w:p>
            <w:r>
              <w:rPr>
                <w:b/>
                <w:sz w:val="16"/>
              </w:rPr>
              <w:t xml:space="preserve">RISK-15</w:t>
            </w:r>
          </w:p>
        </w:tc>
        <w:tc>
          <w:tcPr>
            <w:tcW w:w="2880" w:type="dxa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Zone keying — eliminated by hex-tile/socket architecture (NP-HEX-ZM-001); universal orientation key + software placement-check</w:t>
            </w:r>
          </w:p>
        </w:tc>
        <w:tc>
          <w:tcPr>
            <w:tcW w:w="3384" w:type="dxa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FAI-A09, FAI-A10, FAI-A11, FAI-A12, FAI-A13, FAI-A14 (all corrected)</w:t>
            </w:r>
          </w:p>
        </w:tc>
        <w:tc>
          <w:tcPr>
            <w:tcW w:w="2592" w:type="dxa"/>
            <w:shd w:val="clear" w:color="auto" w:fill="E2EFDA"/>
            <w:shd w:val="clear" w:color="auto" w:fill="E2EFDA"/>
          </w:tcPr>
          <w:p>
            <w:r>
              <w:rPr>
                <w:sz w:val="16"/>
              </w:rPr>
            </w:r>
            <w:r>
              <w:rPr>
                <w:b/>
                <w:color w:val="007000"/>
                <w:sz w:val="16"/>
              </w:rPr>
              <w:t>MITIGATED (this FAI, corrected)</w:t>
            </w:r>
          </w:p>
        </w:tc>
      </w:tr>
      <w:tr>
        <w:tc>
          <w:tcPr>
            <w:tcW w:w="936" w:type="dxa"/>
          </w:tcPr>
          <w:p>
            <w:r>
              <w:rPr>
                <w:b/>
                <w:sz w:val="16"/>
              </w:rPr>
              <w:t xml:space="preserve">RISK-16</w:t>
            </w:r>
          </w:p>
        </w:tc>
        <w:tc>
          <w:tcPr>
            <w:tcW w:w="2880" w:type="dxa"/>
          </w:tcPr>
          <w:p>
            <w:r>
              <w:rPr>
                <w:sz w:val="16"/>
              </w:rPr>
              <w:t xml:space="preserve">IPX4 field-replacement — Option A gasket</w:t>
            </w:r>
          </w:p>
        </w:tc>
        <w:tc>
          <w:tcPr>
            <w:tcW w:w="3384" w:type="dxa"/>
          </w:tcPr>
          <w:p>
            <w:r>
              <w:rPr>
                <w:sz w:val="16"/>
              </w:rPr>
              <w:t xml:space="preserve">FAI-IPX-01, FAI-IPX-02, FAI-IPX-03, FAI-IPX-04</w:t>
            </w:r>
          </w:p>
        </w:tc>
        <w:tc>
          <w:tcPr>
            <w:tcW w:w="2592" w:type="dxa"/>
            <w:shd w:val="clear" w:color="auto" w:fill="E2EFDA"/>
          </w:tcPr>
          <w:p>
            <w:r>
              <w:rPr>
                <w:sz w:val="16"/>
              </w:rPr>
              <w:t xml:space="preserve">MITIGATED (this FAI)</w:t>
            </w:r>
          </w:p>
        </w:tc>
      </w:tr>
      <w:tr>
        <w:tc>
          <w:tcPr>
            <w:tcW w:w="936" w:type="dxa"/>
          </w:tcPr>
          <w:p>
            <w:r>
              <w:rPr>
                <w:b/>
                <w:sz w:val="16"/>
              </w:rPr>
              <w:t xml:space="preserve">RISK-22</w:t>
            </w:r>
          </w:p>
        </w:tc>
        <w:tc>
          <w:tcPr>
            <w:tcW w:w="2880" w:type="dxa"/>
          </w:tcPr>
          <w:p>
            <w:r>
              <w:rPr>
                <w:sz w:val="16"/>
              </w:rPr>
              <w:t xml:space="preserve">Zone module extraction — reduced grip / tremor (sliding eject lever)</w:t>
            </w:r>
          </w:p>
        </w:tc>
        <w:tc>
          <w:tcPr>
            <w:tcW w:w="3384" w:type="dxa"/>
          </w:tcPr>
          <w:p>
            <w:r>
              <w:rPr>
                <w:sz w:val="16"/>
              </w:rPr>
              <w:t xml:space="preserve">FAI-A15</w:t>
            </w:r>
          </w:p>
        </w:tc>
        <w:tc>
          <w:tcPr>
            <w:tcW w:w="2592" w:type="dxa"/>
            <w:shd w:val="clear" w:color="auto" w:fill="E2EFDA"/>
          </w:tcPr>
          <w:p>
            <w:r>
              <w:rPr>
                <w:sz w:val="16"/>
              </w:rPr>
              <w:t xml:space="preserve">MITIGATED (this FAI)</w:t>
            </w:r>
          </w:p>
        </w:tc>
      </w:tr>
      <w:tr>
        <w:tc>
          <w:tcPr>
            <w:tcW w:w="936" w:type="dxa"/>
          </w:tcPr>
          <w:p>
            <w:r>
              <w:rPr>
                <w:b/>
                <w:sz w:val="16"/>
              </w:rPr>
              <w:t xml:space="preserve">RISK-04</w:t>
            </w:r>
          </w:p>
        </w:tc>
        <w:tc>
          <w:tcPr>
            <w:tcW w:w="2880" w:type="dxa"/>
          </w:tcPr>
          <w:p>
            <w:r>
              <w:rPr>
                <w:sz w:val="16"/>
              </w:rPr>
              <w:t xml:space="preserve">PDMS–PI CTE mismatch thermal cycling delamination</w:t>
            </w:r>
          </w:p>
        </w:tc>
        <w:tc>
          <w:tcPr>
            <w:tcW w:w="3384" w:type="dxa"/>
          </w:tcPr>
          <w:p>
            <w:r>
              <w:rPr>
                <w:sz w:val="16"/>
              </w:rPr>
              <w:t xml:space="preserve">FAI-M01, FAI-M02, FAI-M03, FAI-TC01–FAI-TC06</w:t>
            </w:r>
          </w:p>
        </w:tc>
        <w:tc>
          <w:tcPr>
            <w:tcW w:w="2592" w:type="dxa"/>
            <w:shd w:val="clear" w:color="auto" w:fill="E2EFDA"/>
          </w:tcPr>
          <w:p>
            <w:r>
              <w:rPr>
                <w:sz w:val="16"/>
              </w:rPr>
              <w:t xml:space="preserve">MITIGATED (this FAI)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10 —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Rev</w:t>
            </w:r>
          </w:p>
        </w:tc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57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sz w:val="16"/>
              </w:rPr>
              <w:t>2026-05-06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NeurOne Engineering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6"/>
              </w:rPr>
              <w:t>Initial release. RISK-12 primary mitigation (alignment FAI). Consolidates FAI items from RISK-01, 02, 04, 05, 06, 07, 08, 10, 11, 12. 6 sections, 50+ inspection items.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224" w:right="1080" w:bottom="122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