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03366"/>
          <w:sz w:val="22"/>
        </w:rPr>
        <w:t>NeuroPulse</w:t>
      </w:r>
    </w:p>
    <w:p>
      <w:pPr>
        <w:jc w:val="center"/>
      </w:pPr>
      <w:r>
        <w:rPr>
          <w:b/>
          <w:color w:val="003366"/>
          <w:sz w:val="34"/>
        </w:rPr>
        <w:t>Zone Module FPC Layout Specification</w:t>
      </w:r>
    </w:p>
    <w:p/>
    <w:p>
      <w:pPr>
        <w:spacing w:after="40"/>
        <w:jc w:val="center"/>
      </w:pPr>
      <w:r>
        <w:rPr>
          <w:b/>
          <w:sz w:val="20"/>
        </w:rPr>
        <w:t xml:space="preserve">Document ID:  </w:t>
      </w:r>
      <w:r>
        <w:rPr>
          <w:sz w:val="20"/>
        </w:rPr>
        <w:t>NP-HW-FPC-001</w:t>
      </w:r>
    </w:p>
    <w:p>
      <w:pPr>
        <w:spacing w:after="40"/>
        <w:jc w:val="center"/>
      </w:pPr>
      <w:r>
        <w:rPr>
          <w:b/>
          <w:sz w:val="20"/>
        </w:rPr>
        <w:t xml:space="preserve">Revision:  </w:t>
      </w:r>
      <w:r>
        <w:rPr>
          <w:sz w:val="20"/>
        </w:rPr>
        <w:t>A (Prospective — Pre-Tooling Draft)</w:t>
      </w:r>
    </w:p>
    <w:p>
      <w:pPr>
        <w:spacing w:after="40"/>
        <w:jc w:val="center"/>
      </w:pPr>
      <w:r>
        <w:rPr>
          <w:b/>
          <w:sz w:val="20"/>
        </w:rPr>
        <w:t xml:space="preserve">Status:  </w:t>
      </w:r>
      <w:r>
        <w:rPr>
          <w:sz w:val="20"/>
        </w:rPr>
        <w:t>FOR INTERNAL REVIEW — Not released for fabrication</w:t>
      </w:r>
    </w:p>
    <w:p>
      <w:pPr>
        <w:spacing w:after="40"/>
        <w:jc w:val="center"/>
      </w:pPr>
      <w:r>
        <w:rPr>
          <w:b/>
          <w:sz w:val="20"/>
        </w:rPr>
        <w:t xml:space="preserve">Date:  </w:t>
      </w:r>
      <w:r>
        <w:rPr>
          <w:sz w:val="20"/>
        </w:rPr>
        <w:t>2026-05-06</w:t>
      </w:r>
    </w:p>
    <w:p>
      <w:pPr>
        <w:spacing w:after="40"/>
        <w:jc w:val="center"/>
      </w:pPr>
      <w:r>
        <w:rPr>
          <w:b/>
          <w:sz w:val="20"/>
        </w:rPr>
        <w:t xml:space="preserve">Applies to:  </w:t>
      </w:r>
      <w:r>
        <w:rPr>
          <w:sz w:val="20"/>
        </w:rPr>
        <w:t>NeuroPulse T1 Zone Modules ZM-01 through ZM-05</w:t>
      </w:r>
    </w:p>
    <w:p>
      <w:pPr>
        <w:spacing w:after="40"/>
        <w:jc w:val="center"/>
      </w:pPr>
      <w:r>
        <w:rPr>
          <w:b/>
          <w:sz w:val="20"/>
        </w:rPr>
        <w:t xml:space="preserve">Author:  </w:t>
      </w:r>
      <w:r>
        <w:rPr>
          <w:sz w:val="20"/>
        </w:rPr>
        <w:t>[Hardware Engineering]</w:t>
      </w:r>
    </w:p>
    <w:p>
      <w:pPr>
        <w:spacing w:after="40"/>
        <w:jc w:val="center"/>
      </w:pPr>
      <w:r>
        <w:rPr>
          <w:b/>
          <w:sz w:val="20"/>
        </w:rPr>
        <w:t xml:space="preserve">Reviewers required:  </w:t>
      </w:r>
      <w:r>
        <w:rPr>
          <w:sz w:val="20"/>
        </w:rPr>
        <w:t>Hardware EE Lead · Firmware Lead · Regulatory · Manufacturing</w:t>
      </w:r>
    </w:p>
    <w:p>
      <w:pPr>
        <w:spacing w:before="240"/>
        <w:jc w:val="center"/>
      </w:pPr>
      <w:r>
        <w:rPr>
          <w:b/>
          <w:color w:val="CC0000"/>
          <w:sz w:val="20"/>
        </w:rPr>
        <w:t>This document contains 17 identified risks including 3 CRITICAL items that must be resolved before PCB layout is released to fabrication.</w:t>
        <w:br/>
        <w:t>See Section 10 — Risk Register.</w:t>
      </w:r>
    </w:p>
    <w:p>
      <w:r>
        <w:br w:type="page"/>
      </w:r>
    </w:p>
    <w:p>
      <w:pPr>
        <w:spacing w:before="280" w:after="80"/>
      </w:pPr>
      <w:r>
        <w:rPr>
          <w:b/>
          <w:color w:val="003366"/>
          <w:sz w:val="26"/>
        </w:rPr>
        <w:t>1.  PURPOSE AND SCOPE</w:t>
      </w:r>
    </w:p>
    <w:p>
      <w:pPr>
        <w:ind w:firstLine="288"/>
      </w:pPr>
      <w:r>
        <w:t>This specification defines the layout, electrical, mechanical, optical, and thermal requirements for the NeuroPulse Zone Module Flexible Printed Circuit (FPC). Zone modules are the five independently-addressable photobiomodulation (PBM) zones of the NeuroPulse T1 headset (ZM-01 through ZM-05). Each module carries a dual-wavelength LED array (660 nm + 808–830 nm), a reference photodiode dose-metering assembly, an NTC thermistor, LED driver circuitry, and a plasma-activated PDMS optical window.</w:t>
      </w:r>
    </w:p>
    <w:p>
      <w:pPr>
        <w:ind w:firstLine="288"/>
      </w:pPr>
      <w:r>
        <w:t>This specification must be reviewed and approved before PCB layout is released to the FPC fabricator. All decisions marked LOCKED are binding. Decisions marked OPEN ISSUE must be resolved and this document updated before layout release. All dimensions are in millimetres unless otherwise stated.</w:t>
      </w:r>
    </w:p>
    <w:p>
      <w:pPr>
        <w:spacing w:before="280" w:after="80"/>
      </w:pPr>
      <w:r>
        <w:rPr>
          <w:b/>
          <w:color w:val="003366"/>
          <w:sz w:val="26"/>
        </w:rPr>
        <w:t>2.  SYSTEM CONTEXT</w:t>
      </w:r>
    </w:p>
    <w:p>
      <w:pPr>
        <w:ind w:firstLine="288"/>
      </w:pPr>
      <w:r>
        <w:t>The NeuroPulse headset contains five zone modules mounted on the inner surface of the CFRP shell. Each zone module interfaces with the main Hub PCB via a dedicated zone connector, and with the STM32G071 Safety MCU via independent enable and fault lines. Zone modules are designed for user self-service field replacement using a lever-actuated ZIF connector requiring no tools.</w:t>
      </w:r>
    </w:p>
    <w:p>
      <w:pPr>
        <w:spacing w:before="140"/>
      </w:pPr>
      <w:r>
        <w:rPr>
          <w:b/>
          <w:sz w:val="21"/>
        </w:rPr>
        <w:t>2.1  Zone Layout on Headset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80"/>
          </w:tcPr>
          <w:p>
            <w:pPr>
              <w:spacing w:after="0"/>
            </w:pPr>
            <w:r>
              <w:rPr>
                <w:b/>
                <w:sz w:val="19"/>
              </w:rPr>
              <w:t>Zone ID</w:t>
            </w:r>
          </w:p>
        </w:tc>
        <w:tc>
          <w:tcPr>
            <w:tcW w:type="dxa" w:w="1584"/>
          </w:tcPr>
          <w:p>
            <w:pPr>
              <w:spacing w:after="0"/>
            </w:pPr>
            <w:r>
              <w:rPr>
                <w:b/>
                <w:sz w:val="19"/>
              </w:rPr>
              <w:t>Position</w:t>
            </w:r>
          </w:p>
        </w:tc>
        <w:tc>
          <w:tcPr>
            <w:tcW w:type="dxa" w:w="1440"/>
          </w:tcPr>
          <w:p>
            <w:pPr>
              <w:spacing w:after="0"/>
            </w:pPr>
            <w:r>
              <w:rPr>
                <w:b/>
                <w:sz w:val="19"/>
              </w:rPr>
              <w:t>Scalp target</w:t>
            </w:r>
          </w:p>
        </w:tc>
        <w:tc>
          <w:tcPr>
            <w:tcW w:type="dxa" w:w="2592"/>
          </w:tcPr>
          <w:p>
            <w:pPr>
              <w:spacing w:after="0"/>
            </w:pPr>
            <w:r>
              <w:rPr>
                <w:b/>
                <w:sz w:val="19"/>
              </w:rPr>
              <w:t>Colour code (position-keyed)</w:t>
            </w:r>
          </w:p>
        </w:tc>
        <w:tc>
          <w:tcPr>
            <w:tcW w:type="dxa" w:w="2232"/>
          </w:tcPr>
          <w:p>
            <w:pPr>
              <w:spacing w:after="0"/>
            </w:pPr>
            <w:r>
              <w:rPr>
                <w:b/>
                <w:sz w:val="19"/>
              </w:rPr>
              <w:t>EEG channels overlaid</w:t>
            </w:r>
          </w:p>
        </w:tc>
      </w:tr>
      <w:tr>
        <w:tc>
          <w:tcPr>
            <w:tcW w:type="dxa" w:w="1080"/>
          </w:tcPr>
          <w:p>
            <w:pPr>
              <w:spacing w:after="0"/>
            </w:pPr>
            <w:r>
              <w:rPr>
                <w:sz w:val="19"/>
              </w:rPr>
              <w:t>ZM-01</w:t>
            </w:r>
          </w:p>
        </w:tc>
        <w:tc>
          <w:tcPr>
            <w:tcW w:type="dxa" w:w="1584"/>
          </w:tcPr>
          <w:p>
            <w:pPr>
              <w:spacing w:after="0"/>
            </w:pPr>
            <w:r>
              <w:rPr>
                <w:sz w:val="19"/>
              </w:rPr>
              <w:t>Frontal Centre</w:t>
            </w:r>
          </w:p>
        </w:tc>
        <w:tc>
          <w:tcPr>
            <w:tcW w:type="dxa" w:w="1440"/>
          </w:tcPr>
          <w:p>
            <w:pPr>
              <w:spacing w:after="0"/>
            </w:pPr>
            <w:r>
              <w:rPr>
                <w:sz w:val="19"/>
              </w:rPr>
              <w:t>Fpz / AFz</w:t>
            </w:r>
          </w:p>
        </w:tc>
        <w:tc>
          <w:tcPr>
            <w:tcW w:type="dxa" w:w="2592"/>
          </w:tcPr>
          <w:p>
            <w:pPr>
              <w:spacing w:after="0"/>
            </w:pPr>
            <w:r>
              <w:rPr>
                <w:sz w:val="19"/>
              </w:rPr>
              <w:t>White</w:t>
            </w:r>
          </w:p>
        </w:tc>
        <w:tc>
          <w:tcPr>
            <w:tcW w:type="dxa" w:w="2232"/>
          </w:tcPr>
          <w:p>
            <w:pPr>
              <w:spacing w:after="0"/>
            </w:pPr>
            <w:r>
              <w:rPr>
                <w:sz w:val="19"/>
              </w:rPr>
              <w:t>Fp1, Fp2</w:t>
            </w:r>
          </w:p>
        </w:tc>
      </w:tr>
      <w:tr>
        <w:tc>
          <w:tcPr>
            <w:tcW w:type="dxa" w:w="1080"/>
          </w:tcPr>
          <w:p>
            <w:pPr>
              <w:spacing w:after="0"/>
            </w:pPr>
            <w:r>
              <w:rPr>
                <w:sz w:val="19"/>
              </w:rPr>
              <w:t>ZM-02</w:t>
            </w:r>
          </w:p>
        </w:tc>
        <w:tc>
          <w:tcPr>
            <w:tcW w:type="dxa" w:w="1584"/>
          </w:tcPr>
          <w:p>
            <w:pPr>
              <w:spacing w:after="0"/>
            </w:pPr>
            <w:r>
              <w:rPr>
                <w:sz w:val="19"/>
              </w:rPr>
              <w:t>Frontal Left</w:t>
            </w:r>
          </w:p>
        </w:tc>
        <w:tc>
          <w:tcPr>
            <w:tcW w:type="dxa" w:w="1440"/>
          </w:tcPr>
          <w:p>
            <w:pPr>
              <w:spacing w:after="0"/>
            </w:pPr>
            <w:r>
              <w:rPr>
                <w:sz w:val="19"/>
              </w:rPr>
              <w:t>F3 / Fp1</w:t>
            </w:r>
          </w:p>
        </w:tc>
        <w:tc>
          <w:tcPr>
            <w:tcW w:type="dxa" w:w="2592"/>
          </w:tcPr>
          <w:p>
            <w:pPr>
              <w:spacing w:after="0"/>
            </w:pPr>
            <w:r>
              <w:rPr>
                <w:sz w:val="19"/>
              </w:rPr>
              <w:t>Green</w:t>
            </w:r>
          </w:p>
        </w:tc>
        <w:tc>
          <w:tcPr>
            <w:tcW w:type="dxa" w:w="2232"/>
          </w:tcPr>
          <w:p>
            <w:pPr>
              <w:spacing w:after="0"/>
            </w:pPr>
            <w:r>
              <w:rPr>
                <w:sz w:val="19"/>
              </w:rPr>
              <w:t>F3, Fp1</w:t>
            </w:r>
          </w:p>
        </w:tc>
      </w:tr>
      <w:tr>
        <w:tc>
          <w:tcPr>
            <w:tcW w:type="dxa" w:w="1080"/>
          </w:tcPr>
          <w:p>
            <w:pPr>
              <w:spacing w:after="0"/>
            </w:pPr>
            <w:r>
              <w:rPr>
                <w:sz w:val="19"/>
              </w:rPr>
              <w:t>ZM-03</w:t>
            </w:r>
          </w:p>
        </w:tc>
        <w:tc>
          <w:tcPr>
            <w:tcW w:type="dxa" w:w="1584"/>
          </w:tcPr>
          <w:p>
            <w:pPr>
              <w:spacing w:after="0"/>
            </w:pPr>
            <w:r>
              <w:rPr>
                <w:sz w:val="19"/>
              </w:rPr>
              <w:t>Frontal Right</w:t>
            </w:r>
          </w:p>
        </w:tc>
        <w:tc>
          <w:tcPr>
            <w:tcW w:type="dxa" w:w="1440"/>
          </w:tcPr>
          <w:p>
            <w:pPr>
              <w:spacing w:after="0"/>
            </w:pPr>
            <w:r>
              <w:rPr>
                <w:sz w:val="19"/>
              </w:rPr>
              <w:t>F4 / Fp2</w:t>
            </w:r>
          </w:p>
        </w:tc>
        <w:tc>
          <w:tcPr>
            <w:tcW w:type="dxa" w:w="2592"/>
          </w:tcPr>
          <w:p>
            <w:pPr>
              <w:spacing w:after="0"/>
            </w:pPr>
            <w:r>
              <w:rPr>
                <w:sz w:val="19"/>
              </w:rPr>
              <w:t>Blue</w:t>
            </w:r>
          </w:p>
        </w:tc>
        <w:tc>
          <w:tcPr>
            <w:tcW w:type="dxa" w:w="2232"/>
          </w:tcPr>
          <w:p>
            <w:pPr>
              <w:spacing w:after="0"/>
            </w:pPr>
            <w:r>
              <w:rPr>
                <w:sz w:val="19"/>
              </w:rPr>
              <w:t>F4, Fp2</w:t>
            </w:r>
          </w:p>
        </w:tc>
      </w:tr>
      <w:tr>
        <w:tc>
          <w:tcPr>
            <w:tcW w:type="dxa" w:w="1080"/>
          </w:tcPr>
          <w:p>
            <w:pPr>
              <w:spacing w:after="0"/>
            </w:pPr>
            <w:r>
              <w:rPr>
                <w:sz w:val="19"/>
              </w:rPr>
              <w:t>ZM-04</w:t>
            </w:r>
          </w:p>
        </w:tc>
        <w:tc>
          <w:tcPr>
            <w:tcW w:type="dxa" w:w="1584"/>
          </w:tcPr>
          <w:p>
            <w:pPr>
              <w:spacing w:after="0"/>
            </w:pPr>
            <w:r>
              <w:rPr>
                <w:sz w:val="19"/>
              </w:rPr>
              <w:t>Parietal Left</w:t>
            </w:r>
          </w:p>
        </w:tc>
        <w:tc>
          <w:tcPr>
            <w:tcW w:type="dxa" w:w="1440"/>
          </w:tcPr>
          <w:p>
            <w:pPr>
              <w:spacing w:after="0"/>
            </w:pPr>
            <w:r>
              <w:rPr>
                <w:sz w:val="19"/>
              </w:rPr>
              <w:t>C3 / P3</w:t>
            </w:r>
          </w:p>
        </w:tc>
        <w:tc>
          <w:tcPr>
            <w:tcW w:type="dxa" w:w="2592"/>
          </w:tcPr>
          <w:p>
            <w:pPr>
              <w:spacing w:after="0"/>
            </w:pPr>
            <w:r>
              <w:rPr>
                <w:sz w:val="19"/>
              </w:rPr>
              <w:t>Orange</w:t>
            </w:r>
          </w:p>
        </w:tc>
        <w:tc>
          <w:tcPr>
            <w:tcW w:type="dxa" w:w="2232"/>
          </w:tcPr>
          <w:p>
            <w:pPr>
              <w:spacing w:after="0"/>
            </w:pPr>
            <w:r>
              <w:rPr>
                <w:sz w:val="19"/>
              </w:rPr>
              <w:t>C3, P3</w:t>
            </w:r>
          </w:p>
        </w:tc>
      </w:tr>
      <w:tr>
        <w:tc>
          <w:tcPr>
            <w:tcW w:type="dxa" w:w="1080"/>
          </w:tcPr>
          <w:p>
            <w:pPr>
              <w:spacing w:after="0"/>
            </w:pPr>
            <w:r>
              <w:rPr>
                <w:sz w:val="19"/>
              </w:rPr>
              <w:t>ZM-05</w:t>
            </w:r>
          </w:p>
        </w:tc>
        <w:tc>
          <w:tcPr>
            <w:tcW w:type="dxa" w:w="1584"/>
          </w:tcPr>
          <w:p>
            <w:pPr>
              <w:spacing w:after="0"/>
            </w:pPr>
            <w:r>
              <w:rPr>
                <w:sz w:val="19"/>
              </w:rPr>
              <w:t>Parietal Right</w:t>
            </w:r>
          </w:p>
        </w:tc>
        <w:tc>
          <w:tcPr>
            <w:tcW w:type="dxa" w:w="1440"/>
          </w:tcPr>
          <w:p>
            <w:pPr>
              <w:spacing w:after="0"/>
            </w:pPr>
            <w:r>
              <w:rPr>
                <w:sz w:val="19"/>
              </w:rPr>
              <w:t>C4 / P4</w:t>
            </w:r>
          </w:p>
        </w:tc>
        <w:tc>
          <w:tcPr>
            <w:tcW w:type="dxa" w:w="2592"/>
          </w:tcPr>
          <w:p>
            <w:pPr>
              <w:spacing w:after="0"/>
            </w:pPr>
            <w:r>
              <w:rPr>
                <w:sz w:val="19"/>
              </w:rPr>
              <w:t>Red</w:t>
            </w:r>
          </w:p>
        </w:tc>
        <w:tc>
          <w:tcPr>
            <w:tcW w:type="dxa" w:w="2232"/>
          </w:tcPr>
          <w:p>
            <w:pPr>
              <w:spacing w:after="0"/>
            </w:pPr>
            <w:r>
              <w:rPr>
                <w:sz w:val="19"/>
              </w:rPr>
              <w:t>C4, P4</w:t>
            </w:r>
          </w:p>
        </w:tc>
      </w:tr>
    </w:tbl>
    <w:p/>
    <w:p>
      <w:pPr>
        <w:spacing w:after="80"/>
        <w:ind w:left="288"/>
      </w:pPr>
      <w:r>
        <w:rPr>
          <w:i/>
          <w:sz w:val="19"/>
        </w:rPr>
        <w:t>Colour coding alone is insufficient for users with colour-vision deficiency. Each zone slot must also have a distinct mechanical keying feature (asymmetric notch or tab) in shell tooling. See Risk RISK-15.</w:t>
      </w:r>
    </w:p>
    <w:p>
      <w:pPr>
        <w:spacing w:before="140"/>
      </w:pPr>
      <w:r>
        <w:rPr>
          <w:b/>
          <w:sz w:val="21"/>
        </w:rPr>
        <w:t>2.2  Interfaces</w:t>
      </w:r>
    </w:p>
    <w:p>
      <w:pPr>
        <w:pStyle w:val="ListBullet"/>
        <w:spacing w:after="40"/>
      </w:pPr>
      <w:r>
        <w:rPr>
          <w:sz w:val="21"/>
        </w:rPr>
        <w:t>Hub PCB: 20-position ZIF connector, one per zone module (Section 5)</w:t>
      </w:r>
    </w:p>
    <w:p>
      <w:pPr>
        <w:pStyle w:val="ListBullet"/>
        <w:spacing w:after="40"/>
      </w:pPr>
      <w:r>
        <w:rPr>
          <w:sz w:val="21"/>
        </w:rPr>
        <w:t>Safety MCU: dedicated ENABLE and FAULT lines per zone, routed on Hub PCB (not on zone FPC signal traces — see Section 6.3)</w:t>
      </w:r>
    </w:p>
    <w:p>
      <w:pPr>
        <w:pStyle w:val="ListBullet"/>
        <w:spacing w:after="40"/>
      </w:pPr>
      <w:r>
        <w:rPr>
          <w:sz w:val="21"/>
        </w:rPr>
        <w:t>Shell tooling: zone slot guides, anchor posts for interface cover tethers, bend-radius relief at FPC exit</w:t>
      </w:r>
    </w:p>
    <w:p>
      <w:pPr>
        <w:pStyle w:val="ListBullet"/>
        <w:spacing w:after="40"/>
      </w:pPr>
      <w:r>
        <w:rPr>
          <w:sz w:val="21"/>
        </w:rPr>
        <w:t>PDMS optical window: plasma-activated bond on scalp-facing surface (Section 8)</w:t>
      </w:r>
    </w:p>
    <w:p>
      <w:pPr>
        <w:pStyle w:val="ListBullet"/>
        <w:spacing w:after="40"/>
      </w:pPr>
      <w:r>
        <w:rPr>
          <w:sz w:val="21"/>
        </w:rPr>
        <w:t>Interface covers: Shore 30A silicone slot plug, friction/compression retention, tethered (existing spec §8.3)</w:t>
      </w:r>
    </w:p>
    <w:p>
      <w:pPr>
        <w:spacing w:before="280" w:after="80"/>
      </w:pPr>
      <w:r>
        <w:rPr>
          <w:b/>
          <w:color w:val="003366"/>
          <w:sz w:val="26"/>
        </w:rPr>
        <w:t>3.  FPC STACKUP SPECIFICATION</w:t>
      </w:r>
    </w:p>
    <w:p>
      <w:pPr>
        <w:spacing w:after="80"/>
        <w:ind w:left="288"/>
      </w:pPr>
      <w:r>
        <w:rPr>
          <w:i/>
          <w:color w:val="CC4400"/>
          <w:sz w:val="19"/>
        </w:rPr>
        <w:t>⚠ Copper type is ROLLED ANNEALED (RA) — NOT electrodeposited (ED). This must be explicitly stated in the fabrication notes. Most fabricators default to ED copper. ED copper will fail in dynamic flex. This is a CRITICAL fabrication note.</w:t>
      </w:r>
    </w:p>
    <w:p>
      <w:pPr>
        <w:spacing w:before="140"/>
      </w:pPr>
      <w:r>
        <w:rPr>
          <w:b/>
          <w:sz w:val="21"/>
        </w:rPr>
        <w:t>3.1  Layer Stackup — 2-Layer FPC</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19"/>
              </w:rPr>
              <w:t>Layer</w:t>
            </w:r>
          </w:p>
        </w:tc>
        <w:tc>
          <w:tcPr>
            <w:tcW w:type="dxa" w:w="3168"/>
          </w:tcPr>
          <w:p>
            <w:pPr>
              <w:spacing w:after="0"/>
            </w:pPr>
            <w:r>
              <w:rPr>
                <w:b/>
                <w:sz w:val="19"/>
              </w:rPr>
              <w:t>Material</w:t>
            </w:r>
          </w:p>
        </w:tc>
        <w:tc>
          <w:tcPr>
            <w:tcW w:type="dxa" w:w="2160"/>
          </w:tcPr>
          <w:p>
            <w:pPr>
              <w:spacing w:after="0"/>
            </w:pPr>
            <w:r>
              <w:rPr>
                <w:b/>
                <w:sz w:val="19"/>
              </w:rPr>
              <w:t>Thickness (µm)</w:t>
            </w:r>
          </w:p>
        </w:tc>
        <w:tc>
          <w:tcPr>
            <w:tcW w:type="dxa" w:w="2880"/>
          </w:tcPr>
          <w:p>
            <w:pPr>
              <w:spacing w:after="0"/>
            </w:pPr>
            <w:r>
              <w:rPr>
                <w:b/>
                <w:sz w:val="19"/>
              </w:rPr>
              <w:t>Notes</w:t>
            </w:r>
          </w:p>
        </w:tc>
      </w:tr>
      <w:tr>
        <w:tc>
          <w:tcPr>
            <w:tcW w:type="dxa" w:w="2160"/>
          </w:tcPr>
          <w:p>
            <w:pPr>
              <w:spacing w:after="0"/>
            </w:pPr>
            <w:r>
              <w:rPr>
                <w:sz w:val="19"/>
              </w:rPr>
              <w:t>Coverlay top</w:t>
            </w:r>
          </w:p>
        </w:tc>
        <w:tc>
          <w:tcPr>
            <w:tcW w:type="dxa" w:w="3168"/>
          </w:tcPr>
          <w:p>
            <w:pPr>
              <w:spacing w:after="0"/>
            </w:pPr>
            <w:r>
              <w:rPr>
                <w:sz w:val="19"/>
              </w:rPr>
              <w:t>Polyimide (PI)</w:t>
            </w:r>
          </w:p>
        </w:tc>
        <w:tc>
          <w:tcPr>
            <w:tcW w:type="dxa" w:w="2160"/>
          </w:tcPr>
          <w:p>
            <w:pPr>
              <w:spacing w:after="0"/>
            </w:pPr>
            <w:r>
              <w:rPr>
                <w:sz w:val="19"/>
              </w:rPr>
              <w:t>25</w:t>
            </w:r>
          </w:p>
        </w:tc>
        <w:tc>
          <w:tcPr>
            <w:tcW w:type="dxa" w:w="2880"/>
          </w:tcPr>
          <w:p>
            <w:pPr>
              <w:spacing w:after="0"/>
            </w:pPr>
            <w:r>
              <w:rPr>
                <w:sz w:val="19"/>
              </w:rPr>
              <w:t>Window openings at all LED pads and photodiode aperture</w:t>
            </w:r>
          </w:p>
        </w:tc>
      </w:tr>
      <w:tr>
        <w:tc>
          <w:tcPr>
            <w:tcW w:type="dxa" w:w="2160"/>
          </w:tcPr>
          <w:p>
            <w:pPr>
              <w:spacing w:after="0"/>
            </w:pPr>
            <w:r>
              <w:rPr>
                <w:sz w:val="19"/>
              </w:rPr>
              <w:t>Cu Layer 1 (top)</w:t>
            </w:r>
          </w:p>
        </w:tc>
        <w:tc>
          <w:tcPr>
            <w:tcW w:type="dxa" w:w="3168"/>
          </w:tcPr>
          <w:p>
            <w:pPr>
              <w:spacing w:after="0"/>
            </w:pPr>
            <w:r>
              <w:rPr>
                <w:sz w:val="19"/>
              </w:rPr>
              <w:t>RA copper — 1 oz (35 µm)</w:t>
            </w:r>
          </w:p>
        </w:tc>
        <w:tc>
          <w:tcPr>
            <w:tcW w:type="dxa" w:w="2160"/>
          </w:tcPr>
          <w:p>
            <w:pPr>
              <w:spacing w:after="0"/>
            </w:pPr>
            <w:r>
              <w:rPr>
                <w:sz w:val="19"/>
              </w:rPr>
              <w:t>35</w:t>
            </w:r>
          </w:p>
        </w:tc>
        <w:tc>
          <w:tcPr>
            <w:tcW w:type="dxa" w:w="2880"/>
          </w:tcPr>
          <w:p>
            <w:pPr>
              <w:spacing w:after="0"/>
            </w:pPr>
            <w:r>
              <w:rPr>
                <w:sz w:val="19"/>
              </w:rPr>
              <w:t>Signal traces, LED cathode returns, sensor signals, GND pours</w:t>
            </w:r>
          </w:p>
        </w:tc>
      </w:tr>
      <w:tr>
        <w:tc>
          <w:tcPr>
            <w:tcW w:type="dxa" w:w="2160"/>
          </w:tcPr>
          <w:p>
            <w:pPr>
              <w:spacing w:after="0"/>
            </w:pPr>
            <w:r>
              <w:rPr>
                <w:sz w:val="19"/>
              </w:rPr>
              <w:t>Adhesive</w:t>
            </w:r>
          </w:p>
        </w:tc>
        <w:tc>
          <w:tcPr>
            <w:tcW w:type="dxa" w:w="3168"/>
          </w:tcPr>
          <w:p>
            <w:pPr>
              <w:spacing w:after="0"/>
            </w:pPr>
            <w:r>
              <w:rPr>
                <w:sz w:val="19"/>
              </w:rPr>
              <w:t>Acrylic (adhesiveless laminate preferred)</w:t>
            </w:r>
          </w:p>
        </w:tc>
        <w:tc>
          <w:tcPr>
            <w:tcW w:type="dxa" w:w="2160"/>
          </w:tcPr>
          <w:p>
            <w:pPr>
              <w:spacing w:after="0"/>
            </w:pPr>
            <w:r>
              <w:rPr>
                <w:sz w:val="19"/>
              </w:rPr>
              <w:t>≤25</w:t>
            </w:r>
          </w:p>
        </w:tc>
        <w:tc>
          <w:tcPr>
            <w:tcW w:type="dxa" w:w="2880"/>
          </w:tcPr>
          <w:p>
            <w:pPr>
              <w:spacing w:after="0"/>
            </w:pPr>
            <w:r>
              <w:rPr>
                <w:sz w:val="19"/>
              </w:rPr>
              <w:t>Adhesiveless reduces total thickness and improves flex life</w:t>
            </w:r>
          </w:p>
        </w:tc>
      </w:tr>
      <w:tr>
        <w:tc>
          <w:tcPr>
            <w:tcW w:type="dxa" w:w="2160"/>
          </w:tcPr>
          <w:p>
            <w:pPr>
              <w:spacing w:after="0"/>
            </w:pPr>
            <w:r>
              <w:rPr>
                <w:sz w:val="19"/>
              </w:rPr>
              <w:t>PI Core</w:t>
            </w:r>
          </w:p>
        </w:tc>
        <w:tc>
          <w:tcPr>
            <w:tcW w:type="dxa" w:w="3168"/>
          </w:tcPr>
          <w:p>
            <w:pPr>
              <w:spacing w:after="0"/>
            </w:pPr>
            <w:r>
              <w:rPr>
                <w:sz w:val="19"/>
              </w:rPr>
              <w:t>Polyimide</w:t>
            </w:r>
          </w:p>
        </w:tc>
        <w:tc>
          <w:tcPr>
            <w:tcW w:type="dxa" w:w="2160"/>
          </w:tcPr>
          <w:p>
            <w:pPr>
              <w:spacing w:after="0"/>
            </w:pPr>
            <w:r>
              <w:rPr>
                <w:sz w:val="19"/>
              </w:rPr>
              <w:t>25</w:t>
            </w:r>
          </w:p>
        </w:tc>
        <w:tc>
          <w:tcPr>
            <w:tcW w:type="dxa" w:w="2880"/>
          </w:tcPr>
          <w:p>
            <w:pPr>
              <w:spacing w:after="0"/>
            </w:pPr>
            <w:r>
              <w:rPr>
                <w:sz w:val="19"/>
              </w:rPr>
              <w:t>Base substrate</w:t>
            </w:r>
          </w:p>
        </w:tc>
      </w:tr>
      <w:tr>
        <w:tc>
          <w:tcPr>
            <w:tcW w:type="dxa" w:w="2160"/>
          </w:tcPr>
          <w:p>
            <w:pPr>
              <w:spacing w:after="0"/>
            </w:pPr>
            <w:r>
              <w:rPr>
                <w:sz w:val="19"/>
              </w:rPr>
              <w:t>Adhesive</w:t>
            </w:r>
          </w:p>
        </w:tc>
        <w:tc>
          <w:tcPr>
            <w:tcW w:type="dxa" w:w="3168"/>
          </w:tcPr>
          <w:p>
            <w:pPr>
              <w:spacing w:after="0"/>
            </w:pPr>
            <w:r>
              <w:rPr>
                <w:sz w:val="19"/>
              </w:rPr>
              <w:t>Acrylic</w:t>
            </w:r>
          </w:p>
        </w:tc>
        <w:tc>
          <w:tcPr>
            <w:tcW w:type="dxa" w:w="2160"/>
          </w:tcPr>
          <w:p>
            <w:pPr>
              <w:spacing w:after="0"/>
            </w:pPr>
            <w:r>
              <w:rPr>
                <w:sz w:val="19"/>
              </w:rPr>
              <w:t>≤25</w:t>
            </w:r>
          </w:p>
        </w:tc>
        <w:tc>
          <w:tcPr>
            <w:tcW w:type="dxa" w:w="2880"/>
          </w:tcPr>
          <w:p>
            <w:pPr>
              <w:spacing w:after="0"/>
            </w:pPr>
            <w:r>
              <w:rPr>
                <w:sz w:val="19"/>
              </w:rPr>
            </w:r>
          </w:p>
        </w:tc>
      </w:tr>
      <w:tr>
        <w:tc>
          <w:tcPr>
            <w:tcW w:type="dxa" w:w="2160"/>
          </w:tcPr>
          <w:p>
            <w:pPr>
              <w:spacing w:after="0"/>
            </w:pPr>
            <w:r>
              <w:rPr>
                <w:sz w:val="19"/>
              </w:rPr>
              <w:t>Cu Layer 2 (bottom)</w:t>
            </w:r>
          </w:p>
        </w:tc>
        <w:tc>
          <w:tcPr>
            <w:tcW w:type="dxa" w:w="3168"/>
          </w:tcPr>
          <w:p>
            <w:pPr>
              <w:spacing w:after="0"/>
            </w:pPr>
            <w:r>
              <w:rPr>
                <w:sz w:val="19"/>
              </w:rPr>
              <w:t>RA copper — 1 oz (35 µm)</w:t>
            </w:r>
          </w:p>
        </w:tc>
        <w:tc>
          <w:tcPr>
            <w:tcW w:type="dxa" w:w="2160"/>
          </w:tcPr>
          <w:p>
            <w:pPr>
              <w:spacing w:after="0"/>
            </w:pPr>
            <w:r>
              <w:rPr>
                <w:sz w:val="19"/>
              </w:rPr>
              <w:t>35</w:t>
            </w:r>
          </w:p>
        </w:tc>
        <w:tc>
          <w:tcPr>
            <w:tcW w:type="dxa" w:w="2880"/>
          </w:tcPr>
          <w:p>
            <w:pPr>
              <w:spacing w:after="0"/>
            </w:pPr>
            <w:r>
              <w:rPr>
                <w:sz w:val="19"/>
              </w:rPr>
              <w:t>Power planes: VLED_660, VLED_808, GND pour</w:t>
            </w:r>
          </w:p>
        </w:tc>
      </w:tr>
      <w:tr>
        <w:tc>
          <w:tcPr>
            <w:tcW w:type="dxa" w:w="2160"/>
          </w:tcPr>
          <w:p>
            <w:pPr>
              <w:spacing w:after="0"/>
            </w:pPr>
            <w:r>
              <w:rPr>
                <w:sz w:val="19"/>
              </w:rPr>
              <w:t>Coverlay bottom</w:t>
            </w:r>
          </w:p>
        </w:tc>
        <w:tc>
          <w:tcPr>
            <w:tcW w:type="dxa" w:w="3168"/>
          </w:tcPr>
          <w:p>
            <w:pPr>
              <w:spacing w:after="0"/>
            </w:pPr>
            <w:r>
              <w:rPr>
                <w:sz w:val="19"/>
              </w:rPr>
              <w:t>Polyimide (PI)</w:t>
            </w:r>
          </w:p>
        </w:tc>
        <w:tc>
          <w:tcPr>
            <w:tcW w:type="dxa" w:w="2160"/>
          </w:tcPr>
          <w:p>
            <w:pPr>
              <w:spacing w:after="0"/>
            </w:pPr>
            <w:r>
              <w:rPr>
                <w:sz w:val="19"/>
              </w:rPr>
              <w:t>25</w:t>
            </w:r>
          </w:p>
        </w:tc>
        <w:tc>
          <w:tcPr>
            <w:tcW w:type="dxa" w:w="2880"/>
          </w:tcPr>
          <w:p>
            <w:pPr>
              <w:spacing w:after="0"/>
            </w:pPr>
            <w:r>
              <w:rPr>
                <w:sz w:val="19"/>
              </w:rPr>
              <w:t>Full coverage; no openings on power layer bottom</w:t>
            </w:r>
          </w:p>
        </w:tc>
      </w:tr>
      <w:tr>
        <w:tc>
          <w:tcPr>
            <w:tcW w:type="dxa" w:w="2160"/>
          </w:tcPr>
          <w:p>
            <w:pPr>
              <w:spacing w:after="0"/>
            </w:pPr>
            <w:r>
              <w:rPr>
                <w:sz w:val="19"/>
              </w:rPr>
              <w:t>TOTAL</w:t>
            </w:r>
          </w:p>
        </w:tc>
        <w:tc>
          <w:tcPr>
            <w:tcW w:type="dxa" w:w="3168"/>
          </w:tcPr>
          <w:p>
            <w:pPr>
              <w:spacing w:after="0"/>
            </w:pPr>
            <w:r>
              <w:rPr>
                <w:sz w:val="19"/>
              </w:rPr>
            </w:r>
          </w:p>
        </w:tc>
        <w:tc>
          <w:tcPr>
            <w:tcW w:type="dxa" w:w="2160"/>
          </w:tcPr>
          <w:p>
            <w:pPr>
              <w:spacing w:after="0"/>
            </w:pPr>
            <w:r>
              <w:rPr>
                <w:sz w:val="19"/>
              </w:rPr>
              <w:t>≈ 170–195 µm</w:t>
            </w:r>
          </w:p>
        </w:tc>
        <w:tc>
          <w:tcPr>
            <w:tcW w:type="dxa" w:w="2880"/>
          </w:tcPr>
          <w:p>
            <w:pPr>
              <w:spacing w:after="0"/>
            </w:pPr>
            <w:r>
              <w:rPr>
                <w:sz w:val="19"/>
              </w:rPr>
              <w:t>Use 200 µm nominal for bend radius calculations</w:t>
            </w:r>
          </w:p>
        </w:tc>
      </w:tr>
    </w:tbl>
    <w:p/>
    <w:p>
      <w:pPr>
        <w:spacing w:before="140"/>
      </w:pPr>
      <w:r>
        <w:rPr>
          <w:b/>
          <w:sz w:val="21"/>
        </w:rPr>
        <w:t>3.2  Copper Weight Rationale</w:t>
      </w:r>
    </w:p>
    <w:p>
      <w:pPr>
        <w:ind w:firstLine="288"/>
      </w:pPr>
      <w:r>
        <w:rPr>
          <w:b/>
          <w:color w:val="C00000"/>
        </w:rPr>
        <w:t>[DRAWING REQUIREMENT] 1 oz RA copper is selected as the best balance between current-carrying capacity and flex life. 2 oz copper would reduce trace widths but requires bend radii ≥22 mm and significantly degrades flex life — unacceptable for a user-replaceable module subject to 1,000 insertion cycles. 0.5 oz copper has insufficient current capacity for the LED power rails without impractically wide traces. Reference: IPC-2223D dynamic flex minimum bend radius = 100× total thickness. At 200 µm total, this gives 20 mm minimum. Design target is 25 mm at all bend zones (25% margin).</w:t>
      </w:r>
    </w:p>
    <w:p>
      <w:pPr>
        <w:spacing w:before="140"/>
      </w:pPr>
      <w:r>
        <w:rPr>
          <w:b/>
          <w:sz w:val="21"/>
        </w:rPr>
        <w:t>3.3  Stiffener Regions</w:t>
      </w:r>
    </w:p>
    <w:tbl>
      <w:tblPr>
        <w:tblStyle w:val="TableGrid"/>
        <w:tblW w:type="auto" w:w="0"/>
        <w:tblLook w:firstColumn="1" w:firstRow="1" w:lastColumn="0" w:lastRow="0" w:noHBand="0" w:noVBand="1" w:val="04A0"/>
      </w:tblPr>
      <w:tblGrid>
        <w:gridCol w:w="2340"/>
        <w:gridCol w:w="2340"/>
        <w:gridCol w:w="2340"/>
        <w:gridCol w:w="2340"/>
      </w:tblGrid>
      <w:tr>
        <w:tc>
          <w:tcPr>
            <w:tcW w:type="dxa" w:w="3312"/>
          </w:tcPr>
          <w:p>
            <w:pPr>
              <w:spacing w:after="0"/>
            </w:pPr>
            <w:r>
              <w:rPr>
                <w:b/>
                <w:sz w:val="19"/>
              </w:rPr>
              <w:t>Region</w:t>
            </w:r>
          </w:p>
        </w:tc>
        <w:tc>
          <w:tcPr>
            <w:tcW w:type="dxa" w:w="2016"/>
          </w:tcPr>
          <w:p>
            <w:pPr>
              <w:spacing w:after="0"/>
            </w:pPr>
            <w:r>
              <w:rPr>
                <w:b/>
                <w:sz w:val="19"/>
              </w:rPr>
              <w:t>Stiffener material</w:t>
            </w:r>
          </w:p>
        </w:tc>
        <w:tc>
          <w:tcPr>
            <w:tcW w:type="dxa" w:w="1440"/>
          </w:tcPr>
          <w:p>
            <w:pPr>
              <w:spacing w:after="0"/>
            </w:pPr>
            <w:r>
              <w:rPr>
                <w:b/>
                <w:sz w:val="19"/>
              </w:rPr>
              <w:t>Thickness</w:t>
            </w:r>
          </w:p>
        </w:tc>
        <w:tc>
          <w:tcPr>
            <w:tcW w:type="dxa" w:w="3600"/>
          </w:tcPr>
          <w:p>
            <w:pPr>
              <w:spacing w:after="0"/>
            </w:pPr>
            <w:r>
              <w:rPr>
                <w:b/>
                <w:sz w:val="19"/>
              </w:rPr>
              <w:t>Purpose</w:t>
            </w:r>
          </w:p>
        </w:tc>
      </w:tr>
      <w:tr>
        <w:tc>
          <w:tcPr>
            <w:tcW w:type="dxa" w:w="3312"/>
          </w:tcPr>
          <w:p>
            <w:pPr>
              <w:spacing w:after="0"/>
            </w:pPr>
            <w:r>
              <w:rPr>
                <w:sz w:val="19"/>
              </w:rPr>
              <w:t>Connector mating zone (full connector width + 5 mm each side)</w:t>
            </w:r>
          </w:p>
        </w:tc>
        <w:tc>
          <w:tcPr>
            <w:tcW w:type="dxa" w:w="2016"/>
          </w:tcPr>
          <w:p>
            <w:pPr>
              <w:spacing w:after="0"/>
            </w:pPr>
            <w:r>
              <w:rPr>
                <w:sz w:val="19"/>
              </w:rPr>
              <w:t>FR4</w:t>
            </w:r>
          </w:p>
        </w:tc>
        <w:tc>
          <w:tcPr>
            <w:tcW w:type="dxa" w:w="1440"/>
          </w:tcPr>
          <w:p>
            <w:pPr>
              <w:spacing w:after="0"/>
            </w:pPr>
            <w:r>
              <w:rPr>
                <w:sz w:val="19"/>
              </w:rPr>
              <w:t>0.8 mm</w:t>
            </w:r>
          </w:p>
        </w:tc>
        <w:tc>
          <w:tcPr>
            <w:tcW w:type="dxa" w:w="3600"/>
          </w:tcPr>
          <w:p>
            <w:pPr>
              <w:spacing w:after="0"/>
            </w:pPr>
            <w:r>
              <w:rPr>
                <w:sz w:val="19"/>
              </w:rPr>
              <w:t>Rigidise connector pads; prevent pad lift during insertion/extraction</w:t>
            </w:r>
          </w:p>
        </w:tc>
      </w:tr>
      <w:tr>
        <w:tc>
          <w:tcPr>
            <w:tcW w:type="dxa" w:w="3312"/>
          </w:tcPr>
          <w:p>
            <w:pPr>
              <w:spacing w:after="0"/>
            </w:pPr>
            <w:r>
              <w:rPr>
                <w:sz w:val="19"/>
              </w:rPr>
              <w:t>LED array zone (full LED grid area)</w:t>
            </w:r>
          </w:p>
        </w:tc>
        <w:tc>
          <w:tcPr>
            <w:tcW w:type="dxa" w:w="2016"/>
          </w:tcPr>
          <w:p>
            <w:pPr>
              <w:spacing w:after="0"/>
            </w:pPr>
            <w:r>
              <w:rPr>
                <w:sz w:val="19"/>
              </w:rPr>
              <w:t>FR4 or PI</w:t>
            </w:r>
          </w:p>
        </w:tc>
        <w:tc>
          <w:tcPr>
            <w:tcW w:type="dxa" w:w="1440"/>
          </w:tcPr>
          <w:p>
            <w:pPr>
              <w:spacing w:after="0"/>
            </w:pPr>
            <w:r>
              <w:rPr>
                <w:sz w:val="19"/>
              </w:rPr>
              <w:t>0.3–0.5 mm</w:t>
            </w:r>
          </w:p>
        </w:tc>
        <w:tc>
          <w:tcPr>
            <w:tcW w:type="dxa" w:w="3600"/>
          </w:tcPr>
          <w:p>
            <w:pPr>
              <w:spacing w:after="0"/>
            </w:pPr>
            <w:r>
              <w:rPr>
                <w:sz w:val="19"/>
              </w:rPr>
              <w:t>Maintain flatness for uniform scalp contact; prevent LED rocking</w:t>
            </w:r>
          </w:p>
        </w:tc>
      </w:tr>
      <w:tr>
        <w:tc>
          <w:tcPr>
            <w:tcW w:type="dxa" w:w="3312"/>
          </w:tcPr>
          <w:p>
            <w:pPr>
              <w:spacing w:after="0"/>
            </w:pPr>
            <w:r>
              <w:rPr>
                <w:sz w:val="19"/>
              </w:rPr>
              <w:t>Driver IC zone</w:t>
            </w:r>
          </w:p>
        </w:tc>
        <w:tc>
          <w:tcPr>
            <w:tcW w:type="dxa" w:w="2016"/>
          </w:tcPr>
          <w:p>
            <w:pPr>
              <w:spacing w:after="0"/>
            </w:pPr>
            <w:r>
              <w:rPr>
                <w:sz w:val="19"/>
              </w:rPr>
              <w:t>PI</w:t>
            </w:r>
          </w:p>
        </w:tc>
        <w:tc>
          <w:tcPr>
            <w:tcW w:type="dxa" w:w="1440"/>
          </w:tcPr>
          <w:p>
            <w:pPr>
              <w:spacing w:after="0"/>
            </w:pPr>
            <w:r>
              <w:rPr>
                <w:sz w:val="19"/>
              </w:rPr>
              <w:t>0.1 mm</w:t>
            </w:r>
          </w:p>
        </w:tc>
        <w:tc>
          <w:tcPr>
            <w:tcW w:type="dxa" w:w="3600"/>
          </w:tcPr>
          <w:p>
            <w:pPr>
              <w:spacing w:after="0"/>
            </w:pPr>
            <w:r>
              <w:rPr>
                <w:sz w:val="19"/>
              </w:rPr>
              <w:t>Light stiffening for SMT reflow; maintains flex in transition zone</w:t>
            </w:r>
          </w:p>
        </w:tc>
      </w:tr>
      <w:tr>
        <w:tc>
          <w:tcPr>
            <w:tcW w:type="dxa" w:w="3312"/>
          </w:tcPr>
          <w:p>
            <w:pPr>
              <w:spacing w:after="0"/>
            </w:pPr>
            <w:r>
              <w:rPr>
                <w:sz w:val="19"/>
              </w:rPr>
              <w:t>Transition zone (connector to array)</w:t>
            </w:r>
          </w:p>
        </w:tc>
        <w:tc>
          <w:tcPr>
            <w:tcW w:type="dxa" w:w="2016"/>
          </w:tcPr>
          <w:p>
            <w:pPr>
              <w:spacing w:after="0"/>
            </w:pPr>
            <w:r>
              <w:rPr>
                <w:sz w:val="19"/>
              </w:rPr>
              <w:t>None — free flex</w:t>
            </w:r>
          </w:p>
        </w:tc>
        <w:tc>
          <w:tcPr>
            <w:tcW w:type="dxa" w:w="1440"/>
          </w:tcPr>
          <w:p>
            <w:pPr>
              <w:spacing w:after="0"/>
            </w:pPr>
            <w:r>
              <w:rPr>
                <w:sz w:val="19"/>
              </w:rPr>
              <w:t>—</w:t>
            </w:r>
          </w:p>
        </w:tc>
        <w:tc>
          <w:tcPr>
            <w:tcW w:type="dxa" w:w="3600"/>
          </w:tcPr>
          <w:p>
            <w:pPr>
              <w:spacing w:after="0"/>
            </w:pPr>
            <w:r>
              <w:rPr>
                <w:sz w:val="19"/>
              </w:rPr>
              <w:t>Must achieve 25 mm bend radius; no stiffener here</w:t>
            </w:r>
          </w:p>
        </w:tc>
      </w:tr>
    </w:tbl>
    <w:p/>
    <w:p>
      <w:pPr>
        <w:spacing w:before="280" w:after="80"/>
      </w:pPr>
      <w:r>
        <w:rPr>
          <w:b/>
          <w:color w:val="003366"/>
          <w:sz w:val="26"/>
        </w:rPr>
        <w:t>4.  LED ARRAY SPECIFICATION</w:t>
      </w:r>
    </w:p>
    <w:p>
      <w:pPr>
        <w:spacing w:before="140"/>
      </w:pPr>
      <w:r>
        <w:rPr>
          <w:b/>
          <w:sz w:val="21"/>
        </w:rPr>
        <w:t>4.1  LED Count and Wavelength Distribution</w:t>
      </w:r>
    </w:p>
    <w:tbl>
      <w:tblPr>
        <w:tblStyle w:val="TableGrid"/>
        <w:tblW w:type="auto" w:w="0"/>
        <w:tblLook w:firstColumn="1" w:firstRow="1" w:lastColumn="0" w:lastRow="0" w:noHBand="0" w:noVBand="1" w:val="04A0"/>
      </w:tblPr>
      <w:tblGrid>
        <w:gridCol w:w="4680"/>
        <w:gridCol w:w="4680"/>
      </w:tblGrid>
      <w:tr>
        <w:tc>
          <w:tcPr>
            <w:tcW w:type="dxa" w:w="4032"/>
          </w:tcPr>
          <w:p>
            <w:pPr>
              <w:spacing w:after="0"/>
            </w:pPr>
            <w:r>
              <w:rPr>
                <w:b/>
                <w:sz w:val="19"/>
              </w:rPr>
              <w:t>Parameter</w:t>
            </w:r>
          </w:p>
        </w:tc>
        <w:tc>
          <w:tcPr>
            <w:tcW w:type="dxa" w:w="6336"/>
          </w:tcPr>
          <w:p>
            <w:pPr>
              <w:spacing w:after="0"/>
            </w:pPr>
            <w:r>
              <w:rPr>
                <w:b/>
                <w:sz w:val="19"/>
              </w:rPr>
              <w:t>Specification</w:t>
            </w:r>
          </w:p>
        </w:tc>
      </w:tr>
      <w:tr>
        <w:tc>
          <w:tcPr>
            <w:tcW w:type="dxa" w:w="4032"/>
          </w:tcPr>
          <w:p>
            <w:pPr>
              <w:spacing w:after="0"/>
            </w:pPr>
            <w:r>
              <w:rPr>
                <w:sz w:val="19"/>
              </w:rPr>
              <w:t>Total LEDs per zone module</w:t>
            </w:r>
          </w:p>
        </w:tc>
        <w:tc>
          <w:tcPr>
            <w:tcW w:type="dxa" w:w="6336"/>
          </w:tcPr>
          <w:p>
            <w:pPr>
              <w:spacing w:after="0"/>
            </w:pPr>
            <w:r>
              <w:rPr>
                <w:sz w:val="19"/>
              </w:rPr>
              <w:t>120 (60 × 660 nm + 60 × 808–830 nm)</w:t>
            </w:r>
          </w:p>
        </w:tc>
      </w:tr>
      <w:tr>
        <w:tc>
          <w:tcPr>
            <w:tcW w:type="dxa" w:w="4032"/>
          </w:tcPr>
          <w:p>
            <w:pPr>
              <w:spacing w:after="0"/>
            </w:pPr>
            <w:r>
              <w:rPr>
                <w:sz w:val="19"/>
              </w:rPr>
              <w:t>Total LEDs across 5 zones</w:t>
            </w:r>
          </w:p>
        </w:tc>
        <w:tc>
          <w:tcPr>
            <w:tcW w:type="dxa" w:w="6336"/>
          </w:tcPr>
          <w:p>
            <w:pPr>
              <w:spacing w:after="0"/>
            </w:pPr>
            <w:r>
              <w:rPr>
                <w:sz w:val="19"/>
              </w:rPr>
              <w:t>600 (300 × 660 nm + 300 × 808–830 nm)</w:t>
            </w:r>
          </w:p>
        </w:tc>
      </w:tr>
      <w:tr>
        <w:tc>
          <w:tcPr>
            <w:tcW w:type="dxa" w:w="4032"/>
          </w:tcPr>
          <w:p>
            <w:pPr>
              <w:spacing w:after="0"/>
            </w:pPr>
            <w:r>
              <w:rPr>
                <w:sz w:val="19"/>
              </w:rPr>
              <w:t>Layout pattern</w:t>
            </w:r>
          </w:p>
        </w:tc>
        <w:tc>
          <w:tcPr>
            <w:tcW w:type="dxa" w:w="6336"/>
          </w:tcPr>
          <w:p>
            <w:pPr>
              <w:spacing w:after="0"/>
            </w:pPr>
            <w:r>
              <w:rPr>
                <w:sz w:val="19"/>
              </w:rPr>
              <w:t>Interleaved checkerboard — alternating 660 nm and 808–830 nm at every position</w:t>
            </w:r>
          </w:p>
        </w:tc>
      </w:tr>
      <w:tr>
        <w:tc>
          <w:tcPr>
            <w:tcW w:type="dxa" w:w="4032"/>
          </w:tcPr>
          <w:p>
            <w:pPr>
              <w:spacing w:after="0"/>
            </w:pPr>
            <w:r>
              <w:rPr>
                <w:sz w:val="19"/>
              </w:rPr>
              <w:t>Inter-LED pitch (centre-to-centre)</w:t>
            </w:r>
          </w:p>
        </w:tc>
        <w:tc>
          <w:tcPr>
            <w:tcW w:type="dxa" w:w="6336"/>
          </w:tcPr>
          <w:p>
            <w:pPr>
              <w:spacing w:after="0"/>
            </w:pPr>
            <w:r>
              <w:rPr>
                <w:sz w:val="19"/>
              </w:rPr>
              <w:t>6.0 mm (both axes)</w:t>
            </w:r>
          </w:p>
        </w:tc>
      </w:tr>
      <w:tr>
        <w:tc>
          <w:tcPr>
            <w:tcW w:type="dxa" w:w="4032"/>
          </w:tcPr>
          <w:p>
            <w:pPr>
              <w:spacing w:after="0"/>
            </w:pPr>
            <w:r>
              <w:rPr>
                <w:sz w:val="19"/>
              </w:rPr>
              <w:t>Grid dimensions per zone</w:t>
            </w:r>
          </w:p>
        </w:tc>
        <w:tc>
          <w:tcPr>
            <w:tcW w:type="dxa" w:w="6336"/>
          </w:tcPr>
          <w:p>
            <w:pPr>
              <w:spacing w:after="0"/>
            </w:pPr>
            <w:r>
              <w:rPr>
                <w:sz w:val="19"/>
              </w:rPr>
              <w:t>10 columns × 12 rows = 120 LED positions</w:t>
            </w:r>
          </w:p>
        </w:tc>
      </w:tr>
      <w:tr>
        <w:tc>
          <w:tcPr>
            <w:tcW w:type="dxa" w:w="4032"/>
          </w:tcPr>
          <w:p>
            <w:pPr>
              <w:spacing w:after="0"/>
            </w:pPr>
            <w:r>
              <w:rPr>
                <w:sz w:val="19"/>
              </w:rPr>
              <w:t>Physical LED array footprint per zone</w:t>
            </w:r>
          </w:p>
        </w:tc>
        <w:tc>
          <w:tcPr>
            <w:tcW w:type="dxa" w:w="6336"/>
          </w:tcPr>
          <w:p>
            <w:pPr>
              <w:spacing w:after="0"/>
            </w:pPr>
            <w:r>
              <w:rPr>
                <w:sz w:val="19"/>
              </w:rPr>
              <w:t>54 mm wide × 66 mm tall (pitch × (n−1) in each axis)</w:t>
            </w:r>
          </w:p>
        </w:tc>
      </w:tr>
      <w:tr>
        <w:tc>
          <w:tcPr>
            <w:tcW w:type="dxa" w:w="4032"/>
          </w:tcPr>
          <w:p>
            <w:pPr>
              <w:spacing w:after="0"/>
            </w:pPr>
            <w:r>
              <w:rPr>
                <w:sz w:val="19"/>
              </w:rPr>
              <w:t>Irradiance uniformity (specified)</w:t>
            </w:r>
          </w:p>
        </w:tc>
        <w:tc>
          <w:tcPr>
            <w:tcW w:type="dxa" w:w="6336"/>
          </w:tcPr>
          <w:p>
            <w:pPr>
              <w:spacing w:after="0"/>
            </w:pPr>
            <w:r>
              <w:rPr>
                <w:sz w:val="19"/>
              </w:rPr>
              <w:t>±15–25% across zone active area</w:t>
            </w:r>
          </w:p>
        </w:tc>
      </w:tr>
      <w:tr>
        <w:tc>
          <w:tcPr>
            <w:tcW w:type="dxa" w:w="4032"/>
          </w:tcPr>
          <w:p>
            <w:pPr>
              <w:spacing w:after="0"/>
            </w:pPr>
            <w:r>
              <w:rPr>
                <w:sz w:val="19"/>
              </w:rPr>
              <w:t>Forward current range</w:t>
            </w:r>
          </w:p>
        </w:tc>
        <w:tc>
          <w:tcPr>
            <w:tcW w:type="dxa" w:w="6336"/>
          </w:tcPr>
          <w:p>
            <w:pPr>
              <w:spacing w:after="0"/>
            </w:pPr>
            <w:r>
              <w:rPr>
                <w:sz w:val="19"/>
              </w:rPr>
              <w:t>120–180 mA per LED (150 mA nominal)</w:t>
            </w:r>
          </w:p>
        </w:tc>
      </w:tr>
      <w:tr>
        <w:tc>
          <w:tcPr>
            <w:tcW w:type="dxa" w:w="4032"/>
          </w:tcPr>
          <w:p>
            <w:pPr>
              <w:spacing w:after="0"/>
            </w:pPr>
            <w:r>
              <w:rPr>
                <w:sz w:val="19"/>
              </w:rPr>
              <w:t>Rated L70 lifetime at nominal current</w:t>
            </w:r>
          </w:p>
        </w:tc>
        <w:tc>
          <w:tcPr>
            <w:tcW w:type="dxa" w:w="6336"/>
          </w:tcPr>
          <w:p>
            <w:pPr>
              <w:spacing w:after="0"/>
            </w:pPr>
            <w:r>
              <w:rPr>
                <w:sz w:val="19"/>
              </w:rPr>
              <w:t>80,000–100,000 hours</w:t>
            </w:r>
          </w:p>
        </w:tc>
      </w:tr>
    </w:tbl>
    <w:p/>
    <w:p>
      <w:pPr>
        <w:spacing w:after="80"/>
        <w:ind w:left="288"/>
      </w:pPr>
      <w:r>
        <w:rPr>
          <w:i/>
          <w:sz w:val="19"/>
        </w:rPr>
        <w:t>Checkerboard interleaving ensures every point on the scalp is within 4.2 mm (one diagonal step at 6 mm pitch) of both wavelengths, optimising dual-wavelength dose uniformity compared to row-segregated arrangements.</w:t>
      </w:r>
    </w:p>
    <w:p>
      <w:pPr>
        <w:spacing w:after="80"/>
        <w:ind w:left="288"/>
      </w:pPr>
      <w:r>
        <w:rPr>
          <w:i/>
          <w:color w:val="CC4400"/>
          <w:sz w:val="19"/>
        </w:rPr>
        <w:t>⚠ 660 nm and 808–830 nm emitter candidates must be identified and their rated pulse current confirmed at 120–180 mA before FPC layout is released. Primary candidates: Seoul Semiconductor and Osram. Backup: Luminus. OPEN ISSUE — see §13.4 of CLAUDE.md.</w:t>
      </w:r>
    </w:p>
    <w:p>
      <w:pPr>
        <w:spacing w:before="140"/>
      </w:pPr>
      <w:r>
        <w:rPr>
          <w:b/>
          <w:sz w:val="21"/>
        </w:rPr>
        <w:t>4.2  LED Package Specification</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19"/>
              </w:rPr>
              <w:t>Parameter</w:t>
            </w:r>
          </w:p>
        </w:tc>
        <w:tc>
          <w:tcPr>
            <w:tcW w:type="dxa" w:w="3168"/>
          </w:tcPr>
          <w:p>
            <w:pPr>
              <w:spacing w:after="0"/>
            </w:pPr>
            <w:r>
              <w:rPr>
                <w:b/>
                <w:sz w:val="19"/>
              </w:rPr>
              <w:t>660 nm LED</w:t>
            </w:r>
          </w:p>
        </w:tc>
        <w:tc>
          <w:tcPr>
            <w:tcW w:type="dxa" w:w="3600"/>
          </w:tcPr>
          <w:p>
            <w:pPr>
              <w:spacing w:after="0"/>
            </w:pPr>
            <w:r>
              <w:rPr>
                <w:b/>
                <w:sz w:val="19"/>
              </w:rPr>
              <w:t>808–830 nm LED</w:t>
            </w:r>
          </w:p>
        </w:tc>
      </w:tr>
      <w:tr>
        <w:tc>
          <w:tcPr>
            <w:tcW w:type="dxa" w:w="3600"/>
          </w:tcPr>
          <w:p>
            <w:pPr>
              <w:spacing w:after="0"/>
            </w:pPr>
            <w:r>
              <w:rPr>
                <w:sz w:val="19"/>
              </w:rPr>
              <w:t>Package (target)</w:t>
            </w:r>
          </w:p>
        </w:tc>
        <w:tc>
          <w:tcPr>
            <w:tcW w:type="dxa" w:w="3168"/>
          </w:tcPr>
          <w:p>
            <w:pPr>
              <w:spacing w:after="0"/>
            </w:pPr>
            <w:r>
              <w:rPr>
                <w:sz w:val="19"/>
              </w:rPr>
              <w:t>SMD 2835 or equivalent ceramic</w:t>
            </w:r>
          </w:p>
        </w:tc>
        <w:tc>
          <w:tcPr>
            <w:tcW w:type="dxa" w:w="3600"/>
          </w:tcPr>
          <w:p>
            <w:pPr>
              <w:spacing w:after="0"/>
            </w:pPr>
            <w:r>
              <w:rPr>
                <w:sz w:val="19"/>
              </w:rPr>
              <w:t>SMD 2835 or equivalent ceramic</w:t>
            </w:r>
          </w:p>
        </w:tc>
      </w:tr>
      <w:tr>
        <w:tc>
          <w:tcPr>
            <w:tcW w:type="dxa" w:w="3600"/>
          </w:tcPr>
          <w:p>
            <w:pPr>
              <w:spacing w:after="0"/>
            </w:pPr>
            <w:r>
              <w:rPr>
                <w:sz w:val="19"/>
              </w:rPr>
              <w:t>Footprint</w:t>
            </w:r>
          </w:p>
        </w:tc>
        <w:tc>
          <w:tcPr>
            <w:tcW w:type="dxa" w:w="3168"/>
          </w:tcPr>
          <w:p>
            <w:pPr>
              <w:spacing w:after="0"/>
            </w:pPr>
            <w:r>
              <w:rPr>
                <w:sz w:val="19"/>
              </w:rPr>
              <w:t>2.8 mm × 3.5 mm</w:t>
            </w:r>
          </w:p>
        </w:tc>
        <w:tc>
          <w:tcPr>
            <w:tcW w:type="dxa" w:w="3600"/>
          </w:tcPr>
          <w:p>
            <w:pPr>
              <w:spacing w:after="0"/>
            </w:pPr>
            <w:r>
              <w:rPr>
                <w:sz w:val="19"/>
              </w:rPr>
              <w:t>2.8 mm × 3.5 mm</w:t>
            </w:r>
          </w:p>
        </w:tc>
      </w:tr>
      <w:tr>
        <w:tc>
          <w:tcPr>
            <w:tcW w:type="dxa" w:w="3600"/>
          </w:tcPr>
          <w:p>
            <w:pPr>
              <w:spacing w:after="0"/>
            </w:pPr>
            <w:r>
              <w:rPr>
                <w:sz w:val="19"/>
              </w:rPr>
              <w:t>Typ. forward voltage (Vf) at 150 mA</w:t>
            </w:r>
          </w:p>
        </w:tc>
        <w:tc>
          <w:tcPr>
            <w:tcW w:type="dxa" w:w="3168"/>
          </w:tcPr>
          <w:p>
            <w:pPr>
              <w:spacing w:after="0"/>
            </w:pPr>
            <w:r>
              <w:rPr>
                <w:sz w:val="19"/>
              </w:rPr>
              <w:t>2.0–2.2 V</w:t>
            </w:r>
          </w:p>
        </w:tc>
        <w:tc>
          <w:tcPr>
            <w:tcW w:type="dxa" w:w="3600"/>
          </w:tcPr>
          <w:p>
            <w:pPr>
              <w:spacing w:after="0"/>
            </w:pPr>
            <w:r>
              <w:rPr>
                <w:sz w:val="19"/>
              </w:rPr>
              <w:t>1.6–1.8 V</w:t>
            </w:r>
          </w:p>
        </w:tc>
      </w:tr>
      <w:tr>
        <w:tc>
          <w:tcPr>
            <w:tcW w:type="dxa" w:w="3600"/>
          </w:tcPr>
          <w:p>
            <w:pPr>
              <w:spacing w:after="0"/>
            </w:pPr>
            <w:r>
              <w:rPr>
                <w:sz w:val="19"/>
              </w:rPr>
              <w:t>Max junction temperature</w:t>
            </w:r>
          </w:p>
        </w:tc>
        <w:tc>
          <w:tcPr>
            <w:tcW w:type="dxa" w:w="3168"/>
          </w:tcPr>
          <w:p>
            <w:pPr>
              <w:spacing w:after="0"/>
            </w:pPr>
            <w:r>
              <w:rPr>
                <w:sz w:val="19"/>
              </w:rPr>
              <w:t>125°C (derate current above 85°C)</w:t>
            </w:r>
          </w:p>
        </w:tc>
        <w:tc>
          <w:tcPr>
            <w:tcW w:type="dxa" w:w="3600"/>
          </w:tcPr>
          <w:p>
            <w:pPr>
              <w:spacing w:after="0"/>
            </w:pPr>
            <w:r>
              <w:rPr>
                <w:sz w:val="19"/>
              </w:rPr>
              <w:t>125°C (derate current above 85°C)</w:t>
            </w:r>
          </w:p>
        </w:tc>
      </w:tr>
      <w:tr>
        <w:tc>
          <w:tcPr>
            <w:tcW w:type="dxa" w:w="3600"/>
          </w:tcPr>
          <w:p>
            <w:pPr>
              <w:spacing w:after="0"/>
            </w:pPr>
            <w:r>
              <w:rPr>
                <w:sz w:val="19"/>
              </w:rPr>
              <w:t>Vf bin tolerance required</w:t>
            </w:r>
          </w:p>
        </w:tc>
        <w:tc>
          <w:tcPr>
            <w:tcW w:type="dxa" w:w="3168"/>
          </w:tcPr>
          <w:p>
            <w:pPr>
              <w:spacing w:after="0"/>
            </w:pPr>
            <w:r>
              <w:rPr>
                <w:sz w:val="19"/>
              </w:rPr>
              <w:t>±0.10 V maximum within a single order</w:t>
            </w:r>
          </w:p>
        </w:tc>
        <w:tc>
          <w:tcPr>
            <w:tcW w:type="dxa" w:w="3600"/>
          </w:tcPr>
          <w:p>
            <w:pPr>
              <w:spacing w:after="0"/>
            </w:pPr>
            <w:r>
              <w:rPr>
                <w:sz w:val="19"/>
              </w:rPr>
              <w:t>±0.10 V maximum within a single order</w:t>
            </w:r>
          </w:p>
        </w:tc>
      </w:tr>
      <w:tr>
        <w:tc>
          <w:tcPr>
            <w:tcW w:type="dxa" w:w="3600"/>
          </w:tcPr>
          <w:p>
            <w:pPr>
              <w:spacing w:after="0"/>
            </w:pPr>
            <w:r>
              <w:rPr>
                <w:sz w:val="19"/>
              </w:rPr>
              <w:t>Viewing angle (half-angle)</w:t>
            </w:r>
          </w:p>
        </w:tc>
        <w:tc>
          <w:tcPr>
            <w:tcW w:type="dxa" w:w="3168"/>
          </w:tcPr>
          <w:p>
            <w:pPr>
              <w:spacing w:after="0"/>
            </w:pPr>
            <w:r>
              <w:rPr>
                <w:sz w:val="19"/>
              </w:rPr>
              <w:t>≤60° preferred for scalp coupling</w:t>
            </w:r>
          </w:p>
        </w:tc>
        <w:tc>
          <w:tcPr>
            <w:tcW w:type="dxa" w:w="3600"/>
          </w:tcPr>
          <w:p>
            <w:pPr>
              <w:spacing w:after="0"/>
            </w:pPr>
            <w:r>
              <w:rPr>
                <w:sz w:val="19"/>
              </w:rPr>
              <w:t>≤60° preferred</w:t>
            </w:r>
          </w:p>
        </w:tc>
      </w:tr>
      <w:tr>
        <w:tc>
          <w:tcPr>
            <w:tcW w:type="dxa" w:w="3600"/>
          </w:tcPr>
          <w:p>
            <w:pPr>
              <w:spacing w:after="0"/>
            </w:pPr>
            <w:r>
              <w:rPr>
                <w:sz w:val="19"/>
              </w:rPr>
              <w:t>Thermal resistance θjc</w:t>
            </w:r>
          </w:p>
        </w:tc>
        <w:tc>
          <w:tcPr>
            <w:tcW w:type="dxa" w:w="3168"/>
          </w:tcPr>
          <w:p>
            <w:pPr>
              <w:spacing w:after="0"/>
            </w:pPr>
            <w:r>
              <w:rPr>
                <w:sz w:val="19"/>
              </w:rPr>
              <w:t>&lt; 15 °C/W target</w:t>
            </w:r>
          </w:p>
        </w:tc>
        <w:tc>
          <w:tcPr>
            <w:tcW w:type="dxa" w:w="3600"/>
          </w:tcPr>
          <w:p>
            <w:pPr>
              <w:spacing w:after="0"/>
            </w:pPr>
            <w:r>
              <w:rPr>
                <w:sz w:val="19"/>
              </w:rPr>
              <w:t>&lt; 15 °C/W target</w:t>
            </w:r>
          </w:p>
        </w:tc>
      </w:tr>
    </w:tbl>
    <w:p/>
    <w:p>
      <w:pPr>
        <w:spacing w:after="80"/>
        <w:ind w:left="288"/>
      </w:pPr>
      <w:r>
        <w:rPr>
          <w:i/>
          <w:color w:val="CC4400"/>
          <w:sz w:val="19"/>
        </w:rPr>
        <w:t>⚠ Vf bin tolerance of ±0.10 V must be specified on the purchase order. Wider bins (±0.20–0.30 V, typical for commodity parts) will cause current hogging in parallel strings even with per-string constant-current drivers, due to differences in the driver's compliance voltage. See RISK-08.</w:t>
      </w:r>
    </w:p>
    <w:p>
      <w:pPr>
        <w:spacing w:before="140"/>
      </w:pPr>
      <w:r>
        <w:rPr>
          <w:b/>
          <w:sz w:val="21"/>
        </w:rPr>
        <w:t>4.3  LED String Topology — Series-Parallel</w:t>
      </w:r>
    </w:p>
    <w:p>
      <w:pPr>
        <w:ind w:firstLine="288"/>
      </w:pPr>
      <w:r>
        <w:t>To minimise power dissipation in the LED drivers while maintaining a safe and manufacturable supply voltage, LEDs are wired in series-parallel strings. The zone module FPC connects to a 15 V regulated LED supply rail (VLED) on the Hub PCB.</w:t>
      </w:r>
    </w:p>
    <w:tbl>
      <w:tblPr>
        <w:tblStyle w:val="TableGrid"/>
        <w:tblW w:type="auto" w:w="0"/>
        <w:tblLook w:firstColumn="1" w:firstRow="1" w:lastColumn="0" w:lastRow="0" w:noHBand="0" w:noVBand="1" w:val="04A0"/>
      </w:tblPr>
      <w:tblGrid>
        <w:gridCol w:w="3120"/>
        <w:gridCol w:w="3120"/>
        <w:gridCol w:w="3120"/>
      </w:tblGrid>
      <w:tr>
        <w:tc>
          <w:tcPr>
            <w:tcW w:type="dxa" w:w="4608"/>
          </w:tcPr>
          <w:p>
            <w:pPr>
              <w:spacing w:after="0"/>
            </w:pPr>
            <w:r>
              <w:rPr>
                <w:b/>
                <w:sz w:val="19"/>
              </w:rPr>
              <w:t>Parameter</w:t>
            </w:r>
          </w:p>
        </w:tc>
        <w:tc>
          <w:tcPr>
            <w:tcW w:type="dxa" w:w="3024"/>
          </w:tcPr>
          <w:p>
            <w:pPr>
              <w:spacing w:after="0"/>
            </w:pPr>
            <w:r>
              <w:rPr>
                <w:b/>
                <w:sz w:val="19"/>
              </w:rPr>
              <w:t>660 nm</w:t>
            </w:r>
          </w:p>
        </w:tc>
        <w:tc>
          <w:tcPr>
            <w:tcW w:type="dxa" w:w="2736"/>
          </w:tcPr>
          <w:p>
            <w:pPr>
              <w:spacing w:after="0"/>
            </w:pPr>
            <w:r>
              <w:rPr>
                <w:b/>
                <w:sz w:val="19"/>
              </w:rPr>
              <w:t>808–830 nm</w:t>
            </w:r>
          </w:p>
        </w:tc>
      </w:tr>
      <w:tr>
        <w:tc>
          <w:tcPr>
            <w:tcW w:type="dxa" w:w="4608"/>
          </w:tcPr>
          <w:p>
            <w:pPr>
              <w:spacing w:after="0"/>
            </w:pPr>
            <w:r>
              <w:rPr>
                <w:sz w:val="19"/>
              </w:rPr>
              <w:t>Series LEDs per string</w:t>
            </w:r>
          </w:p>
        </w:tc>
        <w:tc>
          <w:tcPr>
            <w:tcW w:type="dxa" w:w="3024"/>
          </w:tcPr>
          <w:p>
            <w:pPr>
              <w:spacing w:after="0"/>
            </w:pPr>
            <w:r>
              <w:rPr>
                <w:sz w:val="19"/>
              </w:rPr>
              <w:t>6</w:t>
            </w:r>
          </w:p>
        </w:tc>
        <w:tc>
          <w:tcPr>
            <w:tcW w:type="dxa" w:w="2736"/>
          </w:tcPr>
          <w:p>
            <w:pPr>
              <w:spacing w:after="0"/>
            </w:pPr>
            <w:r>
              <w:rPr>
                <w:sz w:val="19"/>
              </w:rPr>
              <w:t>6</w:t>
            </w:r>
          </w:p>
        </w:tc>
      </w:tr>
      <w:tr>
        <w:tc>
          <w:tcPr>
            <w:tcW w:type="dxa" w:w="4608"/>
          </w:tcPr>
          <w:p>
            <w:pPr>
              <w:spacing w:after="0"/>
            </w:pPr>
            <w:r>
              <w:rPr>
                <w:sz w:val="19"/>
              </w:rPr>
              <w:t>String forward voltage at 150 mA</w:t>
            </w:r>
          </w:p>
        </w:tc>
        <w:tc>
          <w:tcPr>
            <w:tcW w:type="dxa" w:w="3024"/>
          </w:tcPr>
          <w:p>
            <w:pPr>
              <w:spacing w:after="0"/>
            </w:pPr>
            <w:r>
              <w:rPr>
                <w:sz w:val="19"/>
              </w:rPr>
              <w:t>12.0–13.2 V</w:t>
            </w:r>
          </w:p>
        </w:tc>
        <w:tc>
          <w:tcPr>
            <w:tcW w:type="dxa" w:w="2736"/>
          </w:tcPr>
          <w:p>
            <w:pPr>
              <w:spacing w:after="0"/>
            </w:pPr>
            <w:r>
              <w:rPr>
                <w:sz w:val="19"/>
              </w:rPr>
              <w:t>9.6–10.8 V</w:t>
            </w:r>
          </w:p>
        </w:tc>
      </w:tr>
      <w:tr>
        <w:tc>
          <w:tcPr>
            <w:tcW w:type="dxa" w:w="4608"/>
          </w:tcPr>
          <w:p>
            <w:pPr>
              <w:spacing w:after="0"/>
            </w:pPr>
            <w:r>
              <w:rPr>
                <w:sz w:val="19"/>
              </w:rPr>
              <w:t>Driver headroom at 15 V supply</w:t>
            </w:r>
          </w:p>
        </w:tc>
        <w:tc>
          <w:tcPr>
            <w:tcW w:type="dxa" w:w="3024"/>
          </w:tcPr>
          <w:p>
            <w:pPr>
              <w:spacing w:after="0"/>
            </w:pPr>
            <w:r>
              <w:rPr>
                <w:sz w:val="19"/>
              </w:rPr>
              <w:t>1.8–3.0 V (adequate)</w:t>
            </w:r>
          </w:p>
        </w:tc>
        <w:tc>
          <w:tcPr>
            <w:tcW w:type="dxa" w:w="2736"/>
          </w:tcPr>
          <w:p>
            <w:pPr>
              <w:spacing w:after="0"/>
            </w:pPr>
            <w:r>
              <w:rPr>
                <w:sz w:val="19"/>
              </w:rPr>
              <w:t>4.2–5.4 V (adequate; more dissipation)</w:t>
            </w:r>
          </w:p>
        </w:tc>
      </w:tr>
      <w:tr>
        <w:tc>
          <w:tcPr>
            <w:tcW w:type="dxa" w:w="4608"/>
          </w:tcPr>
          <w:p>
            <w:pPr>
              <w:spacing w:after="0"/>
            </w:pPr>
            <w:r>
              <w:rPr>
                <w:sz w:val="19"/>
              </w:rPr>
              <w:t>Number of strings per zone</w:t>
            </w:r>
          </w:p>
        </w:tc>
        <w:tc>
          <w:tcPr>
            <w:tcW w:type="dxa" w:w="3024"/>
          </w:tcPr>
          <w:p>
            <w:pPr>
              <w:spacing w:after="0"/>
            </w:pPr>
            <w:r>
              <w:rPr>
                <w:sz w:val="19"/>
              </w:rPr>
              <w:t>10</w:t>
            </w:r>
          </w:p>
        </w:tc>
        <w:tc>
          <w:tcPr>
            <w:tcW w:type="dxa" w:w="2736"/>
          </w:tcPr>
          <w:p>
            <w:pPr>
              <w:spacing w:after="0"/>
            </w:pPr>
            <w:r>
              <w:rPr>
                <w:sz w:val="19"/>
              </w:rPr>
              <w:t>10</w:t>
            </w:r>
          </w:p>
        </w:tc>
      </w:tr>
      <w:tr>
        <w:tc>
          <w:tcPr>
            <w:tcW w:type="dxa" w:w="4608"/>
          </w:tcPr>
          <w:p>
            <w:pPr>
              <w:spacing w:after="0"/>
            </w:pPr>
            <w:r>
              <w:rPr>
                <w:sz w:val="19"/>
              </w:rPr>
              <w:t>Total LEDs per zone per wavelength</w:t>
            </w:r>
          </w:p>
        </w:tc>
        <w:tc>
          <w:tcPr>
            <w:tcW w:type="dxa" w:w="3024"/>
          </w:tcPr>
          <w:p>
            <w:pPr>
              <w:spacing w:after="0"/>
            </w:pPr>
            <w:r>
              <w:rPr>
                <w:sz w:val="19"/>
              </w:rPr>
              <w:t>60</w:t>
            </w:r>
          </w:p>
        </w:tc>
        <w:tc>
          <w:tcPr>
            <w:tcW w:type="dxa" w:w="2736"/>
          </w:tcPr>
          <w:p>
            <w:pPr>
              <w:spacing w:after="0"/>
            </w:pPr>
            <w:r>
              <w:rPr>
                <w:sz w:val="19"/>
              </w:rPr>
              <w:t>60</w:t>
            </w:r>
          </w:p>
        </w:tc>
      </w:tr>
      <w:tr>
        <w:tc>
          <w:tcPr>
            <w:tcW w:type="dxa" w:w="4608"/>
          </w:tcPr>
          <w:p>
            <w:pPr>
              <w:spacing w:after="0"/>
            </w:pPr>
            <w:r>
              <w:rPr>
                <w:sz w:val="19"/>
              </w:rPr>
              <w:t>Nominal current per string</w:t>
            </w:r>
          </w:p>
        </w:tc>
        <w:tc>
          <w:tcPr>
            <w:tcW w:type="dxa" w:w="3024"/>
          </w:tcPr>
          <w:p>
            <w:pPr>
              <w:spacing w:after="0"/>
            </w:pPr>
            <w:r>
              <w:rPr>
                <w:sz w:val="19"/>
              </w:rPr>
              <w:t>150 mA</w:t>
            </w:r>
          </w:p>
        </w:tc>
        <w:tc>
          <w:tcPr>
            <w:tcW w:type="dxa" w:w="2736"/>
          </w:tcPr>
          <w:p>
            <w:pPr>
              <w:spacing w:after="0"/>
            </w:pPr>
            <w:r>
              <w:rPr>
                <w:sz w:val="19"/>
              </w:rPr>
              <w:t>150 mA</w:t>
            </w:r>
          </w:p>
        </w:tc>
      </w:tr>
      <w:tr>
        <w:tc>
          <w:tcPr>
            <w:tcW w:type="dxa" w:w="4608"/>
          </w:tcPr>
          <w:p>
            <w:pPr>
              <w:spacing w:after="0"/>
            </w:pPr>
            <w:r>
              <w:rPr>
                <w:sz w:val="19"/>
              </w:rPr>
              <w:t>Peak current per string (max)</w:t>
            </w:r>
          </w:p>
        </w:tc>
        <w:tc>
          <w:tcPr>
            <w:tcW w:type="dxa" w:w="3024"/>
          </w:tcPr>
          <w:p>
            <w:pPr>
              <w:spacing w:after="0"/>
            </w:pPr>
            <w:r>
              <w:rPr>
                <w:sz w:val="19"/>
              </w:rPr>
              <w:t>180 mA</w:t>
            </w:r>
          </w:p>
        </w:tc>
        <w:tc>
          <w:tcPr>
            <w:tcW w:type="dxa" w:w="2736"/>
          </w:tcPr>
          <w:p>
            <w:pPr>
              <w:spacing w:after="0"/>
            </w:pPr>
            <w:r>
              <w:rPr>
                <w:sz w:val="19"/>
              </w:rPr>
              <w:t>180 mA</w:t>
            </w:r>
          </w:p>
        </w:tc>
      </w:tr>
      <w:tr>
        <w:tc>
          <w:tcPr>
            <w:tcW w:type="dxa" w:w="4608"/>
          </w:tcPr>
          <w:p>
            <w:pPr>
              <w:spacing w:after="0"/>
            </w:pPr>
            <w:r>
              <w:rPr>
                <w:sz w:val="19"/>
              </w:rPr>
              <w:t>Total peak current per zone per wavelength</w:t>
            </w:r>
          </w:p>
        </w:tc>
        <w:tc>
          <w:tcPr>
            <w:tcW w:type="dxa" w:w="3024"/>
          </w:tcPr>
          <w:p>
            <w:pPr>
              <w:spacing w:after="0"/>
            </w:pPr>
            <w:r>
              <w:rPr>
                <w:sz w:val="19"/>
              </w:rPr>
              <w:t>1.8 A (10 × 180 mA)</w:t>
            </w:r>
          </w:p>
        </w:tc>
        <w:tc>
          <w:tcPr>
            <w:tcW w:type="dxa" w:w="2736"/>
          </w:tcPr>
          <w:p>
            <w:pPr>
              <w:spacing w:after="0"/>
            </w:pPr>
            <w:r>
              <w:rPr>
                <w:sz w:val="19"/>
              </w:rPr>
              <w:t>1.8 A</w:t>
            </w:r>
          </w:p>
        </w:tc>
      </w:tr>
      <w:tr>
        <w:tc>
          <w:tcPr>
            <w:tcW w:type="dxa" w:w="4608"/>
          </w:tcPr>
          <w:p>
            <w:pPr>
              <w:spacing w:after="0"/>
            </w:pPr>
            <w:r>
              <w:rPr>
                <w:sz w:val="19"/>
              </w:rPr>
              <w:t>Total peak current per zone (both wavelengths)</w:t>
            </w:r>
          </w:p>
        </w:tc>
        <w:tc>
          <w:tcPr>
            <w:tcW w:type="dxa" w:w="3024"/>
          </w:tcPr>
          <w:p>
            <w:pPr>
              <w:spacing w:after="0"/>
            </w:pPr>
            <w:r>
              <w:rPr>
                <w:sz w:val="19"/>
              </w:rPr>
              <w:t>3.6 A (simultaneous operation)</w:t>
            </w:r>
          </w:p>
        </w:tc>
        <w:tc>
          <w:tcPr>
            <w:tcW w:type="dxa" w:w="2736"/>
          </w:tcPr>
          <w:p>
            <w:pPr>
              <w:spacing w:after="0"/>
            </w:pPr>
            <w:r>
              <w:rPr>
                <w:sz w:val="19"/>
              </w:rPr>
              <w:t>—</w:t>
            </w:r>
          </w:p>
        </w:tc>
      </w:tr>
      <w:tr>
        <w:tc>
          <w:tcPr>
            <w:tcW w:type="dxa" w:w="4608"/>
          </w:tcPr>
          <w:p>
            <w:pPr>
              <w:spacing w:after="0"/>
            </w:pPr>
            <w:r>
              <w:rPr>
                <w:sz w:val="19"/>
              </w:rPr>
              <w:t>RMS current per zone at 25% duty cycle</w:t>
            </w:r>
          </w:p>
        </w:tc>
        <w:tc>
          <w:tcPr>
            <w:tcW w:type="dxa" w:w="3024"/>
          </w:tcPr>
          <w:p>
            <w:pPr>
              <w:spacing w:after="0"/>
            </w:pPr>
            <w:r>
              <w:rPr>
                <w:sz w:val="19"/>
              </w:rPr>
              <w:t>0.9 A per wavelength; 1.8 A total</w:t>
            </w:r>
          </w:p>
        </w:tc>
        <w:tc>
          <w:tcPr>
            <w:tcW w:type="dxa" w:w="2736"/>
          </w:tcPr>
          <w:p>
            <w:pPr>
              <w:spacing w:after="0"/>
            </w:pPr>
            <w:r>
              <w:rPr>
                <w:sz w:val="19"/>
              </w:rPr>
              <w:t>—</w:t>
            </w:r>
          </w:p>
        </w:tc>
      </w:tr>
      <w:tr>
        <w:tc>
          <w:tcPr>
            <w:tcW w:type="dxa" w:w="4608"/>
          </w:tcPr>
          <w:p>
            <w:pPr>
              <w:spacing w:after="0"/>
            </w:pPr>
            <w:r>
              <w:rPr>
                <w:sz w:val="19"/>
              </w:rPr>
              <w:t>Driver dissipation per string at 150 mA, 3 V headroom (808 nm worst-case)</w:t>
            </w:r>
          </w:p>
        </w:tc>
        <w:tc>
          <w:tcPr>
            <w:tcW w:type="dxa" w:w="3024"/>
          </w:tcPr>
          <w:p>
            <w:pPr>
              <w:spacing w:after="0"/>
            </w:pPr>
            <w:r>
              <w:rPr>
                <w:sz w:val="19"/>
              </w:rPr>
              <w:t>0.45 W</w:t>
            </w:r>
          </w:p>
        </w:tc>
        <w:tc>
          <w:tcPr>
            <w:tcW w:type="dxa" w:w="2736"/>
          </w:tcPr>
          <w:p>
            <w:pPr>
              <w:spacing w:after="0"/>
            </w:pPr>
            <w:r>
              <w:rPr>
                <w:sz w:val="19"/>
              </w:rPr>
              <w:t>0.675 W</w:t>
            </w:r>
          </w:p>
        </w:tc>
      </w:tr>
      <w:tr>
        <w:tc>
          <w:tcPr>
            <w:tcW w:type="dxa" w:w="4608"/>
          </w:tcPr>
          <w:p>
            <w:pPr>
              <w:spacing w:after="0"/>
            </w:pPr>
            <w:r>
              <w:rPr>
                <w:sz w:val="19"/>
              </w:rPr>
              <w:t>Total driver dissipation per zone (both wavelengths, nominal)</w:t>
            </w:r>
          </w:p>
        </w:tc>
        <w:tc>
          <w:tcPr>
            <w:tcW w:type="dxa" w:w="3024"/>
          </w:tcPr>
          <w:p>
            <w:pPr>
              <w:spacing w:after="0"/>
            </w:pPr>
            <w:r>
              <w:rPr>
                <w:sz w:val="19"/>
              </w:rPr>
              <w:t>~5.6 W at 25% duty</w:t>
            </w:r>
          </w:p>
        </w:tc>
        <w:tc>
          <w:tcPr>
            <w:tcW w:type="dxa" w:w="2736"/>
          </w:tcPr>
          <w:p>
            <w:pPr>
              <w:spacing w:after="0"/>
            </w:pPr>
            <w:r>
              <w:rPr>
                <w:sz w:val="19"/>
              </w:rPr>
              <w:t>—</w:t>
            </w:r>
          </w:p>
        </w:tc>
      </w:tr>
    </w:tbl>
    <w:p/>
    <w:p>
      <w:pPr>
        <w:spacing w:after="80"/>
        <w:ind w:left="288"/>
      </w:pPr>
      <w:r>
        <w:rPr>
          <w:i/>
          <w:color w:val="CC4400"/>
          <w:sz w:val="19"/>
        </w:rPr>
        <w:t>⚠ Total driver dissipation per zone (~5.6 W average at 25% duty) is a significant thermal load on the FPC. NTC-based current throttle firmware must be active. See thermal management requirements in Section 7.</w:t>
      </w:r>
    </w:p>
    <w:p>
      <w:pPr>
        <w:spacing w:before="140"/>
      </w:pPr>
      <w:r>
        <w:rPr>
          <w:b/>
          <w:sz w:val="21"/>
        </w:rPr>
        <w:t>4.4  Duty Cycle and Timing Enforcement</w:t>
      </w:r>
    </w:p>
    <w:p>
      <w:pPr>
        <w:pStyle w:val="ListBullet"/>
        <w:spacing w:after="40"/>
      </w:pPr>
      <w:r>
        <w:rPr>
          <w:sz w:val="21"/>
        </w:rPr>
        <w:t>Maximum duty cycle: 25% (firmware-enforced by Safety MCU, cannot be overridden by app)</w:t>
      </w:r>
    </w:p>
    <w:p>
      <w:pPr>
        <w:pStyle w:val="ListBullet"/>
        <w:spacing w:after="40"/>
      </w:pPr>
      <w:r>
        <w:rPr>
          <w:sz w:val="21"/>
        </w:rPr>
        <w:t>LED PWM carrier frequency: 1.0 kHz minimum, 10 kHz maximum. Must be specified before firmware implementation. See RISK-13 for EEG contamination constraint.</w:t>
      </w:r>
    </w:p>
    <w:p>
      <w:pPr>
        <w:pStyle w:val="ListBullet"/>
        <w:spacing w:after="40"/>
      </w:pPr>
      <w:r>
        <w:rPr>
          <w:sz w:val="21"/>
        </w:rPr>
        <w:t>LED on-time blanking window: EEG sampling must be gated off during LED switching transitions (rising and falling edges). Blanking duration: ≥50 µs each edge. Firmware must coordinate LED PWM phase with ADS1299 data-ready signal.</w:t>
      </w:r>
    </w:p>
    <w:p>
      <w:pPr>
        <w:pStyle w:val="ListBullet"/>
        <w:spacing w:after="40"/>
      </w:pPr>
      <w:r>
        <w:rPr>
          <w:sz w:val="21"/>
        </w:rPr>
        <w:t>All 5 zones may operate simultaneously at 25% duty cycle — power budget confirmed at 45 W charger level.</w:t>
      </w:r>
    </w:p>
    <w:p>
      <w:pPr>
        <w:pStyle w:val="ListBullet"/>
        <w:spacing w:after="40"/>
      </w:pPr>
      <w:r>
        <w:rPr>
          <w:sz w:val="21"/>
        </w:rPr>
        <w:t>400 mW/cm² peak pulsed specification is pending independent regulatory opinion (CLAUDE.md §13.1). LED driver current settings shall not be finalised until that opinion is received.</w:t>
      </w:r>
    </w:p>
    <w:p>
      <w:pPr>
        <w:spacing w:before="280" w:after="80"/>
      </w:pPr>
      <w:r>
        <w:rPr>
          <w:b/>
          <w:color w:val="003366"/>
          <w:sz w:val="26"/>
        </w:rPr>
        <w:t>5.  CONNECTOR SPECIFICATION</w:t>
      </w:r>
    </w:p>
    <w:p>
      <w:pPr>
        <w:spacing w:after="80"/>
        <w:ind w:left="288"/>
      </w:pPr>
      <w:r>
        <w:rPr>
          <w:b w:val="0"/>
          <w:i/>
          <w:color w:val="007733"/>
          <w:sz w:val="19"/>
        </w:rPr>
        <w:t>✓ RESOLVED (RISK-01 mitigated) — Connector family updated to Hirose FH34S-20S-0.5SH (0.5 mm pitch, back-flip lever ZIF, ≥1,000 insertion cycles) or JAE FF03 as backup. Molex SlimStack removed from all specifications. CLAUDE.md updated. Action remaining: pull full FH34S datasheet from hirose.com and confirm "endurance: 1,000 cycles" in test conditions table before BOM lock.</w:t>
      </w:r>
    </w:p>
    <w:p>
      <w:pPr>
        <w:spacing w:before="140"/>
      </w:pPr>
      <w:r>
        <w:rPr>
          <w:b/>
          <w:sz w:val="21"/>
        </w:rPr>
        <w:t>5.1  Recommended Connector — Hirose FH34S Series</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Manufacturer / Series</w:t>
            </w:r>
          </w:p>
        </w:tc>
        <w:tc>
          <w:tcPr>
            <w:tcW w:type="dxa" w:w="6768"/>
          </w:tcPr>
          <w:p>
            <w:pPr>
              <w:spacing w:after="0"/>
            </w:pPr>
            <w:r>
              <w:rPr>
                <w:sz w:val="19"/>
              </w:rPr>
              <w:t>Hirose Electric — FH34S series</w:t>
            </w:r>
          </w:p>
        </w:tc>
      </w:tr>
      <w:tr>
        <w:tc>
          <w:tcPr>
            <w:tcW w:type="dxa" w:w="3600"/>
          </w:tcPr>
          <w:p>
            <w:pPr>
              <w:spacing w:after="0"/>
            </w:pPr>
            <w:r>
              <w:rPr>
                <w:sz w:val="19"/>
              </w:rPr>
              <w:t>Representative part number</w:t>
            </w:r>
          </w:p>
        </w:tc>
        <w:tc>
          <w:tcPr>
            <w:tcW w:type="dxa" w:w="6768"/>
          </w:tcPr>
          <w:p>
            <w:pPr>
              <w:spacing w:after="0"/>
            </w:pPr>
            <w:r>
              <w:rPr>
                <w:sz w:val="19"/>
              </w:rPr>
              <w:t>FH34S-20S-0.5SH(50) — 20-position, 0.5 mm pitch, SMT, top-contact ZIF</w:t>
            </w:r>
          </w:p>
        </w:tc>
      </w:tr>
      <w:tr>
        <w:tc>
          <w:tcPr>
            <w:tcW w:type="dxa" w:w="3600"/>
          </w:tcPr>
          <w:p>
            <w:pPr>
              <w:spacing w:after="0"/>
            </w:pPr>
            <w:r>
              <w:rPr>
                <w:sz w:val="19"/>
              </w:rPr>
              <w:t>Pitch</w:t>
            </w:r>
          </w:p>
        </w:tc>
        <w:tc>
          <w:tcPr>
            <w:tcW w:type="dxa" w:w="6768"/>
          </w:tcPr>
          <w:p>
            <w:pPr>
              <w:spacing w:after="0"/>
            </w:pPr>
            <w:r>
              <w:rPr>
                <w:sz w:val="19"/>
              </w:rPr>
              <w:t>0.5 mm</w:t>
            </w:r>
          </w:p>
        </w:tc>
      </w:tr>
      <w:tr>
        <w:tc>
          <w:tcPr>
            <w:tcW w:type="dxa" w:w="3600"/>
          </w:tcPr>
          <w:p>
            <w:pPr>
              <w:spacing w:after="0"/>
            </w:pPr>
            <w:r>
              <w:rPr>
                <w:sz w:val="19"/>
              </w:rPr>
              <w:t>Position count</w:t>
            </w:r>
          </w:p>
        </w:tc>
        <w:tc>
          <w:tcPr>
            <w:tcW w:type="dxa" w:w="6768"/>
          </w:tcPr>
          <w:p>
            <w:pPr>
              <w:spacing w:after="0"/>
            </w:pPr>
            <w:r>
              <w:rPr>
                <w:sz w:val="19"/>
              </w:rPr>
              <w:t>20 (accommodates 18 required signals + 2 spare/GND)</w:t>
            </w:r>
          </w:p>
        </w:tc>
      </w:tr>
      <w:tr>
        <w:tc>
          <w:tcPr>
            <w:tcW w:type="dxa" w:w="3600"/>
          </w:tcPr>
          <w:p>
            <w:pPr>
              <w:spacing w:after="0"/>
            </w:pPr>
            <w:r>
              <w:rPr>
                <w:sz w:val="19"/>
              </w:rPr>
              <w:t>Actuation</w:t>
            </w:r>
          </w:p>
        </w:tc>
        <w:tc>
          <w:tcPr>
            <w:tcW w:type="dxa" w:w="6768"/>
          </w:tcPr>
          <w:p>
            <w:pPr>
              <w:spacing w:after="0"/>
            </w:pPr>
            <w:r>
              <w:rPr>
                <w:sz w:val="19"/>
              </w:rPr>
              <w:t>Back-flip ZIF lever — zero insertion force, tool-free extraction</w:t>
            </w:r>
          </w:p>
        </w:tc>
      </w:tr>
      <w:tr>
        <w:tc>
          <w:tcPr>
            <w:tcW w:type="dxa" w:w="3600"/>
          </w:tcPr>
          <w:p>
            <w:pPr>
              <w:spacing w:after="0"/>
            </w:pPr>
            <w:r>
              <w:rPr>
                <w:sz w:val="19"/>
              </w:rPr>
              <w:t>Mated height</w:t>
            </w:r>
          </w:p>
        </w:tc>
        <w:tc>
          <w:tcPr>
            <w:tcW w:type="dxa" w:w="6768"/>
          </w:tcPr>
          <w:p>
            <w:pPr>
              <w:spacing w:after="0"/>
            </w:pPr>
            <w:r>
              <w:rPr>
                <w:sz w:val="19"/>
              </w:rPr>
              <w:t>1.0 mm</w:t>
            </w:r>
          </w:p>
        </w:tc>
      </w:tr>
      <w:tr>
        <w:tc>
          <w:tcPr>
            <w:tcW w:type="dxa" w:w="3600"/>
          </w:tcPr>
          <w:p>
            <w:pPr>
              <w:spacing w:after="0"/>
            </w:pPr>
            <w:r>
              <w:rPr>
                <w:sz w:val="19"/>
              </w:rPr>
              <w:t>Rated insertion cycles</w:t>
            </w:r>
          </w:p>
        </w:tc>
        <w:tc>
          <w:tcPr>
            <w:tcW w:type="dxa" w:w="6768"/>
          </w:tcPr>
          <w:p>
            <w:pPr>
              <w:spacing w:after="0"/>
            </w:pPr>
            <w:r>
              <w:rPr>
                <w:sz w:val="19"/>
              </w:rPr>
              <w:t>≥1,000 (confirm from full FH34S datasheet at hirose.com before release)</w:t>
            </w:r>
          </w:p>
        </w:tc>
      </w:tr>
      <w:tr>
        <w:tc>
          <w:tcPr>
            <w:tcW w:type="dxa" w:w="3600"/>
          </w:tcPr>
          <w:p>
            <w:pPr>
              <w:spacing w:after="0"/>
            </w:pPr>
            <w:r>
              <w:rPr>
                <w:sz w:val="19"/>
              </w:rPr>
              <w:t>Current rating per contact</w:t>
            </w:r>
          </w:p>
        </w:tc>
        <w:tc>
          <w:tcPr>
            <w:tcW w:type="dxa" w:w="6768"/>
          </w:tcPr>
          <w:p>
            <w:pPr>
              <w:spacing w:after="0"/>
            </w:pPr>
            <w:r>
              <w:rPr>
                <w:sz w:val="19"/>
              </w:rPr>
              <w:t>0.5 A (sufficient; max per-pin current in this design = 0.36 A — see pinout)</w:t>
            </w:r>
          </w:p>
        </w:tc>
      </w:tr>
      <w:tr>
        <w:tc>
          <w:tcPr>
            <w:tcW w:type="dxa" w:w="3600"/>
          </w:tcPr>
          <w:p>
            <w:pPr>
              <w:spacing w:after="0"/>
            </w:pPr>
            <w:r>
              <w:rPr>
                <w:sz w:val="19"/>
              </w:rPr>
              <w:t>Operating temperature</w:t>
            </w:r>
          </w:p>
        </w:tc>
        <w:tc>
          <w:tcPr>
            <w:tcW w:type="dxa" w:w="6768"/>
          </w:tcPr>
          <w:p>
            <w:pPr>
              <w:spacing w:after="0"/>
            </w:pPr>
            <w:r>
              <w:rPr>
                <w:sz w:val="19"/>
              </w:rPr>
              <w:t>−40°C to +85°C</w:t>
            </w:r>
          </w:p>
        </w:tc>
      </w:tr>
      <w:tr>
        <w:tc>
          <w:tcPr>
            <w:tcW w:type="dxa" w:w="3600"/>
          </w:tcPr>
          <w:p>
            <w:pPr>
              <w:spacing w:after="0"/>
            </w:pPr>
            <w:r>
              <w:rPr>
                <w:sz w:val="19"/>
              </w:rPr>
              <w:t>Mounting</w:t>
            </w:r>
          </w:p>
        </w:tc>
        <w:tc>
          <w:tcPr>
            <w:tcW w:type="dxa" w:w="6768"/>
          </w:tcPr>
          <w:p>
            <w:pPr>
              <w:spacing w:after="0"/>
            </w:pPr>
            <w:r>
              <w:rPr>
                <w:sz w:val="19"/>
              </w:rPr>
              <w:t>SMT on Hub PCB; mates to FPC tail on zone module</w:t>
            </w:r>
          </w:p>
        </w:tc>
      </w:tr>
      <w:tr>
        <w:tc>
          <w:tcPr>
            <w:tcW w:type="dxa" w:w="3600"/>
          </w:tcPr>
          <w:p>
            <w:pPr>
              <w:spacing w:after="0"/>
            </w:pPr>
            <w:r>
              <w:rPr>
                <w:sz w:val="19"/>
              </w:rPr>
              <w:t>Backup / alternate</w:t>
            </w:r>
          </w:p>
        </w:tc>
        <w:tc>
          <w:tcPr>
            <w:tcW w:type="dxa" w:w="6768"/>
          </w:tcPr>
          <w:p>
            <w:pPr>
              <w:spacing w:after="0"/>
            </w:pPr>
            <w:r>
              <w:rPr>
                <w:sz w:val="19"/>
              </w:rPr>
              <w:t>JAE FF03 series (0.5 mm pitch, one-action mating, high-cycle)</w:t>
            </w:r>
          </w:p>
        </w:tc>
      </w:tr>
    </w:tbl>
    <w:p/>
    <w:p>
      <w:pPr>
        <w:spacing w:after="80"/>
        <w:ind w:left="288"/>
      </w:pPr>
      <w:r>
        <w:rPr>
          <w:i/>
          <w:sz w:val="19"/>
        </w:rPr>
        <w:t>The zone module FPC terminates in a bare FPC tail (no connector body on the module side). The ZIF connector body is on the Hub PCB. This reduces zone module cost and weight, and avoids the risk of connector body damage during user insertion.</w:t>
      </w:r>
    </w:p>
    <w:p>
      <w:pPr>
        <w:spacing w:before="140"/>
      </w:pPr>
      <w:r>
        <w:rPr>
          <w:b/>
          <w:sz w:val="21"/>
        </w:rPr>
        <w:t>5.2  Pinout — 20-Position Zone Module Connector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tcPr>
          <w:p>
            <w:pPr>
              <w:spacing w:after="0"/>
            </w:pPr>
            <w:r>
              <w:rPr>
                <w:b/>
                <w:sz w:val="19"/>
              </w:rPr>
              <w:t>Pin</w:t>
            </w:r>
          </w:p>
        </w:tc>
        <w:tc>
          <w:tcPr>
            <w:tcW w:type="dxa" w:w="1728"/>
          </w:tcPr>
          <w:p>
            <w:pPr>
              <w:spacing w:after="0"/>
            </w:pPr>
            <w:r>
              <w:rPr>
                <w:b/>
                <w:sz w:val="19"/>
              </w:rPr>
              <w:t>Signal</w:t>
            </w:r>
          </w:p>
        </w:tc>
        <w:tc>
          <w:tcPr>
            <w:tcW w:type="dxa" w:w="1584"/>
          </w:tcPr>
          <w:p>
            <w:pPr>
              <w:spacing w:after="0"/>
            </w:pPr>
            <w:r>
              <w:rPr>
                <w:b/>
                <w:sz w:val="19"/>
              </w:rPr>
              <w:t>Direction</w:t>
            </w:r>
          </w:p>
        </w:tc>
        <w:tc>
          <w:tcPr>
            <w:tcW w:type="dxa" w:w="1296"/>
          </w:tcPr>
          <w:p>
            <w:pPr>
              <w:spacing w:after="0"/>
            </w:pPr>
            <w:r>
              <w:rPr>
                <w:b/>
                <w:sz w:val="19"/>
              </w:rPr>
              <w:t>Current (peak)</w:t>
            </w:r>
          </w:p>
        </w:tc>
        <w:tc>
          <w:tcPr>
            <w:tcW w:type="dxa" w:w="5184"/>
          </w:tcPr>
          <w:p>
            <w:pPr>
              <w:spacing w:after="0"/>
            </w:pPr>
            <w:r>
              <w:rPr>
                <w:b/>
                <w:sz w:val="19"/>
              </w:rPr>
              <w:t>Notes</w:t>
            </w:r>
          </w:p>
        </w:tc>
      </w:tr>
      <w:tr>
        <w:tc>
          <w:tcPr>
            <w:tcW w:type="dxa" w:w="576"/>
          </w:tcPr>
          <w:p>
            <w:pPr>
              <w:spacing w:after="0"/>
            </w:pPr>
            <w:r>
              <w:rPr>
                <w:sz w:val="19"/>
              </w:rPr>
              <w:t>1</w:t>
            </w:r>
          </w:p>
        </w:tc>
        <w:tc>
          <w:tcPr>
            <w:tcW w:type="dxa" w:w="1728"/>
          </w:tcPr>
          <w:p>
            <w:pPr>
              <w:spacing w:after="0"/>
            </w:pPr>
            <w:r>
              <w:rPr>
                <w:sz w:val="19"/>
              </w:rPr>
              <w:t>VLED_660_A</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660 nm supply, bus A (pins 1+2 parallel = 0.72 A)</w:t>
            </w:r>
          </w:p>
        </w:tc>
      </w:tr>
      <w:tr>
        <w:tc>
          <w:tcPr>
            <w:tcW w:type="dxa" w:w="576"/>
          </w:tcPr>
          <w:p>
            <w:pPr>
              <w:spacing w:after="0"/>
            </w:pPr>
            <w:r>
              <w:rPr>
                <w:sz w:val="19"/>
              </w:rPr>
              <w:t>2</w:t>
            </w:r>
          </w:p>
        </w:tc>
        <w:tc>
          <w:tcPr>
            <w:tcW w:type="dxa" w:w="1728"/>
          </w:tcPr>
          <w:p>
            <w:pPr>
              <w:spacing w:after="0"/>
            </w:pPr>
            <w:r>
              <w:rPr>
                <w:sz w:val="19"/>
              </w:rPr>
              <w:t>VLED_660_B</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660 nm supply, bus B — parallel with pin 1</w:t>
            </w:r>
          </w:p>
        </w:tc>
      </w:tr>
      <w:tr>
        <w:tc>
          <w:tcPr>
            <w:tcW w:type="dxa" w:w="576"/>
          </w:tcPr>
          <w:p>
            <w:pPr>
              <w:spacing w:after="0"/>
            </w:pPr>
            <w:r>
              <w:rPr>
                <w:sz w:val="19"/>
              </w:rPr>
              <w:t>3</w:t>
            </w:r>
          </w:p>
        </w:tc>
        <w:tc>
          <w:tcPr>
            <w:tcW w:type="dxa" w:w="1728"/>
          </w:tcPr>
          <w:p>
            <w:pPr>
              <w:spacing w:after="0"/>
            </w:pPr>
            <w:r>
              <w:rPr>
                <w:sz w:val="19"/>
              </w:rPr>
              <w:t>GND_660_A</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660 nm return, bus A</w:t>
            </w:r>
          </w:p>
        </w:tc>
      </w:tr>
      <w:tr>
        <w:tc>
          <w:tcPr>
            <w:tcW w:type="dxa" w:w="576"/>
          </w:tcPr>
          <w:p>
            <w:pPr>
              <w:spacing w:after="0"/>
            </w:pPr>
            <w:r>
              <w:rPr>
                <w:sz w:val="19"/>
              </w:rPr>
              <w:t>4</w:t>
            </w:r>
          </w:p>
        </w:tc>
        <w:tc>
          <w:tcPr>
            <w:tcW w:type="dxa" w:w="1728"/>
          </w:tcPr>
          <w:p>
            <w:pPr>
              <w:spacing w:after="0"/>
            </w:pPr>
            <w:r>
              <w:rPr>
                <w:sz w:val="19"/>
              </w:rPr>
              <w:t>GND_660_B</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660 nm return, bus B — parallel with pin 3</w:t>
            </w:r>
          </w:p>
        </w:tc>
      </w:tr>
      <w:tr>
        <w:tc>
          <w:tcPr>
            <w:tcW w:type="dxa" w:w="576"/>
          </w:tcPr>
          <w:p>
            <w:pPr>
              <w:spacing w:after="0"/>
            </w:pPr>
            <w:r>
              <w:rPr>
                <w:sz w:val="19"/>
              </w:rPr>
              <w:t>5</w:t>
            </w:r>
          </w:p>
        </w:tc>
        <w:tc>
          <w:tcPr>
            <w:tcW w:type="dxa" w:w="1728"/>
          </w:tcPr>
          <w:p>
            <w:pPr>
              <w:spacing w:after="0"/>
            </w:pPr>
            <w:r>
              <w:rPr>
                <w:sz w:val="19"/>
              </w:rPr>
              <w:t>VLED_808_A</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808–830 nm supply, bus A</w:t>
            </w:r>
          </w:p>
        </w:tc>
      </w:tr>
      <w:tr>
        <w:tc>
          <w:tcPr>
            <w:tcW w:type="dxa" w:w="576"/>
          </w:tcPr>
          <w:p>
            <w:pPr>
              <w:spacing w:after="0"/>
            </w:pPr>
            <w:r>
              <w:rPr>
                <w:sz w:val="19"/>
              </w:rPr>
              <w:t>6</w:t>
            </w:r>
          </w:p>
        </w:tc>
        <w:tc>
          <w:tcPr>
            <w:tcW w:type="dxa" w:w="1728"/>
          </w:tcPr>
          <w:p>
            <w:pPr>
              <w:spacing w:after="0"/>
            </w:pPr>
            <w:r>
              <w:rPr>
                <w:sz w:val="19"/>
              </w:rPr>
              <w:t>VLED_808_B</w:t>
            </w:r>
          </w:p>
        </w:tc>
        <w:tc>
          <w:tcPr>
            <w:tcW w:type="dxa" w:w="1584"/>
          </w:tcPr>
          <w:p>
            <w:pPr>
              <w:spacing w:after="0"/>
            </w:pPr>
            <w:r>
              <w:rPr>
                <w:sz w:val="19"/>
              </w:rPr>
              <w:t>Hub → ZM</w:t>
            </w:r>
          </w:p>
        </w:tc>
        <w:tc>
          <w:tcPr>
            <w:tcW w:type="dxa" w:w="1296"/>
          </w:tcPr>
          <w:p>
            <w:pPr>
              <w:spacing w:after="0"/>
            </w:pPr>
            <w:r>
              <w:rPr>
                <w:sz w:val="19"/>
              </w:rPr>
              <w:t>0.36 A</w:t>
            </w:r>
          </w:p>
        </w:tc>
        <w:tc>
          <w:tcPr>
            <w:tcW w:type="dxa" w:w="5184"/>
          </w:tcPr>
          <w:p>
            <w:pPr>
              <w:spacing w:after="0"/>
            </w:pPr>
            <w:r>
              <w:rPr>
                <w:sz w:val="19"/>
              </w:rPr>
              <w:t>808–830 nm supply, bus B</w:t>
            </w:r>
          </w:p>
        </w:tc>
      </w:tr>
      <w:tr>
        <w:tc>
          <w:tcPr>
            <w:tcW w:type="dxa" w:w="576"/>
          </w:tcPr>
          <w:p>
            <w:pPr>
              <w:spacing w:after="0"/>
            </w:pPr>
            <w:r>
              <w:rPr>
                <w:sz w:val="19"/>
              </w:rPr>
              <w:t>7</w:t>
            </w:r>
          </w:p>
        </w:tc>
        <w:tc>
          <w:tcPr>
            <w:tcW w:type="dxa" w:w="1728"/>
          </w:tcPr>
          <w:p>
            <w:pPr>
              <w:spacing w:after="0"/>
            </w:pPr>
            <w:r>
              <w:rPr>
                <w:sz w:val="19"/>
              </w:rPr>
              <w:t>GND_808_A</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808–830 nm return, bus A</w:t>
            </w:r>
          </w:p>
        </w:tc>
      </w:tr>
      <w:tr>
        <w:tc>
          <w:tcPr>
            <w:tcW w:type="dxa" w:w="576"/>
          </w:tcPr>
          <w:p>
            <w:pPr>
              <w:spacing w:after="0"/>
            </w:pPr>
            <w:r>
              <w:rPr>
                <w:sz w:val="19"/>
              </w:rPr>
              <w:t>8</w:t>
            </w:r>
          </w:p>
        </w:tc>
        <w:tc>
          <w:tcPr>
            <w:tcW w:type="dxa" w:w="1728"/>
          </w:tcPr>
          <w:p>
            <w:pPr>
              <w:spacing w:after="0"/>
            </w:pPr>
            <w:r>
              <w:rPr>
                <w:sz w:val="19"/>
              </w:rPr>
              <w:t>GND_808_B</w:t>
            </w:r>
          </w:p>
        </w:tc>
        <w:tc>
          <w:tcPr>
            <w:tcW w:type="dxa" w:w="1584"/>
          </w:tcPr>
          <w:p>
            <w:pPr>
              <w:spacing w:after="0"/>
            </w:pPr>
            <w:r>
              <w:rPr>
                <w:sz w:val="19"/>
              </w:rPr>
              <w:t>ZM → Hub</w:t>
            </w:r>
          </w:p>
        </w:tc>
        <w:tc>
          <w:tcPr>
            <w:tcW w:type="dxa" w:w="1296"/>
          </w:tcPr>
          <w:p>
            <w:pPr>
              <w:spacing w:after="0"/>
            </w:pPr>
            <w:r>
              <w:rPr>
                <w:sz w:val="19"/>
              </w:rPr>
              <w:t>0.36 A</w:t>
            </w:r>
          </w:p>
        </w:tc>
        <w:tc>
          <w:tcPr>
            <w:tcW w:type="dxa" w:w="5184"/>
          </w:tcPr>
          <w:p>
            <w:pPr>
              <w:spacing w:after="0"/>
            </w:pPr>
            <w:r>
              <w:rPr>
                <w:sz w:val="19"/>
              </w:rPr>
              <w:t>808–830 nm return, bus B</w:t>
            </w:r>
          </w:p>
        </w:tc>
      </w:tr>
      <w:tr>
        <w:tc>
          <w:tcPr>
            <w:tcW w:type="dxa" w:w="576"/>
          </w:tcPr>
          <w:p>
            <w:pPr>
              <w:spacing w:after="0"/>
            </w:pPr>
            <w:r>
              <w:rPr>
                <w:sz w:val="19"/>
              </w:rPr>
              <w:t>9</w:t>
            </w:r>
          </w:p>
        </w:tc>
        <w:tc>
          <w:tcPr>
            <w:tcW w:type="dxa" w:w="1728"/>
          </w:tcPr>
          <w:p>
            <w:pPr>
              <w:spacing w:after="0"/>
            </w:pPr>
            <w:r>
              <w:rPr>
                <w:sz w:val="19"/>
              </w:rPr>
              <w:t>PWM_660</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PWM drive signal to 660 nm LED driver ICs</w:t>
            </w:r>
          </w:p>
        </w:tc>
      </w:tr>
      <w:tr>
        <w:tc>
          <w:tcPr>
            <w:tcW w:type="dxa" w:w="576"/>
          </w:tcPr>
          <w:p>
            <w:pPr>
              <w:spacing w:after="0"/>
            </w:pPr>
            <w:r>
              <w:rPr>
                <w:sz w:val="19"/>
              </w:rPr>
              <w:t>10</w:t>
            </w:r>
          </w:p>
        </w:tc>
        <w:tc>
          <w:tcPr>
            <w:tcW w:type="dxa" w:w="1728"/>
          </w:tcPr>
          <w:p>
            <w:pPr>
              <w:spacing w:after="0"/>
            </w:pPr>
            <w:r>
              <w:rPr>
                <w:sz w:val="19"/>
              </w:rPr>
              <w:t>PWM_808</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PWM drive signal to 808 nm LED driver ICs</w:t>
            </w:r>
          </w:p>
        </w:tc>
      </w:tr>
      <w:tr>
        <w:tc>
          <w:tcPr>
            <w:tcW w:type="dxa" w:w="576"/>
          </w:tcPr>
          <w:p>
            <w:pPr>
              <w:spacing w:after="0"/>
            </w:pPr>
            <w:r>
              <w:rPr>
                <w:sz w:val="19"/>
              </w:rPr>
              <w:t>11</w:t>
            </w:r>
          </w:p>
        </w:tc>
        <w:tc>
          <w:tcPr>
            <w:tcW w:type="dxa" w:w="1728"/>
          </w:tcPr>
          <w:p>
            <w:pPr>
              <w:spacing w:after="0"/>
            </w:pPr>
            <w:r>
              <w:rPr>
                <w:sz w:val="19"/>
              </w:rPr>
              <w:t>ENABLE</w:t>
            </w:r>
          </w:p>
        </w:tc>
        <w:tc>
          <w:tcPr>
            <w:tcW w:type="dxa" w:w="1584"/>
          </w:tcPr>
          <w:p>
            <w:pPr>
              <w:spacing w:after="0"/>
            </w:pPr>
            <w:r>
              <w:rPr>
                <w:sz w:val="19"/>
              </w:rPr>
              <w:t>SafeMCU → ZM</w:t>
            </w:r>
          </w:p>
        </w:tc>
        <w:tc>
          <w:tcPr>
            <w:tcW w:type="dxa" w:w="1296"/>
          </w:tcPr>
          <w:p>
            <w:pPr>
              <w:spacing w:after="0"/>
            </w:pPr>
            <w:r>
              <w:rPr>
                <w:sz w:val="19"/>
              </w:rPr>
              <w:t>Signal</w:t>
            </w:r>
          </w:p>
        </w:tc>
        <w:tc>
          <w:tcPr>
            <w:tcW w:type="dxa" w:w="5184"/>
          </w:tcPr>
          <w:p>
            <w:pPr>
              <w:spacing w:after="0"/>
            </w:pPr>
            <w:r>
              <w:rPr>
                <w:sz w:val="19"/>
              </w:rPr>
              <w:t>Active-high zone enable from STM32G071. Low = all LEDs off.</w:t>
            </w:r>
          </w:p>
        </w:tc>
      </w:tr>
      <w:tr>
        <w:tc>
          <w:tcPr>
            <w:tcW w:type="dxa" w:w="576"/>
          </w:tcPr>
          <w:p>
            <w:pPr>
              <w:spacing w:after="0"/>
            </w:pPr>
            <w:r>
              <w:rPr>
                <w:sz w:val="19"/>
              </w:rPr>
              <w:t>12</w:t>
            </w:r>
          </w:p>
        </w:tc>
        <w:tc>
          <w:tcPr>
            <w:tcW w:type="dxa" w:w="1728"/>
          </w:tcPr>
          <w:p>
            <w:pPr>
              <w:spacing w:after="0"/>
            </w:pPr>
            <w:r>
              <w:rPr>
                <w:sz w:val="19"/>
              </w:rPr>
              <w:t>FAULT</w:t>
            </w:r>
          </w:p>
        </w:tc>
        <w:tc>
          <w:tcPr>
            <w:tcW w:type="dxa" w:w="1584"/>
          </w:tcPr>
          <w:p>
            <w:pPr>
              <w:spacing w:after="0"/>
            </w:pPr>
            <w:r>
              <w:rPr>
                <w:sz w:val="19"/>
              </w:rPr>
              <w:t>ZM → SafeMCU</w:t>
            </w:r>
          </w:p>
        </w:tc>
        <w:tc>
          <w:tcPr>
            <w:tcW w:type="dxa" w:w="1296"/>
          </w:tcPr>
          <w:p>
            <w:pPr>
              <w:spacing w:after="0"/>
            </w:pPr>
            <w:r>
              <w:rPr>
                <w:sz w:val="19"/>
              </w:rPr>
              <w:t>Signal</w:t>
            </w:r>
          </w:p>
        </w:tc>
        <w:tc>
          <w:tcPr>
            <w:tcW w:type="dxa" w:w="5184"/>
          </w:tcPr>
          <w:p>
            <w:pPr>
              <w:spacing w:after="0"/>
            </w:pPr>
            <w:r>
              <w:rPr>
                <w:sz w:val="19"/>
              </w:rPr>
              <w:t>Open-drain active-low fault. Pulled high on Hub. Asserted on NTC over-temp or driver fault.</w:t>
            </w:r>
          </w:p>
        </w:tc>
      </w:tr>
      <w:tr>
        <w:tc>
          <w:tcPr>
            <w:tcW w:type="dxa" w:w="576"/>
          </w:tcPr>
          <w:p>
            <w:pPr>
              <w:spacing w:after="0"/>
            </w:pPr>
            <w:r>
              <w:rPr>
                <w:sz w:val="19"/>
              </w:rPr>
              <w:t>13</w:t>
            </w:r>
          </w:p>
        </w:tc>
        <w:tc>
          <w:tcPr>
            <w:tcW w:type="dxa" w:w="1728"/>
          </w:tcPr>
          <w:p>
            <w:pPr>
              <w:spacing w:after="0"/>
            </w:pPr>
            <w:r>
              <w:rPr>
                <w:sz w:val="19"/>
              </w:rPr>
              <w:t>NTC+</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NTC thermistor excitation (constant current source on Hub)</w:t>
            </w:r>
          </w:p>
        </w:tc>
      </w:tr>
      <w:tr>
        <w:tc>
          <w:tcPr>
            <w:tcW w:type="dxa" w:w="576"/>
          </w:tcPr>
          <w:p>
            <w:pPr>
              <w:spacing w:after="0"/>
            </w:pPr>
            <w:r>
              <w:rPr>
                <w:sz w:val="19"/>
              </w:rPr>
              <w:t>14</w:t>
            </w:r>
          </w:p>
        </w:tc>
        <w:tc>
          <w:tcPr>
            <w:tcW w:type="dxa" w:w="1728"/>
          </w:tcPr>
          <w:p>
            <w:pPr>
              <w:spacing w:after="0"/>
            </w:pPr>
            <w:r>
              <w:rPr>
                <w:sz w:val="19"/>
              </w:rPr>
              <w:t>NTC−</w:t>
            </w:r>
          </w:p>
        </w:tc>
        <w:tc>
          <w:tcPr>
            <w:tcW w:type="dxa" w:w="1584"/>
          </w:tcPr>
          <w:p>
            <w:pPr>
              <w:spacing w:after="0"/>
            </w:pPr>
            <w:r>
              <w:rPr>
                <w:sz w:val="19"/>
              </w:rPr>
              <w:t>ZM → Hub</w:t>
            </w:r>
          </w:p>
        </w:tc>
        <w:tc>
          <w:tcPr>
            <w:tcW w:type="dxa" w:w="1296"/>
          </w:tcPr>
          <w:p>
            <w:pPr>
              <w:spacing w:after="0"/>
            </w:pPr>
            <w:r>
              <w:rPr>
                <w:sz w:val="19"/>
              </w:rPr>
              <w:t>Signal</w:t>
            </w:r>
          </w:p>
        </w:tc>
        <w:tc>
          <w:tcPr>
            <w:tcW w:type="dxa" w:w="5184"/>
          </w:tcPr>
          <w:p>
            <w:pPr>
              <w:spacing w:after="0"/>
            </w:pPr>
            <w:r>
              <w:rPr>
                <w:sz w:val="19"/>
              </w:rPr>
              <w:t>NTC thermistor return / measurement</w:t>
            </w:r>
          </w:p>
        </w:tc>
      </w:tr>
      <w:tr>
        <w:tc>
          <w:tcPr>
            <w:tcW w:type="dxa" w:w="576"/>
          </w:tcPr>
          <w:p>
            <w:pPr>
              <w:spacing w:after="0"/>
            </w:pPr>
            <w:r>
              <w:rPr>
                <w:sz w:val="19"/>
              </w:rPr>
              <w:t>15</w:t>
            </w:r>
          </w:p>
        </w:tc>
        <w:tc>
          <w:tcPr>
            <w:tcW w:type="dxa" w:w="1728"/>
          </w:tcPr>
          <w:p>
            <w:pPr>
              <w:spacing w:after="0"/>
            </w:pPr>
            <w:r>
              <w:rPr>
                <w:sz w:val="19"/>
              </w:rPr>
              <w:t>PD_ANODE</w:t>
            </w:r>
          </w:p>
        </w:tc>
        <w:tc>
          <w:tcPr>
            <w:tcW w:type="dxa" w:w="1584"/>
          </w:tcPr>
          <w:p>
            <w:pPr>
              <w:spacing w:after="0"/>
            </w:pPr>
            <w:r>
              <w:rPr>
                <w:sz w:val="19"/>
              </w:rPr>
              <w:t>Hub → ZM</w:t>
            </w:r>
          </w:p>
        </w:tc>
        <w:tc>
          <w:tcPr>
            <w:tcW w:type="dxa" w:w="1296"/>
          </w:tcPr>
          <w:p>
            <w:pPr>
              <w:spacing w:after="0"/>
            </w:pPr>
            <w:r>
              <w:rPr>
                <w:sz w:val="19"/>
              </w:rPr>
              <w:t>Signal</w:t>
            </w:r>
          </w:p>
        </w:tc>
        <w:tc>
          <w:tcPr>
            <w:tcW w:type="dxa" w:w="5184"/>
          </w:tcPr>
          <w:p>
            <w:pPr>
              <w:spacing w:after="0"/>
            </w:pPr>
            <w:r>
              <w:rPr>
                <w:sz w:val="19"/>
              </w:rPr>
              <w:t>Photodiode anode bias (from TIA on Hub)</w:t>
            </w:r>
          </w:p>
        </w:tc>
      </w:tr>
      <w:tr>
        <w:tc>
          <w:tcPr>
            <w:tcW w:type="dxa" w:w="576"/>
          </w:tcPr>
          <w:p>
            <w:pPr>
              <w:spacing w:after="0"/>
            </w:pPr>
            <w:r>
              <w:rPr>
                <w:sz w:val="19"/>
              </w:rPr>
              <w:t>16</w:t>
            </w:r>
          </w:p>
        </w:tc>
        <w:tc>
          <w:tcPr>
            <w:tcW w:type="dxa" w:w="1728"/>
          </w:tcPr>
          <w:p>
            <w:pPr>
              <w:spacing w:after="0"/>
            </w:pPr>
            <w:r>
              <w:rPr>
                <w:sz w:val="19"/>
              </w:rPr>
              <w:t>PD_CATHODE</w:t>
            </w:r>
          </w:p>
        </w:tc>
        <w:tc>
          <w:tcPr>
            <w:tcW w:type="dxa" w:w="1584"/>
          </w:tcPr>
          <w:p>
            <w:pPr>
              <w:spacing w:after="0"/>
            </w:pPr>
            <w:r>
              <w:rPr>
                <w:sz w:val="19"/>
              </w:rPr>
              <w:t>ZM → Hub</w:t>
            </w:r>
          </w:p>
        </w:tc>
        <w:tc>
          <w:tcPr>
            <w:tcW w:type="dxa" w:w="1296"/>
          </w:tcPr>
          <w:p>
            <w:pPr>
              <w:spacing w:after="0"/>
            </w:pPr>
            <w:r>
              <w:rPr>
                <w:sz w:val="19"/>
              </w:rPr>
              <w:t>Signal</w:t>
            </w:r>
          </w:p>
        </w:tc>
        <w:tc>
          <w:tcPr>
            <w:tcW w:type="dxa" w:w="5184"/>
          </w:tcPr>
          <w:p>
            <w:pPr>
              <w:spacing w:after="0"/>
            </w:pPr>
            <w:r>
              <w:rPr>
                <w:sz w:val="19"/>
              </w:rPr>
              <w:t>Photodiode photocurrent output to TIA on Hub</w:t>
            </w:r>
          </w:p>
        </w:tc>
      </w:tr>
      <w:tr>
        <w:tc>
          <w:tcPr>
            <w:tcW w:type="dxa" w:w="576"/>
          </w:tcPr>
          <w:p>
            <w:pPr>
              <w:spacing w:after="0"/>
            </w:pPr>
            <w:r>
              <w:rPr>
                <w:sz w:val="19"/>
              </w:rPr>
              <w:t>17</w:t>
            </w:r>
          </w:p>
        </w:tc>
        <w:tc>
          <w:tcPr>
            <w:tcW w:type="dxa" w:w="1728"/>
          </w:tcPr>
          <w:p>
            <w:pPr>
              <w:spacing w:after="0"/>
            </w:pPr>
            <w:r>
              <w:rPr>
                <w:sz w:val="19"/>
              </w:rPr>
              <w:t>AGND</w:t>
            </w:r>
          </w:p>
        </w:tc>
        <w:tc>
          <w:tcPr>
            <w:tcW w:type="dxa" w:w="1584"/>
          </w:tcPr>
          <w:p>
            <w:pPr>
              <w:spacing w:after="0"/>
            </w:pPr>
            <w:r>
              <w:rPr>
                <w:sz w:val="19"/>
              </w:rPr>
              <w:t>Common</w:t>
            </w:r>
          </w:p>
        </w:tc>
        <w:tc>
          <w:tcPr>
            <w:tcW w:type="dxa" w:w="1296"/>
          </w:tcPr>
          <w:p>
            <w:pPr>
              <w:spacing w:after="0"/>
            </w:pPr>
            <w:r>
              <w:rPr>
                <w:sz w:val="19"/>
              </w:rPr>
              <w:t>—</w:t>
            </w:r>
          </w:p>
        </w:tc>
        <w:tc>
          <w:tcPr>
            <w:tcW w:type="dxa" w:w="5184"/>
          </w:tcPr>
          <w:p>
            <w:pPr>
              <w:spacing w:after="0"/>
            </w:pPr>
            <w:r>
              <w:rPr>
                <w:sz w:val="19"/>
              </w:rPr>
              <w:t>Analog ground reference — isolated from LED power GND on Hub</w:t>
            </w:r>
          </w:p>
        </w:tc>
      </w:tr>
      <w:tr>
        <w:tc>
          <w:tcPr>
            <w:tcW w:type="dxa" w:w="576"/>
          </w:tcPr>
          <w:p>
            <w:pPr>
              <w:spacing w:after="0"/>
            </w:pPr>
            <w:r>
              <w:rPr>
                <w:sz w:val="19"/>
              </w:rPr>
              <w:t>18</w:t>
            </w:r>
          </w:p>
        </w:tc>
        <w:tc>
          <w:tcPr>
            <w:tcW w:type="dxa" w:w="1728"/>
          </w:tcPr>
          <w:p>
            <w:pPr>
              <w:spacing w:after="0"/>
            </w:pPr>
            <w:r>
              <w:rPr>
                <w:sz w:val="19"/>
              </w:rPr>
            </w:r>
            <w:r>
              <w:rPr>
                <w:b/>
                <w:sz w:val="18"/>
              </w:rPr>
              <w:t>ZONE_ID</w:t>
            </w:r>
          </w:p>
        </w:tc>
        <w:tc>
          <w:tcPr>
            <w:tcW w:type="dxa" w:w="1584"/>
          </w:tcPr>
          <w:p>
            <w:pPr>
              <w:spacing w:after="0"/>
            </w:pPr>
            <w:r>
              <w:rPr>
                <w:sz w:val="19"/>
              </w:rPr>
            </w:r>
            <w:r>
              <w:rPr>
                <w:b w:val="0"/>
                <w:sz w:val="18"/>
              </w:rPr>
              <w:t>ZM → Hub</w:t>
            </w:r>
          </w:p>
        </w:tc>
        <w:tc>
          <w:tcPr>
            <w:tcW w:type="dxa" w:w="1296"/>
          </w:tcPr>
          <w:p>
            <w:pPr>
              <w:spacing w:after="0"/>
            </w:pPr>
            <w:r>
              <w:rPr>
                <w:sz w:val="19"/>
              </w:rPr>
            </w:r>
            <w:r>
              <w:rPr>
                <w:b w:val="0"/>
                <w:sz w:val="18"/>
              </w:rPr>
            </w:r>
            <w:r>
              <w:rPr>
                <w:sz w:val="16"/>
              </w:rPr>
              <w:t>Signal Firmware debounce: Hub MCU performs 3 ADC reads at 100 ms intervals before asserting FAULT — single transient open circuit does not block session. Sustained open (all 3 reads fail) → FAULT + 'Zone module contact issue' audio alert via bone conduction. (RISK-18 mitigation.)</w:t>
            </w:r>
          </w:p>
        </w:tc>
        <w:tc>
          <w:tcPr>
            <w:tcW w:type="dxa" w:w="5184"/>
          </w:tcPr>
          <w:p>
            <w:pPr>
              <w:spacing w:after="0"/>
            </w:pPr>
            <w:r>
              <w:rPr>
                <w:sz w:val="19"/>
              </w:rPr>
            </w:r>
            <w:r>
              <w:rPr>
                <w:b w:val="0"/>
                <w:sz w:val="18"/>
              </w:rPr>
              <w:t>Zone identity resistor. Unique 1% 0402 resistor per zone module: ZM-01=10 kΩ, ZM-02=22 kΩ, ZM-03=47 kΩ, ZM-04=100 kΩ, ZM-05=220 kΩ. Hub MCU reads ADC voltage via 10 kΩ pull-up at session start; zone ID confirmed before ENABLE is asserted. Mismatch (module in wrong slot) → FAULT asserted, audio alert via bone conduction, session blocked until correct module inserted. BOM delta: one 0402 resistor per zone module (~$0.03 each).</w:t>
            </w:r>
          </w:p>
        </w:tc>
      </w:tr>
      <w:tr>
        <w:tc>
          <w:tcPr>
            <w:tcW w:type="dxa" w:w="576"/>
          </w:tcPr>
          <w:p>
            <w:pPr>
              <w:spacing w:after="0"/>
            </w:pPr>
            <w:r>
              <w:rPr>
                <w:sz w:val="19"/>
              </w:rPr>
              <w:t>19</w:t>
            </w:r>
          </w:p>
        </w:tc>
        <w:tc>
          <w:tcPr>
            <w:tcW w:type="dxa" w:w="1728"/>
          </w:tcPr>
          <w:p>
            <w:pPr>
              <w:spacing w:after="0"/>
            </w:pPr>
            <w:r>
              <w:rPr>
                <w:sz w:val="19"/>
              </w:rPr>
            </w:r>
            <w:r>
              <w:rPr>
                <w:b/>
                <w:sz w:val="16"/>
              </w:rPr>
              <w:t>PD2_CATHODE</w:t>
            </w:r>
          </w:p>
        </w:tc>
        <w:tc>
          <w:tcPr>
            <w:tcW w:type="dxa" w:w="1584"/>
          </w:tcPr>
          <w:p>
            <w:pPr>
              <w:spacing w:after="0"/>
            </w:pPr>
            <w:r>
              <w:rPr>
                <w:sz w:val="19"/>
              </w:rPr>
            </w:r>
            <w:r>
              <w:rPr>
                <w:b w:val="0"/>
                <w:sz w:val="16"/>
              </w:rPr>
              <w:t>ZM → Hub</w:t>
            </w:r>
          </w:p>
        </w:tc>
        <w:tc>
          <w:tcPr>
            <w:tcW w:type="dxa" w:w="1296"/>
          </w:tcPr>
          <w:p>
            <w:pPr>
              <w:spacing w:after="0"/>
            </w:pPr>
            <w:r>
              <w:rPr>
                <w:sz w:val="19"/>
              </w:rPr>
            </w:r>
            <w:r>
              <w:rPr>
                <w:b w:val="0"/>
                <w:sz w:val="16"/>
              </w:rPr>
              <w:t>Scalp-side reference photodiode cathode (RISK-14 Option B). Connect to Hub ADC channel (same TIA as PD_CATHODE, multiplexed). 0.5 mm pitch ZIF pin 19.</w:t>
            </w:r>
          </w:p>
        </w:tc>
        <w:tc>
          <w:tcPr>
            <w:tcW w:type="dxa" w:w="5184"/>
          </w:tcPr>
          <w:p>
            <w:pPr>
              <w:spacing w:after="0"/>
            </w:pPr>
            <w:r>
              <w:rPr>
                <w:sz w:val="19"/>
              </w:rPr>
              <w:t>Reserved</w:t>
            </w:r>
          </w:p>
        </w:tc>
      </w:tr>
      <w:tr>
        <w:tc>
          <w:tcPr>
            <w:tcW w:type="dxa" w:w="576"/>
          </w:tcPr>
          <w:p>
            <w:pPr>
              <w:spacing w:after="0"/>
            </w:pPr>
            <w:r>
              <w:rPr>
                <w:sz w:val="19"/>
              </w:rPr>
              <w:t>20</w:t>
            </w:r>
          </w:p>
        </w:tc>
        <w:tc>
          <w:tcPr>
            <w:tcW w:type="dxa" w:w="1728"/>
          </w:tcPr>
          <w:p>
            <w:pPr>
              <w:spacing w:after="0"/>
            </w:pPr>
            <w:r>
              <w:rPr>
                <w:sz w:val="19"/>
              </w:rPr>
              <w:t>GND_CHASSIS</w:t>
            </w:r>
          </w:p>
        </w:tc>
        <w:tc>
          <w:tcPr>
            <w:tcW w:type="dxa" w:w="1584"/>
          </w:tcPr>
          <w:p>
            <w:pPr>
              <w:spacing w:after="0"/>
            </w:pPr>
            <w:r>
              <w:rPr>
                <w:sz w:val="19"/>
              </w:rPr>
              <w:t>Common</w:t>
            </w:r>
          </w:p>
        </w:tc>
        <w:tc>
          <w:tcPr>
            <w:tcW w:type="dxa" w:w="1296"/>
          </w:tcPr>
          <w:p>
            <w:pPr>
              <w:spacing w:after="0"/>
            </w:pPr>
            <w:r>
              <w:rPr>
                <w:sz w:val="19"/>
              </w:rPr>
              <w:t>—</w:t>
            </w:r>
          </w:p>
        </w:tc>
        <w:tc>
          <w:tcPr>
            <w:tcW w:type="dxa" w:w="5184"/>
          </w:tcPr>
          <w:p>
            <w:pPr>
              <w:spacing w:after="0"/>
            </w:pPr>
            <w:r>
              <w:rPr>
                <w:sz w:val="19"/>
              </w:rPr>
              <w:t>Shield/chassis ground; connected to CFRP shell</w:t>
            </w:r>
          </w:p>
        </w:tc>
      </w:tr>
    </w:tbl>
    <w:p/>
    <w:p>
      <w:pPr>
        <w:spacing w:after="80"/>
        <w:ind w:left="288"/>
      </w:pPr>
      <w:r>
        <w:rPr>
          <w:i/>
          <w:sz w:val="19"/>
        </w:rPr>
        <w:t>Power pins 1–8 use paired parallel pins to distribute current across two contacts per rail (0.36 A per pin, well within 0.5 A contact rating). Do NOT combine 660 nm and 808 nm supply rails at the connector — they are driven by independent constant-current channels on Hub PCB.</w:t>
      </w:r>
    </w:p>
    <w:p>
      <w:pPr>
        <w:spacing w:after="80"/>
        <w:ind w:left="288"/>
      </w:pPr>
      <w:r>
        <w:rPr>
          <w:i/>
          <w:sz w:val="19"/>
        </w:rPr>
        <w:t>ENABLE (pin 11) is driven directly by the STM32G071 Safety MCU GPIO. App firmware cannot assert ENABLE if Safety MCU is in fault state. This is the hardware interlock.</w:t>
      </w:r>
    </w:p>
    <w:p>
      <w:pPr>
        <w:spacing w:before="140"/>
      </w:pPr>
      <w:r>
        <w:rPr>
          <w:b/>
          <w:sz w:val="21"/>
        </w:rPr>
        <w:t>5.3  FPC Tail Specification</w:t>
      </w:r>
    </w:p>
    <w:p>
      <w:pPr>
        <w:pStyle w:val="ListBullet"/>
        <w:spacing w:after="40"/>
      </w:pPr>
      <w:r>
        <w:rPr>
          <w:sz w:val="21"/>
        </w:rPr>
        <w:t>Tail length from connector edge to stiffener: 30 mm (provides adequate flex length for routing from zone slot to Hub PCB connector)</w:t>
      </w:r>
    </w:p>
    <w:p>
      <w:pPr>
        <w:pStyle w:val="ListBullet"/>
        <w:spacing w:after="40"/>
      </w:pPr>
      <w:r>
        <w:rPr>
          <w:sz w:val="21"/>
        </w:rPr>
        <w:t>Tail width: 12 mm (accommodates 20 positions at 0.5 mm pitch = 10 mm contact width + 1 mm each side margin)</w:t>
      </w:r>
    </w:p>
    <w:p>
      <w:pPr>
        <w:pStyle w:val="ListBullet"/>
        <w:spacing w:after="40"/>
      </w:pPr>
      <w:r>
        <w:rPr>
          <w:sz w:val="21"/>
        </w:rPr>
        <w:t>Tail thickness: FPC stackup thickness only (no stiffener in tail — must be flexible)</w:t>
      </w:r>
    </w:p>
    <w:p>
      <w:pPr>
        <w:pStyle w:val="ListBullet"/>
        <w:spacing w:after="40"/>
      </w:pPr>
      <w:r>
        <w:rPr>
          <w:b/>
          <w:color w:val="C00000"/>
          <w:sz w:val="21"/>
        </w:rPr>
        <w:t>[DRAWING REQUIREMENT] Tail termination: gold-plated RA copper pads (hard gold, ≥0.5 µm, cobalt-alloyed) — matching Hub PCB connector contact finish</w:t>
      </w:r>
    </w:p>
    <w:p>
      <w:pPr>
        <w:pStyle w:val="ListBullet"/>
        <w:spacing w:after="40"/>
      </w:pPr>
      <w:r>
        <w:rPr>
          <w:sz w:val="21"/>
        </w:rPr>
        <w:t>Strain relief: PI reinforcement strip 5 mm wide at the transition from tail to main FPC body</w:t>
      </w:r>
    </w:p>
    <w:p>
      <w:pPr>
        <w:spacing w:before="280" w:after="80"/>
      </w:pPr>
      <w:r>
        <w:rPr>
          <w:b/>
          <w:color w:val="003366"/>
          <w:sz w:val="26"/>
        </w:rPr>
        <w:t>6.  LED DRIVER SPECIFICATION</w:t>
      </w:r>
    </w:p>
    <w:p>
      <w:pPr>
        <w:ind w:firstLine="288"/>
      </w:pPr>
      <w:r>
        <w:t>Per-string constant-current control is mandatory. Connecting multiple parallel LED strings to a single current source without per-string limiting causes current hogging due to Vf mismatch — this is a documented failure mode that can drive individual strings to thermal runaway. See RISK-05.</w:t>
      </w:r>
    </w:p>
    <w:p>
      <w:pPr>
        <w:spacing w:before="140"/>
      </w:pPr>
      <w:r>
        <w:rPr>
          <w:b/>
          <w:sz w:val="21"/>
        </w:rPr>
        <w:t>6.1  Driver Architecture</w:t>
      </w:r>
    </w:p>
    <w:p>
      <w:pPr>
        <w:pStyle w:val="ListBullet"/>
        <w:spacing w:after="40"/>
      </w:pPr>
      <w:r>
        <w:rPr>
          <w:sz w:val="21"/>
        </w:rPr>
        <w:t>Architecture: Linear constant-current driver, one per string. 10 strings per wavelength = 20 driver instances per zone module.</w:t>
      </w:r>
    </w:p>
    <w:p>
      <w:pPr>
        <w:pStyle w:val="ListBullet"/>
        <w:spacing w:after="40"/>
      </w:pPr>
      <w:r>
        <w:rPr>
          <w:sz w:val="21"/>
        </w:rPr>
        <w:t>Linear (not switching) drivers are mandatory on the zone FPC. Switching regulators would inject PWM switching noise into the EEG signal path at a distance of &lt;10 mm from EEG electrode contacts. The power dissipation penalty of linear regulation is acceptable given the duty-cycle-limited operation.</w:t>
      </w:r>
    </w:p>
    <w:p>
      <w:pPr>
        <w:pStyle w:val="ListBullet"/>
        <w:spacing w:after="40"/>
      </w:pPr>
      <w:r>
        <w:rPr>
          <w:sz w:val="21"/>
        </w:rPr>
        <w:t>Each driver receives the shared PWM_660 or PWM_808 enable signal and controls its string's current independently.</w:t>
      </w:r>
    </w:p>
    <w:p>
      <w:pPr>
        <w:spacing w:before="140"/>
      </w:pPr>
      <w:r>
        <w:rPr>
          <w:b/>
          <w:sz w:val="21"/>
        </w:rPr>
        <w:t>6.2  Recommended Driver IC — Infineon BCR421W</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Manufacturer / Part</w:t>
            </w:r>
          </w:p>
        </w:tc>
        <w:tc>
          <w:tcPr>
            <w:tcW w:type="dxa" w:w="6768"/>
          </w:tcPr>
          <w:p>
            <w:pPr>
              <w:spacing w:after="0"/>
            </w:pPr>
            <w:r>
              <w:rPr>
                <w:sz w:val="19"/>
              </w:rPr>
              <w:t>Infineon Technologies — BCR421W</w:t>
            </w:r>
          </w:p>
        </w:tc>
      </w:tr>
      <w:tr>
        <w:tc>
          <w:tcPr>
            <w:tcW w:type="dxa" w:w="3600"/>
          </w:tcPr>
          <w:p>
            <w:pPr>
              <w:spacing w:after="0"/>
            </w:pPr>
            <w:r>
              <w:rPr>
                <w:sz w:val="19"/>
              </w:rPr>
              <w:t>Package</w:t>
            </w:r>
          </w:p>
        </w:tc>
        <w:tc>
          <w:tcPr>
            <w:tcW w:type="dxa" w:w="6768"/>
          </w:tcPr>
          <w:p>
            <w:pPr>
              <w:spacing w:after="0"/>
            </w:pPr>
            <w:r>
              <w:rPr>
                <w:sz w:val="19"/>
              </w:rPr>
              <w:t>SOT-323 (SC-70) — 2.0 × 2.1 mm, 3-pin</w:t>
            </w:r>
          </w:p>
        </w:tc>
      </w:tr>
      <w:tr>
        <w:tc>
          <w:tcPr>
            <w:tcW w:type="dxa" w:w="3600"/>
          </w:tcPr>
          <w:p>
            <w:pPr>
              <w:spacing w:after="0"/>
            </w:pPr>
            <w:r>
              <w:rPr>
                <w:sz w:val="19"/>
              </w:rPr>
              <w:t>Current regulation range</w:t>
            </w:r>
          </w:p>
        </w:tc>
        <w:tc>
          <w:tcPr>
            <w:tcW w:type="dxa" w:w="6768"/>
          </w:tcPr>
          <w:p>
            <w:pPr>
              <w:spacing w:after="0"/>
            </w:pPr>
            <w:r>
              <w:rPr>
                <w:sz w:val="19"/>
              </w:rPr>
              <w:t>10–350 mA (set by external resistor RSET)</w:t>
            </w:r>
          </w:p>
        </w:tc>
      </w:tr>
      <w:tr>
        <w:tc>
          <w:tcPr>
            <w:tcW w:type="dxa" w:w="3600"/>
          </w:tcPr>
          <w:p>
            <w:pPr>
              <w:spacing w:after="0"/>
            </w:pPr>
            <w:r>
              <w:rPr>
                <w:sz w:val="19"/>
              </w:rPr>
              <w:t>Current setting at 150 mA nominal</w:t>
            </w:r>
          </w:p>
        </w:tc>
        <w:tc>
          <w:tcPr>
            <w:tcW w:type="dxa" w:w="6768"/>
          </w:tcPr>
          <w:p>
            <w:pPr>
              <w:spacing w:after="0"/>
            </w:pPr>
            <w:r>
              <w:rPr>
                <w:sz w:val="19"/>
              </w:rPr>
              <w:t>RSET = 750 Ω (approx.) — confirm against datasheet Iadj curve</w:t>
            </w:r>
          </w:p>
        </w:tc>
      </w:tr>
      <w:tr>
        <w:tc>
          <w:tcPr>
            <w:tcW w:type="dxa" w:w="3600"/>
          </w:tcPr>
          <w:p>
            <w:pPr>
              <w:spacing w:after="0"/>
            </w:pPr>
            <w:r>
              <w:rPr>
                <w:sz w:val="19"/>
              </w:rPr>
              <w:t>Current setting at 180 mA max</w:t>
            </w:r>
          </w:p>
        </w:tc>
        <w:tc>
          <w:tcPr>
            <w:tcW w:type="dxa" w:w="6768"/>
          </w:tcPr>
          <w:p>
            <w:pPr>
              <w:spacing w:after="0"/>
            </w:pPr>
            <w:r>
              <w:rPr>
                <w:sz w:val="19"/>
              </w:rPr>
              <w:t>RSET = 625 Ω (approx.)</w:t>
            </w:r>
          </w:p>
        </w:tc>
      </w:tr>
      <w:tr>
        <w:tc>
          <w:tcPr>
            <w:tcW w:type="dxa" w:w="3600"/>
          </w:tcPr>
          <w:p>
            <w:pPr>
              <w:spacing w:after="0"/>
            </w:pPr>
            <w:r>
              <w:rPr>
                <w:sz w:val="19"/>
              </w:rPr>
              <w:t>Supply voltage range</w:t>
            </w:r>
          </w:p>
        </w:tc>
        <w:tc>
          <w:tcPr>
            <w:tcW w:type="dxa" w:w="6768"/>
          </w:tcPr>
          <w:p>
            <w:pPr>
              <w:spacing w:after="0"/>
            </w:pPr>
            <w:r>
              <w:rPr>
                <w:sz w:val="19"/>
              </w:rPr>
              <w:t>2 V to 45 V (compatible with 15 V VLED rail)</w:t>
            </w:r>
          </w:p>
        </w:tc>
      </w:tr>
      <w:tr>
        <w:tc>
          <w:tcPr>
            <w:tcW w:type="dxa" w:w="3600"/>
          </w:tcPr>
          <w:p>
            <w:pPr>
              <w:spacing w:after="0"/>
            </w:pPr>
            <w:r>
              <w:rPr>
                <w:sz w:val="19"/>
              </w:rPr>
              <w:t>Operating temperature</w:t>
            </w:r>
          </w:p>
        </w:tc>
        <w:tc>
          <w:tcPr>
            <w:tcW w:type="dxa" w:w="6768"/>
          </w:tcPr>
          <w:p>
            <w:pPr>
              <w:spacing w:after="0"/>
            </w:pPr>
            <w:r>
              <w:rPr>
                <w:sz w:val="19"/>
              </w:rPr>
              <w:t>−40°C to +125°C</w:t>
            </w:r>
          </w:p>
        </w:tc>
      </w:tr>
      <w:tr>
        <w:tc>
          <w:tcPr>
            <w:tcW w:type="dxa" w:w="3600"/>
          </w:tcPr>
          <w:p>
            <w:pPr>
              <w:spacing w:after="0"/>
            </w:pPr>
            <w:r>
              <w:rPr>
                <w:sz w:val="19"/>
              </w:rPr>
              <w:t>Backup / alternate</w:t>
            </w:r>
          </w:p>
        </w:tc>
        <w:tc>
          <w:tcPr>
            <w:tcW w:type="dxa" w:w="6768"/>
          </w:tcPr>
          <w:p>
            <w:pPr>
              <w:spacing w:after="0"/>
            </w:pPr>
            <w:r>
              <w:rPr>
                <w:sz w:val="19"/>
              </w:rPr>
              <w:t>ZXLD381 (Zetex, 350 mA, SOT-23-3); Diodes Inc. AL5809 (350 mA, SOT-23-3)</w:t>
            </w:r>
          </w:p>
        </w:tc>
      </w:tr>
    </w:tbl>
    <w:p/>
    <w:p>
      <w:pPr>
        <w:spacing w:after="80"/>
        <w:ind w:left="288"/>
      </w:pPr>
      <w:r>
        <w:rPr>
          <w:i/>
          <w:color w:val="CC4400"/>
          <w:sz w:val="19"/>
        </w:rPr>
        <w:t>⚠ BCR421U (alternative variant) is rated only 150 mA maximum — insufficient if 180 mA operation is required. Specify BCR421W (350 mA rated) on BOM. See RISK-07.</w:t>
      </w:r>
    </w:p>
    <w:p>
      <w:pPr>
        <w:spacing w:after="80"/>
        <w:ind w:left="288"/>
      </w:pPr>
      <w:r>
        <w:rPr>
          <w:i/>
          <w:sz w:val="19"/>
        </w:rPr>
        <w:t>20 BCR421W instances per zone module. At SOT-323 footprint (2.0 × 2.1 mm), total driver area: ~84 mm² — fits within the stiffened driver region between LED array and connector tail without increasing zone module footprint.</w:t>
      </w:r>
    </w:p>
    <w:p>
      <w:pPr>
        <w:spacing w:before="140"/>
      </w:pPr>
      <w:r>
        <w:rPr>
          <w:b/>
          <w:sz w:val="21"/>
        </w:rPr>
        <w:t>6.3  ENABLE Signal Gating</w:t>
      </w:r>
    </w:p>
    <w:p>
      <w:pPr>
        <w:ind w:firstLine="288"/>
      </w:pPr>
      <w:r>
        <w:t>The ENABLE line (pin 11) from the Safety MCU gates all 20 driver ICs simultaneously via a small-signal MOSFET (or direct gate drive if driver topology allows). When ENABLE is de-asserted (low), no LED string in the zone can be energised regardless of the state of PWM_660 or PWM_808. This is the hardware interlock layer that cannot be bypassed by application software.</w:t>
      </w:r>
    </w:p>
    <w:p>
      <w:pPr>
        <w:spacing w:before="280" w:after="80"/>
      </w:pPr>
      <w:r>
        <w:rPr>
          <w:b/>
          <w:color w:val="003366"/>
          <w:sz w:val="26"/>
        </w:rPr>
        <w:t>7.  THERMAL MANAGEMENT</w:t>
      </w:r>
    </w:p>
    <w:p>
      <w:pPr>
        <w:spacing w:before="140"/>
      </w:pPr>
      <w:r>
        <w:rPr>
          <w:b/>
          <w:sz w:val="21"/>
        </w:rPr>
        <w:t>7.1  NTC Thermistor — Placement and Specification</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Quantity per zone module</w:t>
            </w:r>
          </w:p>
        </w:tc>
        <w:tc>
          <w:tcPr>
            <w:tcW w:type="dxa" w:w="6768"/>
          </w:tcPr>
          <w:p>
            <w:pPr>
              <w:spacing w:after="0"/>
            </w:pPr>
            <w:r>
              <w:rPr>
                <w:sz w:val="19"/>
              </w:rPr>
              <w:t>1</w:t>
            </w:r>
          </w:p>
        </w:tc>
      </w:tr>
      <w:tr>
        <w:tc>
          <w:tcPr>
            <w:tcW w:type="dxa" w:w="3600"/>
          </w:tcPr>
          <w:p>
            <w:pPr>
              <w:spacing w:after="0"/>
            </w:pPr>
            <w:r>
              <w:rPr>
                <w:sz w:val="19"/>
              </w:rPr>
              <w:t>Placement</w:t>
            </w:r>
          </w:p>
        </w:tc>
        <w:tc>
          <w:tcPr>
            <w:tcW w:type="dxa" w:w="6768"/>
          </w:tcPr>
          <w:p>
            <w:pPr>
              <w:spacing w:after="0"/>
            </w:pPr>
            <w:r>
              <w:rPr>
                <w:sz w:val="19"/>
              </w:rPr>
              <w:t>Geometric centre of LED array, between two adjacent LEDs (one 660 nm, one 808–830 nm)</w:t>
            </w:r>
          </w:p>
        </w:tc>
      </w:tr>
      <w:tr>
        <w:tc>
          <w:tcPr>
            <w:tcW w:type="dxa" w:w="3600"/>
          </w:tcPr>
          <w:p>
            <w:pPr>
              <w:spacing w:after="0"/>
            </w:pPr>
            <w:r>
              <w:rPr>
                <w:sz w:val="19"/>
              </w:rPr>
              <w:t>Package</w:t>
            </w:r>
          </w:p>
        </w:tc>
        <w:tc>
          <w:tcPr>
            <w:tcW w:type="dxa" w:w="6768"/>
          </w:tcPr>
          <w:p>
            <w:pPr>
              <w:spacing w:after="0"/>
            </w:pPr>
            <w:r>
              <w:rPr>
                <w:sz w:val="19"/>
              </w:rPr>
              <w:t>SMD 0402 NTC thermistor</w:t>
            </w:r>
          </w:p>
        </w:tc>
      </w:tr>
      <w:tr>
        <w:tc>
          <w:tcPr>
            <w:tcW w:type="dxa" w:w="3600"/>
          </w:tcPr>
          <w:p>
            <w:pPr>
              <w:spacing w:after="0"/>
            </w:pPr>
            <w:r>
              <w:rPr>
                <w:sz w:val="19"/>
              </w:rPr>
              <w:t>Resistance at 25°C</w:t>
            </w:r>
          </w:p>
        </w:tc>
        <w:tc>
          <w:tcPr>
            <w:tcW w:type="dxa" w:w="6768"/>
          </w:tcPr>
          <w:p>
            <w:pPr>
              <w:spacing w:after="0"/>
            </w:pPr>
            <w:r>
              <w:rPr>
                <w:sz w:val="19"/>
              </w:rPr>
              <w:t>10 kΩ (B-constant ≈ 3950 K)</w:t>
            </w:r>
          </w:p>
        </w:tc>
      </w:tr>
      <w:tr>
        <w:tc>
          <w:tcPr>
            <w:tcW w:type="dxa" w:w="3600"/>
          </w:tcPr>
          <w:p>
            <w:pPr>
              <w:spacing w:after="0"/>
            </w:pPr>
            <w:r>
              <w:rPr>
                <w:sz w:val="19"/>
              </w:rPr>
              <w:t>Operating range</w:t>
            </w:r>
          </w:p>
        </w:tc>
        <w:tc>
          <w:tcPr>
            <w:tcW w:type="dxa" w:w="6768"/>
          </w:tcPr>
          <w:p>
            <w:pPr>
              <w:spacing w:after="0"/>
            </w:pPr>
            <w:r>
              <w:rPr>
                <w:sz w:val="19"/>
              </w:rPr>
              <w:t>−20°C to +125°C</w:t>
            </w:r>
          </w:p>
        </w:tc>
      </w:tr>
      <w:tr>
        <w:tc>
          <w:tcPr>
            <w:tcW w:type="dxa" w:w="3600"/>
          </w:tcPr>
          <w:p>
            <w:pPr>
              <w:spacing w:after="0"/>
            </w:pPr>
            <w:r>
              <w:rPr>
                <w:sz w:val="19"/>
              </w:rPr>
              <w:t>Measurement circuit</w:t>
            </w:r>
          </w:p>
        </w:tc>
        <w:tc>
          <w:tcPr>
            <w:tcW w:type="dxa" w:w="6768"/>
          </w:tcPr>
          <w:p>
            <w:pPr>
              <w:spacing w:after="0"/>
            </w:pPr>
            <w:r>
              <w:rPr>
                <w:sz w:val="19"/>
              </w:rPr>
              <w:t>Constant current excitation from Hub PCB (pins 13–14); ratiometric ADC on main MCU</w:t>
            </w:r>
          </w:p>
        </w:tc>
      </w:tr>
      <w:tr>
        <w:tc>
          <w:tcPr>
            <w:tcW w:type="dxa" w:w="3600"/>
          </w:tcPr>
          <w:p>
            <w:pPr>
              <w:spacing w:after="0"/>
            </w:pPr>
            <w:r>
              <w:rPr>
                <w:sz w:val="19"/>
              </w:rPr>
              <w:t>Hardware throttle threshold</w:t>
            </w:r>
          </w:p>
        </w:tc>
        <w:tc>
          <w:tcPr>
            <w:tcW w:type="dxa" w:w="6768"/>
          </w:tcPr>
          <w:p>
            <w:pPr>
              <w:spacing w:after="0"/>
            </w:pPr>
            <w:r>
              <w:rPr>
                <w:sz w:val="19"/>
              </w:rPr>
              <w:t>62°C LED junction temperature (inferred from NTC reading + θjc model)</w:t>
            </w:r>
          </w:p>
        </w:tc>
      </w:tr>
      <w:tr>
        <w:tc>
          <w:tcPr>
            <w:tcW w:type="dxa" w:w="3600"/>
          </w:tcPr>
          <w:p>
            <w:pPr>
              <w:spacing w:after="0"/>
            </w:pPr>
            <w:r>
              <w:rPr>
                <w:sz w:val="19"/>
              </w:rPr>
              <w:t>Safety MCU FAULT assertion threshold</w:t>
            </w:r>
          </w:p>
        </w:tc>
        <w:tc>
          <w:tcPr>
            <w:tcW w:type="dxa" w:w="6768"/>
          </w:tcPr>
          <w:p>
            <w:pPr>
              <w:spacing w:after="0"/>
            </w:pPr>
            <w:r>
              <w:rPr>
                <w:sz w:val="19"/>
              </w:rPr>
              <w:t>65°C NTC reading — asserts FAULT (pin 12), de-asserts ENABLE</w:t>
            </w:r>
          </w:p>
        </w:tc>
      </w:tr>
      <w:tr>
        <w:tc>
          <w:tcPr>
            <w:tcW w:type="dxa" w:w="3600"/>
          </w:tcPr>
          <w:p>
            <w:pPr>
              <w:spacing w:after="0"/>
            </w:pPr>
            <w:r>
              <w:rPr>
                <w:sz w:val="19"/>
              </w:rPr>
              <w:t>IEC 60601 surface temperature limit</w:t>
            </w:r>
          </w:p>
        </w:tc>
        <w:tc>
          <w:tcPr>
            <w:tcW w:type="dxa" w:w="6768"/>
          </w:tcPr>
          <w:p>
            <w:pPr>
              <w:spacing w:after="0"/>
            </w:pPr>
            <w:r>
              <w:rPr>
                <w:sz w:val="19"/>
              </w:rPr>
              <w:t>42°C at scalp contact surface (enforced by firmware current limit)</w:t>
            </w:r>
          </w:p>
        </w:tc>
      </w:tr>
    </w:tbl>
    <w:p/>
    <w:p>
      <w:pPr>
        <w:spacing w:before="140"/>
      </w:pPr>
      <w:r>
        <w:rPr>
          <w:b/>
          <w:sz w:val="21"/>
        </w:rPr>
        <w:t>7.2  Thermal Design Considerations</w:t>
      </w:r>
    </w:p>
    <w:p>
      <w:pPr>
        <w:pStyle w:val="ListBullet"/>
        <w:spacing w:after="40"/>
      </w:pPr>
      <w:r>
        <w:rPr>
          <w:sz w:val="21"/>
        </w:rPr>
        <w:t>The polyimide FPC substrate has very low thermal conductivity (~0.1–0.2 W/m·K). LED junction heat cannot efficiently conduct laterally through the FPC — it must conduct through the copper fills to the FR4 stiffener and then to the CFRP shell.</w:t>
      </w:r>
    </w:p>
    <w:p>
      <w:pPr>
        <w:pStyle w:val="ListBullet"/>
        <w:spacing w:after="40"/>
      </w:pPr>
      <w:r>
        <w:rPr>
          <w:sz w:val="21"/>
        </w:rPr>
        <w:t>The FR4 LED array stiffener must make thermal contact with the CFRP shell inner surface via a thermal interface material (TIM). Specify 1.0 W/m·K TIM pad, 0.5 mm compressed thickness, full stiffener area. This path is critical for IEC 60601 surface temperature compliance.</w:t>
      </w:r>
    </w:p>
    <w:p>
      <w:pPr>
        <w:pStyle w:val="ListBullet"/>
        <w:spacing w:after="40"/>
      </w:pPr>
      <w:r>
        <w:rPr>
          <w:sz w:val="21"/>
        </w:rPr>
        <w:t>Scalp skin acts as a secondary heat sink at the PDMS interface. Do not rely on skin cooling in thermal modelling — model worst case as adiabatic scalp contact.</w:t>
      </w:r>
    </w:p>
    <w:p>
      <w:pPr>
        <w:pStyle w:val="ListBullet"/>
        <w:spacing w:after="40"/>
      </w:pPr>
      <w:r>
        <w:rPr>
          <w:sz w:val="21"/>
        </w:rPr>
        <w:t>Thermal model must be validated by thermocouple measurement on assembled prototype before Aim 1 acceptance testing (SBIR Phase I milestone).</w:t>
      </w:r>
    </w:p>
    <w:p>
      <w:pPr>
        <w:spacing w:before="280" w:after="80"/>
      </w:pPr>
      <w:r>
        <w:rPr>
          <w:b/>
          <w:color w:val="003366"/>
          <w:sz w:val="26"/>
        </w:rPr>
        <w:t>8.  REFERENCE PHOTODIODE DOSE-METERING ASSEMBLY</w:t>
      </w:r>
    </w:p>
    <w:p>
      <w:pPr>
        <w:ind w:firstLine="288"/>
      </w:pPr>
      <w:r>
        <w:t>Each zone module contains one reference photodiode assembly. Its function is to measure optical power exiting through the PDMS window, enabling real-time J/cm² dose metering, detection of LED output aging, and detection of PDMS window fouling. This is a primary competitive differentiator of NeuroPulse.</w:t>
      </w:r>
    </w:p>
    <w:p>
      <w:pPr>
        <w:spacing w:before="140"/>
      </w:pPr>
      <w:r>
        <w:rPr>
          <w:b/>
          <w:sz w:val="21"/>
        </w:rPr>
        <w:t>8.1  Photodiode Specification</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Quantity per zone</w:t>
            </w:r>
          </w:p>
        </w:tc>
        <w:tc>
          <w:tcPr>
            <w:tcW w:type="dxa" w:w="6768"/>
          </w:tcPr>
          <w:p>
            <w:pPr>
              <w:spacing w:after="0"/>
            </w:pPr>
            <w:r>
              <w:rPr>
                <w:sz w:val="19"/>
              </w:rPr>
              <w:t>1</w:t>
            </w:r>
          </w:p>
        </w:tc>
      </w:tr>
      <w:tr>
        <w:tc>
          <w:tcPr>
            <w:tcW w:type="dxa" w:w="3600"/>
          </w:tcPr>
          <w:p>
            <w:pPr>
              <w:spacing w:after="0"/>
            </w:pPr>
            <w:r>
              <w:rPr>
                <w:sz w:val="19"/>
              </w:rPr>
              <w:t>Spectral response</w:t>
            </w:r>
          </w:p>
        </w:tc>
        <w:tc>
          <w:tcPr>
            <w:tcW w:type="dxa" w:w="6768"/>
          </w:tcPr>
          <w:p>
            <w:pPr>
              <w:spacing w:after="0"/>
            </w:pPr>
            <w:r>
              <w:rPr>
                <w:sz w:val="19"/>
              </w:rPr>
              <w:t>Broadband silicon — sensitive at both 660 nm and 808–830 nm</w:t>
            </w:r>
          </w:p>
        </w:tc>
      </w:tr>
      <w:tr>
        <w:tc>
          <w:tcPr>
            <w:tcW w:type="dxa" w:w="3600"/>
          </w:tcPr>
          <w:p>
            <w:pPr>
              <w:spacing w:after="0"/>
            </w:pPr>
            <w:r>
              <w:rPr>
                <w:sz w:val="19"/>
              </w:rPr>
              <w:t>Package</w:t>
            </w:r>
          </w:p>
        </w:tc>
        <w:tc>
          <w:tcPr>
            <w:tcW w:type="dxa" w:w="6768"/>
          </w:tcPr>
          <w:p>
            <w:pPr>
              <w:spacing w:after="0"/>
            </w:pPr>
            <w:r>
              <w:rPr>
                <w:sz w:val="19"/>
              </w:rPr>
              <w:t>SMD, ≤ 3.0 × 3.0 mm (fits within baffle aperture zone)</w:t>
            </w:r>
          </w:p>
        </w:tc>
      </w:tr>
      <w:tr>
        <w:tc>
          <w:tcPr>
            <w:tcW w:type="dxa" w:w="3600"/>
          </w:tcPr>
          <w:p>
            <w:pPr>
              <w:spacing w:after="0"/>
            </w:pPr>
            <w:r>
              <w:rPr>
                <w:sz w:val="19"/>
              </w:rPr>
              <w:t>Dark current</w:t>
            </w:r>
          </w:p>
        </w:tc>
        <w:tc>
          <w:tcPr>
            <w:tcW w:type="dxa" w:w="6768"/>
          </w:tcPr>
          <w:p>
            <w:pPr>
              <w:spacing w:after="0"/>
            </w:pPr>
            <w:r>
              <w:rPr>
                <w:sz w:val="19"/>
              </w:rPr>
              <w:t>≤ 1 nA at 0 V reverse bias (photovoltaic mode preferred for low noise)</w:t>
            </w:r>
          </w:p>
        </w:tc>
      </w:tr>
      <w:tr>
        <w:tc>
          <w:tcPr>
            <w:tcW w:type="dxa" w:w="3600"/>
          </w:tcPr>
          <w:p>
            <w:pPr>
              <w:spacing w:after="0"/>
            </w:pPr>
            <w:r>
              <w:rPr>
                <w:sz w:val="19"/>
              </w:rPr>
              <w:t>Architecture reference</w:t>
            </w:r>
          </w:p>
        </w:tc>
        <w:tc>
          <w:tcPr>
            <w:tcW w:type="dxa" w:w="6768"/>
          </w:tcPr>
          <w:p>
            <w:pPr>
              <w:spacing w:after="0"/>
            </w:pPr>
            <w:r>
              <w:rPr>
                <w:sz w:val="19"/>
              </w:rPr>
              <w:t>Analog Devices ADPD174GGI or ADPD4000 synchronous detection AFE as circuit reference (not necessarily as specific component — may use discrete TIA on Hub PCB)</w:t>
            </w:r>
          </w:p>
        </w:tc>
      </w:tr>
      <w:tr>
        <w:tc>
          <w:tcPr>
            <w:tcW w:type="dxa" w:w="3600"/>
          </w:tcPr>
          <w:p>
            <w:pPr>
              <w:spacing w:after="0"/>
            </w:pPr>
            <w:r>
              <w:rPr>
                <w:sz w:val="19"/>
              </w:rPr>
              <w:t>Transimpedance amplifier (TIA)</w:t>
            </w:r>
          </w:p>
        </w:tc>
        <w:tc>
          <w:tcPr>
            <w:tcW w:type="dxa" w:w="6768"/>
          </w:tcPr>
          <w:p>
            <w:pPr>
              <w:spacing w:after="0"/>
            </w:pPr>
            <w:r>
              <w:rPr>
                <w:sz w:val="19"/>
              </w:rPr>
              <w:t>On Hub PCB, not on zone FPC. Zone FPC carries only PD_ANODE and PD_CATHODE.</w:t>
            </w:r>
          </w:p>
        </w:tc>
      </w:tr>
    </w:tbl>
    <w:p/>
    <w:p>
      <w:pPr>
        <w:spacing w:before="140"/>
      </w:pPr>
      <w:r>
        <w:rPr>
          <w:b/>
          <w:sz w:val="21"/>
        </w:rPr>
        <w:t>8.2  Placement and Baffle Design</w:t>
      </w:r>
    </w:p>
    <w:p>
      <w:pPr>
        <w:ind w:firstLine="288"/>
      </w:pPr>
      <w:r>
        <w:t>The reference photodiode is positioned at one corner of the LED array (within the LED grid footprint, replacing one LED position). It faces the PDMS window from behind (the non-scalp side). A black moulded POM or anodised aluminium baffle with a 1.0 mm diameter circular aperture is placed between the LED layer and the photodiode, ensuring the photodiode only receives light that has passed through the full PDMS window thickness.</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Baffle parameter</w:t>
            </w:r>
          </w:p>
        </w:tc>
        <w:tc>
          <w:tcPr>
            <w:tcW w:type="dxa" w:w="6768"/>
          </w:tcPr>
          <w:p>
            <w:pPr>
              <w:spacing w:after="0"/>
            </w:pPr>
            <w:r>
              <w:rPr>
                <w:b/>
                <w:sz w:val="19"/>
              </w:rPr>
              <w:t>Specification</w:t>
            </w:r>
          </w:p>
        </w:tc>
      </w:tr>
      <w:tr>
        <w:tc>
          <w:tcPr>
            <w:tcW w:type="dxa" w:w="3600"/>
          </w:tcPr>
          <w:p>
            <w:pPr>
              <w:spacing w:after="0"/>
            </w:pPr>
            <w:r>
              <w:rPr>
                <w:sz w:val="19"/>
              </w:rPr>
              <w:t>Aperture diameter</w:t>
            </w:r>
          </w:p>
        </w:tc>
        <w:tc>
          <w:tcPr>
            <w:tcW w:type="dxa" w:w="6768"/>
          </w:tcPr>
          <w:p>
            <w:pPr>
              <w:spacing w:after="0"/>
            </w:pPr>
            <w:r>
              <w:rPr>
                <w:sz w:val="19"/>
              </w:rPr>
              <w:t>1.0 mm (provides ~0.79 mm² collection area)</w:t>
            </w:r>
          </w:p>
        </w:tc>
      </w:tr>
      <w:tr>
        <w:tc>
          <w:tcPr>
            <w:tcW w:type="dxa" w:w="3600"/>
          </w:tcPr>
          <w:p>
            <w:pPr>
              <w:spacing w:after="0"/>
            </w:pPr>
            <w:r>
              <w:rPr>
                <w:sz w:val="19"/>
              </w:rPr>
              <w:t>Baffle height (LED surface to photodiode)</w:t>
            </w:r>
          </w:p>
        </w:tc>
        <w:tc>
          <w:tcPr>
            <w:tcW w:type="dxa" w:w="6768"/>
          </w:tcPr>
          <w:p>
            <w:pPr>
              <w:spacing w:after="0"/>
            </w:pPr>
            <w:r>
              <w:rPr>
                <w:sz w:val="19"/>
              </w:rPr>
              <w:t>2.0–3.0 mm — sufficient to block all direct LED viewing angles</w:t>
            </w:r>
          </w:p>
        </w:tc>
      </w:tr>
      <w:tr>
        <w:tc>
          <w:tcPr>
            <w:tcW w:type="dxa" w:w="3600"/>
          </w:tcPr>
          <w:p>
            <w:pPr>
              <w:spacing w:after="0"/>
            </w:pPr>
            <w:r>
              <w:rPr>
                <w:sz w:val="19"/>
              </w:rPr>
              <w:t>Baffle material</w:t>
            </w:r>
          </w:p>
        </w:tc>
        <w:tc>
          <w:tcPr>
            <w:tcW w:type="dxa" w:w="6768"/>
          </w:tcPr>
          <w:p>
            <w:pPr>
              <w:spacing w:after="0"/>
            </w:pPr>
            <w:r>
              <w:rPr>
                <w:sz w:val="19"/>
              </w:rPr>
              <w:t>Black-anodised 6061-T6 aluminium or moulded POM (black-pigmented)</w:t>
            </w:r>
          </w:p>
        </w:tc>
      </w:tr>
      <w:tr>
        <w:tc>
          <w:tcPr>
            <w:tcW w:type="dxa" w:w="3600"/>
          </w:tcPr>
          <w:p>
            <w:pPr>
              <w:spacing w:after="0"/>
            </w:pPr>
            <w:r>
              <w:rPr>
                <w:sz w:val="19"/>
              </w:rPr>
              <w:t>Baffle reflectance at 660 nm and 808 nm</w:t>
            </w:r>
          </w:p>
        </w:tc>
        <w:tc>
          <w:tcPr>
            <w:tcW w:type="dxa" w:w="6768"/>
          </w:tcPr>
          <w:p>
            <w:pPr>
              <w:spacing w:after="0"/>
            </w:pPr>
            <w:r>
              <w:rPr>
                <w:sz w:val="19"/>
              </w:rPr>
              <w:t>&lt; 2% (matte black surface treatment required)</w:t>
            </w:r>
          </w:p>
        </w:tc>
      </w:tr>
      <w:tr>
        <w:tc>
          <w:tcPr>
            <w:tcW w:type="dxa" w:w="3600"/>
          </w:tcPr>
          <w:p>
            <w:pPr>
              <w:spacing w:after="0"/>
            </w:pPr>
            <w:r>
              <w:rPr>
                <w:sz w:val="19"/>
              </w:rPr>
              <w:t>Baffle-to-PDMS seal</w:t>
            </w:r>
          </w:p>
        </w:tc>
        <w:tc>
          <w:tcPr>
            <w:tcW w:type="dxa" w:w="6768"/>
          </w:tcPr>
          <w:p>
            <w:pPr>
              <w:spacing w:after="0"/>
            </w:pPr>
            <w:r>
              <w:rPr>
                <w:sz w:val="19"/>
              </w:rPr>
              <w:t>Silicone RTV bead around baffle perimeter — prevents edge-coupled stray light from bypassing aperture</w:t>
            </w:r>
          </w:p>
        </w:tc>
      </w:tr>
      <w:tr>
        <w:tc>
          <w:tcPr>
            <w:tcW w:type="dxa" w:w="3600"/>
          </w:tcPr>
          <w:p>
            <w:pPr>
              <w:spacing w:after="0"/>
            </w:pPr>
            <w:r>
              <w:rPr>
                <w:sz w:val="19"/>
              </w:rPr>
              <w:t>Photodiode mounting</w:t>
            </w:r>
          </w:p>
        </w:tc>
        <w:tc>
          <w:tcPr>
            <w:tcW w:type="dxa" w:w="6768"/>
          </w:tcPr>
          <w:p>
            <w:pPr>
              <w:spacing w:after="0"/>
            </w:pPr>
            <w:r>
              <w:rPr>
                <w:sz w:val="19"/>
              </w:rPr>
              <w:t>On zone FPC, in stiffened region adjacent to LED array, aligned to baffle aperture</w:t>
            </w:r>
          </w:p>
        </w:tc>
      </w:tr>
    </w:tbl>
    <w:p/>
    <w:p>
      <w:pPr>
        <w:spacing w:after="80"/>
        <w:ind w:left="288"/>
      </w:pPr>
      <w:r>
        <w:rPr>
          <w:i/>
          <w:color w:val="CC4400"/>
          <w:sz w:val="19"/>
        </w:rPr>
        <w:t>⚠ If the baffle aperture is omitted or misaligned, the photodiode will receive direct LED emission and will NOT measure transmission through the PDMS. The dose-metering claim fails entirely. Baffle alignment must be verified optically on first article inspection. See RISK-06.</w:t>
      </w:r>
    </w:p>
    <w:p>
      <w:pPr>
        <w:spacing w:before="140"/>
      </w:pPr>
      <w:r>
        <w:rPr>
          <w:b/>
          <w:sz w:val="21"/>
        </w:rPr>
        <w:t>8.3  Measurement Architecture — Synchronous Detection</w:t>
      </w:r>
    </w:p>
    <w:p>
      <w:pPr>
        <w:ind w:firstLine="288"/>
      </w:pPr>
      <w:r>
        <w:t>The photodiode is sampled synchronously with the LED PWM pulse (lock-in detection). The Hub MCU samples PD_CATHODE output via TIA only during the LED-ON phase, referenced against a sample taken during the LED-OFF phase. This rejects ambient light (DC and 100/120 Hz mains-coupled AC) regardless of PDMS window light-seal quality.</w:t>
      </w:r>
    </w:p>
    <w:p>
      <w:pPr>
        <w:pStyle w:val="ListBullet"/>
        <w:spacing w:after="40"/>
      </w:pPr>
      <w:r>
        <w:rPr>
          <w:sz w:val="21"/>
        </w:rPr>
        <w:t>LED pulse width for reference measurement: 100 µs minimum (allows TIA settling + ADC sampling)</w:t>
      </w:r>
    </w:p>
    <w:p>
      <w:pPr>
        <w:pStyle w:val="ListBullet"/>
        <w:spacing w:after="40"/>
      </w:pPr>
      <w:r>
        <w:rPr>
          <w:sz w:val="21"/>
        </w:rPr>
        <w:t>TIA integration time: aligned to LED on-time, sampled at end of pulse</w:t>
      </w:r>
    </w:p>
    <w:p>
      <w:pPr>
        <w:pStyle w:val="ListBullet"/>
        <w:spacing w:after="40"/>
      </w:pPr>
      <w:r>
        <w:rPr>
          <w:sz w:val="21"/>
        </w:rPr>
        <w:t>Ambient light subtraction: LED-OFF sample taken in same PWM period, subtracted in firmware</w:t>
      </w:r>
    </w:p>
    <w:p>
      <w:pPr>
        <w:pStyle w:val="ListBullet"/>
        <w:spacing w:after="40"/>
      </w:pPr>
      <w:r>
        <w:rPr>
          <w:sz w:val="21"/>
        </w:rPr>
        <w:t>Dose calculation: J/cm² = ∫ P(t) dt / A_zone, where P(t) is derived from photodiode current via factory-calibrated irradiance-to-current coefficient, and A_zone is the zone active area in cm²</w:t>
      </w:r>
    </w:p>
    <w:p>
      <w:pPr>
        <w:pStyle w:val="ListBullet"/>
        <w:spacing w:after="40"/>
      </w:pPr>
      <w:r>
        <w:rPr>
          <w:sz w:val="21"/>
        </w:rPr>
        <w:t>Factory calibration: at 100 hours of operation (burn-in), photodiode output at nominal current is recorded as the reference baseline. Subsequent measurements normalised to baseline.</w:t>
      </w:r>
    </w:p>
    <w:p>
      <w:pPr>
        <w:pStyle w:val="ListBullet"/>
        <w:spacing w:after="40"/>
      </w:pPr>
      <w:r>
        <w:rPr>
          <w:sz w:val="21"/>
        </w:rPr>
        <w:t>LED aging vs. fouling separation: slow drift (&gt;7-day trend) → LED aging; rapid drop (within session) → PDMS fouling. Both trigger distinct SHDR flags and user prompts.</w:t>
      </w:r>
    </w:p>
    <w:p>
      <w:r>
        <w:rPr>
          <w:b w:val="0"/>
          <w:sz w:val="20"/>
        </w:rPr>
        <w:t>Calibration: at factory burn-in (100 h), record PD1_ref and PD2_ref at nominal LED current. Store in SHDR calibration partition. Field algorithm uses PD1/PD1_ref and PD2/PD2_ref ratios, not absolute values.</w:t>
      </w:r>
    </w:p>
    <w:p>
      <w:r>
        <w:rPr>
          <w:b w:val="0"/>
          <w:sz w:val="20"/>
        </w:rPr>
        <w:t>BOM impact: +$0.75–1.50 per headset (PD2 component + TIA multiplexer input). Included in RISK-14 Option B BOM estimate. T1 and T2 share the same zone module mould — no additional tooling cost for T2.</w:t>
      </w:r>
    </w:p>
    <w:p>
      <w:r>
        <w:rPr>
          <w:b w:val="0"/>
          <w:sz w:val="20"/>
        </w:rPr>
        <w:t>[DRAWING REQUIREMENT — ZONE MODULE TOOLING] PD2 aperture: 1.2 mm circular opening in scalp-facing PDMS window, centred on PD2 body. Aperture must be specified in NP-TOOL-ZM-001 before mould design. T1 and T2 zone modules use identical mould — PD2 aperture is present in all units; firmware enables dual-PD ratio algorithm by software flag only.</w:t>
      </w:r>
    </w:p>
    <w:p>
      <w:r>
        <w:rPr>
          <w:b w:val="0"/>
          <w:sz w:val="20"/>
        </w:rPr>
        <w:t>Electrical connection: PD2_CATHODE on FPC pin 19 (formerly SPARE_2). Hub MCU reads PD2 via the same TIA circuit as PD1, time-multiplexed within the LED PWM dark period. No additional Hub PCB area required beyond one ADC multiplexer input.</w:t>
      </w:r>
    </w:p>
    <w:p>
      <w:r>
        <w:rPr>
          <w:b w:val="0"/>
          <w:sz w:val="20"/>
        </w:rPr>
        <w:t>PD1 stable PD2↑ → anomalous scalp reflectance change (log to SHDR; do not alter dose)</w:t>
      </w:r>
    </w:p>
    <w:p>
      <w:r>
        <w:rPr>
          <w:b w:val="0"/>
          <w:sz w:val="20"/>
        </w:rPr>
        <w:t>PD1↓ PD2↓ proportional → LED aging (auto: increase current within IEC 60601 ceiling)</w:t>
      </w:r>
    </w:p>
    <w:p>
      <w:r>
        <w:rPr>
          <w:b w:val="0"/>
          <w:sz w:val="20"/>
        </w:rPr>
        <w:t>PD1↓ PD2 stable → PDMS fouling (user: clean window prompt)</w:t>
      </w:r>
    </w:p>
    <w:p>
      <w:r>
        <w:rPr>
          <w:b w:val="0"/>
          <w:sz w:val="20"/>
        </w:rPr>
        <w:t>Rationale: PD1 (existing reference photodiode, §8.1–8.3) is positioned behind the scalp-facing PDMS window and measures forward-emitted power. PD1 signal combines LED aging and PDMS fouling — these cannot be separated by trend analysis alone. PD2, facing the scalp, is unaffected by PDMS fouling. The ratio PD1/PD2 isolates the two failure modes with firmware-only logic:</w:t>
      </w:r>
    </w:p>
    <w:p>
      <w:r>
        <w:rPr>
          <w:b w:val="0"/>
          <w:sz w:val="20"/>
        </w:rPr>
        <w:t>A second photodiode (PD2) is co-moulded into the scalp-facing surface of the zone module body, behind a dedicated 1.2 mm circular aperture in the PDMS window (see §12 zone module tooling). PD2 faces the scalp directly and measures backscattered optical power from tissue.</w:t>
      </w:r>
    </w:p>
    <w:p>
      <w:r>
        <w:rPr>
          <w:b/>
          <w:color w:val="1F497D"/>
          <w:sz w:val="22"/>
        </w:rPr>
        <w:t>8.4  Scalp-Side Reference Photodiode (PD2) — RISK-14 Option B</w:t>
      </w:r>
    </w:p>
    <w:p/>
    <w:p>
      <w:pPr>
        <w:spacing w:before="280" w:after="80"/>
      </w:pPr>
      <w:r>
        <w:rPr>
          <w:b/>
          <w:color w:val="003366"/>
          <w:sz w:val="26"/>
        </w:rPr>
        <w:t>9.  PDMS OPTICAL WINDOW SPECIFICATION</w:t>
      </w:r>
    </w:p>
    <w:p>
      <w:pPr>
        <w:spacing w:after="80"/>
        <w:ind w:left="288"/>
      </w:pPr>
      <w:r>
        <w:rPr>
          <w:i/>
          <w:color w:val="CC4400"/>
          <w:sz w:val="19"/>
        </w:rPr>
        <w:t>⚠ PDMS–polyimide CTE mismatch is 15:1 (PDMS ~300 ppm/°C vs. PI ~18 ppm/°C). Simple O₂ plasma bonding alone achieves only 7–12 N/m peel force — insufficient for thermal cycling over device lifetime. Sputtered SiO₂ interlayer is required. See RISK-04.</w:t>
      </w:r>
    </w:p>
    <w:p>
      <w:pPr>
        <w:spacing w:before="140"/>
      </w:pPr>
      <w:r>
        <w:rPr>
          <w:b/>
          <w:sz w:val="21"/>
        </w:rPr>
        <w:t>9.1  Window Geometry</w:t>
      </w:r>
    </w:p>
    <w:tbl>
      <w:tblPr>
        <w:tblStyle w:val="TableGrid"/>
        <w:tblW w:type="auto" w:w="0"/>
        <w:tblLook w:firstColumn="1" w:firstRow="1" w:lastColumn="0" w:lastRow="0" w:noHBand="0" w:noVBand="1" w:val="04A0"/>
      </w:tblPr>
      <w:tblGrid>
        <w:gridCol w:w="4680"/>
        <w:gridCol w:w="4680"/>
      </w:tblGrid>
      <w:tr>
        <w:tc>
          <w:tcPr>
            <w:tcW w:type="dxa" w:w="3600"/>
          </w:tcPr>
          <w:p>
            <w:pPr>
              <w:spacing w:after="0"/>
            </w:pPr>
            <w:r>
              <w:rPr>
                <w:b/>
                <w:sz w:val="19"/>
              </w:rPr>
              <w:t>Parameter</w:t>
            </w:r>
          </w:p>
        </w:tc>
        <w:tc>
          <w:tcPr>
            <w:tcW w:type="dxa" w:w="6768"/>
          </w:tcPr>
          <w:p>
            <w:pPr>
              <w:spacing w:after="0"/>
            </w:pPr>
            <w:r>
              <w:rPr>
                <w:b/>
                <w:sz w:val="19"/>
              </w:rPr>
              <w:t>Specification</w:t>
            </w:r>
          </w:p>
        </w:tc>
      </w:tr>
      <w:tr>
        <w:tc>
          <w:tcPr>
            <w:tcW w:type="dxa" w:w="3600"/>
          </w:tcPr>
          <w:p>
            <w:pPr>
              <w:spacing w:after="0"/>
            </w:pPr>
            <w:r>
              <w:rPr>
                <w:sz w:val="19"/>
              </w:rPr>
              <w:t>Window coverage</w:t>
            </w:r>
          </w:p>
        </w:tc>
        <w:tc>
          <w:tcPr>
            <w:tcW w:type="dxa" w:w="6768"/>
          </w:tcPr>
          <w:p>
            <w:pPr>
              <w:spacing w:after="0"/>
            </w:pPr>
            <w:r>
              <w:rPr>
                <w:sz w:val="19"/>
              </w:rPr>
              <w:t>Full LED array footprint + 3 mm border (60 mm × 72 mm minimum active area per zone)</w:t>
            </w:r>
          </w:p>
        </w:tc>
      </w:tr>
      <w:tr>
        <w:tc>
          <w:tcPr>
            <w:tcW w:type="dxa" w:w="3600"/>
          </w:tcPr>
          <w:p>
            <w:pPr>
              <w:spacing w:after="0"/>
            </w:pPr>
            <w:r>
              <w:rPr>
                <w:sz w:val="19"/>
              </w:rPr>
              <w:t>Window thickness</w:t>
            </w:r>
          </w:p>
        </w:tc>
        <w:tc>
          <w:tcPr>
            <w:tcW w:type="dxa" w:w="6768"/>
          </w:tcPr>
          <w:p>
            <w:pPr>
              <w:spacing w:after="0"/>
            </w:pPr>
            <w:r>
              <w:rPr>
                <w:sz w:val="19"/>
              </w:rPr>
              <w:t>1.5–2.0 mm (balance between optical transmission loss and mechanical robustness)</w:t>
            </w:r>
          </w:p>
        </w:tc>
      </w:tr>
      <w:tr>
        <w:tc>
          <w:tcPr>
            <w:tcW w:type="dxa" w:w="3600"/>
          </w:tcPr>
          <w:p>
            <w:pPr>
              <w:spacing w:after="0"/>
            </w:pPr>
            <w:r>
              <w:rPr>
                <w:sz w:val="19"/>
              </w:rPr>
              <w:t>PDMS formulation</w:t>
            </w:r>
          </w:p>
        </w:tc>
        <w:tc>
          <w:tcPr>
            <w:tcW w:type="dxa" w:w="6768"/>
          </w:tcPr>
          <w:p>
            <w:pPr>
              <w:spacing w:after="0"/>
            </w:pPr>
            <w:r>
              <w:rPr>
                <w:sz w:val="19"/>
              </w:rPr>
              <w:t>Sylgard 184 or equivalent, 10:1 base:curing agent, cured at 80°C for 2 hr minimum</w:t>
            </w:r>
          </w:p>
        </w:tc>
      </w:tr>
      <w:tr>
        <w:tc>
          <w:tcPr>
            <w:tcW w:type="dxa" w:w="3600"/>
          </w:tcPr>
          <w:p>
            <w:pPr>
              <w:spacing w:after="0"/>
            </w:pPr>
            <w:r>
              <w:rPr>
                <w:sz w:val="19"/>
              </w:rPr>
              <w:t>Surface treatment</w:t>
            </w:r>
          </w:p>
        </w:tc>
        <w:tc>
          <w:tcPr>
            <w:tcW w:type="dxa" w:w="6768"/>
          </w:tcPr>
          <w:p>
            <w:pPr>
              <w:spacing w:after="0"/>
            </w:pPr>
            <w:r>
              <w:rPr>
                <w:sz w:val="19"/>
              </w:rPr>
              <w:t>Plasma-activated (O₂ plasma, 2 min at 100 W, immediately before bonding)</w:t>
            </w:r>
          </w:p>
        </w:tc>
      </w:tr>
      <w:tr>
        <w:tc>
          <w:tcPr>
            <w:tcW w:type="dxa" w:w="3600"/>
          </w:tcPr>
          <w:p>
            <w:pPr>
              <w:spacing w:after="0"/>
            </w:pPr>
            <w:r>
              <w:rPr>
                <w:sz w:val="19"/>
              </w:rPr>
              <w:t>Optical transmission at 660 nm</w:t>
            </w:r>
          </w:p>
        </w:tc>
        <w:tc>
          <w:tcPr>
            <w:tcW w:type="dxa" w:w="6768"/>
          </w:tcPr>
          <w:p>
            <w:pPr>
              <w:spacing w:after="0"/>
            </w:pPr>
            <w:r>
              <w:rPr>
                <w:sz w:val="19"/>
              </w:rPr>
              <w:t>&gt; 92% through specified thickness</w:t>
            </w:r>
          </w:p>
        </w:tc>
      </w:tr>
      <w:tr>
        <w:tc>
          <w:tcPr>
            <w:tcW w:type="dxa" w:w="3600"/>
          </w:tcPr>
          <w:p>
            <w:pPr>
              <w:spacing w:after="0"/>
            </w:pPr>
            <w:r>
              <w:rPr>
                <w:sz w:val="19"/>
              </w:rPr>
              <w:t>Optical transmission at 808–830 nm</w:t>
            </w:r>
          </w:p>
        </w:tc>
        <w:tc>
          <w:tcPr>
            <w:tcW w:type="dxa" w:w="6768"/>
          </w:tcPr>
          <w:p>
            <w:pPr>
              <w:spacing w:after="0"/>
            </w:pPr>
            <w:r>
              <w:rPr>
                <w:sz w:val="19"/>
              </w:rPr>
              <w:t>&gt; 94% through specified thickness</w:t>
            </w:r>
          </w:p>
        </w:tc>
      </w:tr>
      <w:tr>
        <w:tc>
          <w:tcPr>
            <w:tcW w:type="dxa" w:w="3600"/>
          </w:tcPr>
          <w:p>
            <w:pPr>
              <w:spacing w:after="0"/>
            </w:pPr>
            <w:r>
              <w:rPr>
                <w:sz w:val="19"/>
              </w:rPr>
              <w:t>Anti-fouling property</w:t>
            </w:r>
          </w:p>
        </w:tc>
        <w:tc>
          <w:tcPr>
            <w:tcW w:type="dxa" w:w="6768"/>
          </w:tcPr>
          <w:p>
            <w:pPr>
              <w:spacing w:after="0"/>
            </w:pPr>
            <w:r>
              <w:rPr>
                <w:sz w:val="19"/>
              </w:rPr>
              <w:t>Plasma-activated surface is hydrophilic — repels sebum and sweat. Maintained for ≥ 6 months in ambient storage.</w:t>
            </w:r>
          </w:p>
        </w:tc>
      </w:tr>
      <w:tr>
        <w:tc>
          <w:tcPr>
            <w:tcW w:type="dxa" w:w="3600"/>
          </w:tcPr>
          <w:p>
            <w:pPr>
              <w:spacing w:after="0"/>
            </w:pPr>
            <w:r>
              <w:rPr>
                <w:sz w:val="19"/>
              </w:rPr>
              <w:t>Refractive index</w:t>
            </w:r>
          </w:p>
        </w:tc>
        <w:tc>
          <w:tcPr>
            <w:tcW w:type="dxa" w:w="6768"/>
          </w:tcPr>
          <w:p>
            <w:pPr>
              <w:spacing w:after="0"/>
            </w:pPr>
            <w:r>
              <w:rPr>
                <w:sz w:val="19"/>
              </w:rPr>
              <w:t>~1.43 (minimal Fresnel reflection loss at scalp interface)</w:t>
            </w:r>
          </w:p>
        </w:tc>
      </w:tr>
    </w:tbl>
    <w:p/>
    <w:p>
      <w:pPr>
        <w:spacing w:before="140"/>
      </w:pPr>
      <w:r>
        <w:rPr>
          <w:b/>
          <w:sz w:val="21"/>
        </w:rPr>
        <w:t>9.2  Bonding Process Specification</w:t>
      </w:r>
    </w:p>
    <w:p>
      <w:pPr>
        <w:ind w:firstLine="288"/>
      </w:pPr>
      <w:r>
        <w:t>The PDMS window is bonded to the FPC coverlay surface using the following process sequence. Deviation from this sequence will result in inadequate bond strength for thermal cycling requirements:</w:t>
      </w:r>
    </w:p>
    <w:p>
      <w:pPr>
        <w:pStyle w:val="ListNumber"/>
        <w:spacing w:after="40"/>
      </w:pPr>
      <w:r>
        <w:rPr>
          <w:sz w:val="21"/>
        </w:rPr>
        <w:t>Deposit 75 nm sputtered SiO₂ on the PI coverlay surface in the PDMS bond area (RF magnetron sputtering, room temperature). This bridges the chemical incompatibility between PDMS and PI.</w:t>
      </w:r>
    </w:p>
    <w:p>
      <w:pPr>
        <w:pStyle w:val="ListNumber"/>
        <w:spacing w:after="40"/>
      </w:pPr>
      <w:r>
        <w:rPr>
          <w:sz w:val="21"/>
        </w:rPr>
        <w:t>O₂ plasma activation of SiO₂ surface: 100 W, 30 sccm O₂, 60 s, immediately before bonding (&lt; 10 min delay).</w:t>
      </w:r>
    </w:p>
    <w:p>
      <w:pPr>
        <w:pStyle w:val="ListNumber"/>
        <w:spacing w:after="40"/>
      </w:pPr>
      <w:r>
        <w:rPr>
          <w:sz w:val="21"/>
        </w:rPr>
        <w:t>O₂ plasma activation of PDMS surface: same parameters, same time window.</w:t>
      </w:r>
    </w:p>
    <w:p>
      <w:pPr>
        <w:pStyle w:val="ListNumber"/>
        <w:spacing w:after="40"/>
      </w:pPr>
      <w:r>
        <w:rPr>
          <w:sz w:val="21"/>
        </w:rPr>
        <w:t>Align and contact surfaces. Apply 50 g/cm² uniform pressure.</w:t>
      </w:r>
    </w:p>
    <w:p>
      <w:pPr>
        <w:pStyle w:val="ListNumber"/>
        <w:spacing w:after="40"/>
      </w:pPr>
      <w:r>
        <w:rPr>
          <w:sz w:val="21"/>
        </w:rPr>
        <w:t>Cure at 120°C for 2 hr minimum under pressure.</w:t>
      </w:r>
    </w:p>
    <w:p>
      <w:pPr>
        <w:pStyle w:val="ListNumber"/>
        <w:spacing w:after="40"/>
      </w:pPr>
      <w:r>
        <w:rPr>
          <w:sz w:val="21"/>
        </w:rPr>
        <w:t>Post-bond peel test: sample from each production batch, minimum 5 coupons. Pass criterion: peel force &gt; 150 N/m (per IPC-TM-650 2.4.9 or equivalent). Target &gt; 400 N/m.</w:t>
      </w:r>
    </w:p>
    <w:p>
      <w:pPr>
        <w:spacing w:before="140"/>
      </w:pPr>
      <w:r>
        <w:rPr>
          <w:b/>
          <w:sz w:val="21"/>
        </w:rPr>
        <w:t>9.3  Thermal Cycling Qualification</w:t>
      </w:r>
    </w:p>
    <w:p>
      <w:pPr>
        <w:ind w:firstLine="288"/>
      </w:pPr>
      <w:r>
        <w:t>The bonded PDMS–FPC assembly must pass thermal cycling qualification before zone module tooling is released. Requirement:</w:t>
      </w:r>
    </w:p>
    <w:p>
      <w:pPr>
        <w:pStyle w:val="ListBullet"/>
        <w:spacing w:after="40"/>
      </w:pPr>
      <w:r>
        <w:rPr>
          <w:sz w:val="21"/>
        </w:rPr>
        <w:t>Test standard: IEC 60068-2-14 (thermal shock/cycling), condition Na or equivalent</w:t>
      </w:r>
    </w:p>
    <w:p>
      <w:pPr>
        <w:pStyle w:val="ListBullet"/>
        <w:spacing w:after="40"/>
      </w:pPr>
      <w:r>
        <w:rPr>
          <w:sz w:val="21"/>
        </w:rPr>
        <w:t>Temperature range: −10°C to +65°C (exceeds in-use range with margin)</w:t>
      </w:r>
    </w:p>
    <w:p>
      <w:pPr>
        <w:pStyle w:val="ListBullet"/>
        <w:spacing w:after="40"/>
      </w:pPr>
      <w:r>
        <w:rPr>
          <w:sz w:val="21"/>
        </w:rPr>
        <w:t>Number of cycles: 200 minimum</w:t>
      </w:r>
    </w:p>
    <w:p>
      <w:pPr>
        <w:pStyle w:val="ListBullet"/>
        <w:spacing w:after="40"/>
      </w:pPr>
      <w:r>
        <w:rPr>
          <w:sz w:val="21"/>
        </w:rPr>
        <w:t>Dwell time: 15 min minimum at each extreme</w:t>
      </w:r>
    </w:p>
    <w:p>
      <w:pPr>
        <w:pStyle w:val="ListBullet"/>
        <w:spacing w:after="40"/>
      </w:pPr>
      <w:r>
        <w:rPr>
          <w:sz w:val="21"/>
        </w:rPr>
        <w:t>Post-test inspection: peel test (same pass criterion as above) + optical transmission measurement (must remain &gt; 90% of pre-test value) + visual inspection for delamination, bubbling, or discolouration</w:t>
      </w:r>
    </w:p>
    <w:p>
      <w:pPr>
        <w:spacing w:after="80"/>
        <w:ind w:left="288"/>
      </w:pPr>
      <w:r>
        <w:rPr>
          <w:i/>
          <w:sz w:val="19"/>
        </w:rPr>
        <w:t>No public data exists on PI–PDMS bond fatigue specifically under LED thermal cycling conditions. This qualification test will generate novel data. If the SiO₂ interlayer process does not achieve the peel force target, evaluate silane coupling agent (APTES treatment of PI surface) as an alternative adhesion promoter.</w:t>
      </w:r>
    </w:p>
    <w:p>
      <w:pPr>
        <w:spacing w:before="280" w:after="80"/>
      </w:pPr>
      <w:r>
        <w:rPr>
          <w:b/>
          <w:color w:val="003366"/>
          <w:sz w:val="26"/>
        </w:rPr>
        <w:t>10.  POWER AND GROUND TRACE SPECIFICATION</w:t>
      </w:r>
    </w:p>
    <w:p>
      <w:pPr>
        <w:spacing w:after="80"/>
        <w:ind w:left="288"/>
      </w:pPr>
      <w:r>
        <w:rPr>
          <w:i/>
          <w:color w:val="CC4400"/>
          <w:sz w:val="19"/>
        </w:rPr>
        <w:t>⚠ This section contains calculated minimum trace widths. Standard FPC layout practice for signal routing will produce traces too narrow for the LED power currents in this design. Every power trace must be reviewed against this section before layout sign-off.</w:t>
      </w:r>
    </w:p>
    <w:p>
      <w:pPr>
        <w:spacing w:before="140"/>
      </w:pPr>
      <w:r>
        <w:rPr>
          <w:b/>
          <w:sz w:val="21"/>
        </w:rPr>
        <w:t>10.1  Current Budget per Zone Module</w:t>
      </w:r>
    </w:p>
    <w:tbl>
      <w:tblPr>
        <w:tblStyle w:val="TableGrid"/>
        <w:tblW w:type="auto" w:w="0"/>
        <w:tblLook w:firstColumn="1" w:firstRow="1" w:lastColumn="0" w:lastRow="0" w:noHBand="0" w:noVBand="1" w:val="04A0"/>
      </w:tblPr>
      <w:tblGrid>
        <w:gridCol w:w="2340"/>
        <w:gridCol w:w="2340"/>
        <w:gridCol w:w="2340"/>
        <w:gridCol w:w="2340"/>
      </w:tblGrid>
      <w:tr>
        <w:tc>
          <w:tcPr>
            <w:tcW w:type="dxa" w:w="3168"/>
          </w:tcPr>
          <w:p>
            <w:pPr>
              <w:spacing w:after="0"/>
            </w:pPr>
            <w:r>
              <w:rPr>
                <w:b/>
                <w:sz w:val="19"/>
              </w:rPr>
              <w:t>Rail</w:t>
            </w:r>
          </w:p>
        </w:tc>
        <w:tc>
          <w:tcPr>
            <w:tcW w:type="dxa" w:w="1440"/>
          </w:tcPr>
          <w:p>
            <w:pPr>
              <w:spacing w:after="0"/>
            </w:pPr>
            <w:r>
              <w:rPr>
                <w:b/>
                <w:sz w:val="19"/>
              </w:rPr>
              <w:t>Peak current</w:t>
            </w:r>
          </w:p>
        </w:tc>
        <w:tc>
          <w:tcPr>
            <w:tcW w:type="dxa" w:w="1872"/>
          </w:tcPr>
          <w:p>
            <w:pPr>
              <w:spacing w:after="0"/>
            </w:pPr>
            <w:r>
              <w:rPr>
                <w:b/>
                <w:sz w:val="19"/>
              </w:rPr>
              <w:t>RMS current (25% duty)</w:t>
            </w:r>
          </w:p>
        </w:tc>
        <w:tc>
          <w:tcPr>
            <w:tcW w:type="dxa" w:w="3888"/>
          </w:tcPr>
          <w:p>
            <w:pPr>
              <w:spacing w:after="0"/>
            </w:pPr>
            <w:r>
              <w:rPr>
                <w:b/>
                <w:sz w:val="19"/>
              </w:rPr>
              <w:t>Trace width required (1 oz RA, 10°C rise, FPC derated)</w:t>
            </w:r>
          </w:p>
        </w:tc>
      </w:tr>
      <w:tr>
        <w:tc>
          <w:tcPr>
            <w:tcW w:type="dxa" w:w="3168"/>
          </w:tcPr>
          <w:p>
            <w:pPr>
              <w:spacing w:after="0"/>
            </w:pPr>
            <w:r>
              <w:rPr>
                <w:sz w:val="19"/>
              </w:rPr>
              <w:t>VLED_660 supply bus (pins 1+2)</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(e.g., two 1.0 mm traces in parallel on both Cu layers, or solid copper pour — whichever is wider). Minimum 2.0 mm total copper width.</w:t>
            </w:r>
          </w:p>
        </w:tc>
      </w:tr>
      <w:tr>
        <w:tc>
          <w:tcPr>
            <w:tcW w:type="dxa" w:w="3168"/>
          </w:tcPr>
          <w:p>
            <w:pPr>
              <w:spacing w:after="0"/>
            </w:pPr>
            <w:r>
              <w:rPr>
                <w:sz w:val="19"/>
              </w:rPr>
              <w:t>GND_660 return bus (pins 3+4)</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supply — matched impedance return path)</w:t>
            </w:r>
          </w:p>
        </w:tc>
      </w:tr>
      <w:tr>
        <w:tc>
          <w:tcPr>
            <w:tcW w:type="dxa" w:w="3168"/>
          </w:tcPr>
          <w:p>
            <w:pPr>
              <w:spacing w:after="0"/>
            </w:pPr>
            <w:r>
              <w:rPr>
                <w:sz w:val="19"/>
              </w:rPr>
              <w:t>VLED_808 supply bus (pins 5+6)</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660 nm supply)</w:t>
            </w:r>
          </w:p>
        </w:tc>
      </w:tr>
      <w:tr>
        <w:tc>
          <w:tcPr>
            <w:tcW w:type="dxa" w:w="3168"/>
          </w:tcPr>
          <w:p>
            <w:pPr>
              <w:spacing w:after="0"/>
            </w:pPr>
            <w:r>
              <w:rPr>
                <w:sz w:val="19"/>
              </w:rPr>
              <w:t>GND_808 return bus (pins 7+8)</w:t>
            </w:r>
          </w:p>
        </w:tc>
        <w:tc>
          <w:tcPr>
            <w:tcW w:type="dxa" w:w="1440"/>
          </w:tcPr>
          <w:p>
            <w:pPr>
              <w:spacing w:after="0"/>
            </w:pPr>
            <w:r>
              <w:rPr>
                <w:sz w:val="19"/>
              </w:rPr>
              <w:t>1.8 A</w:t>
            </w:r>
          </w:p>
        </w:tc>
        <w:tc>
          <w:tcPr>
            <w:tcW w:type="dxa" w:w="1872"/>
          </w:tcPr>
          <w:p>
            <w:pPr>
              <w:spacing w:after="0"/>
            </w:pPr>
            <w:r>
              <w:rPr>
                <w:sz w:val="19"/>
              </w:rPr>
              <w:t>0.9 A</w:t>
            </w:r>
          </w:p>
        </w:tc>
        <w:tc>
          <w:tcPr>
            <w:tcW w:type="dxa" w:w="3888"/>
          </w:tcPr>
          <w:p>
            <w:pPr>
              <w:spacing w:after="0"/>
            </w:pPr>
            <w:r>
              <w:rPr>
                <w:b w:val="0"/>
                <w:sz w:val="19"/>
              </w:rPr>
              <w:t>≥ 2.0 mm per rail (same as 660 nm return)</w:t>
            </w:r>
          </w:p>
        </w:tc>
      </w:tr>
      <w:tr>
        <w:tc>
          <w:tcPr>
            <w:tcW w:type="dxa" w:w="3168"/>
          </w:tcPr>
          <w:p>
            <w:pPr>
              <w:spacing w:after="0"/>
            </w:pPr>
            <w:r>
              <w:rPr>
                <w:sz w:val="19"/>
              </w:rPr>
              <w:t>Combined zone power bus (Hub PCB to zone connector)</w:t>
            </w:r>
          </w:p>
        </w:tc>
        <w:tc>
          <w:tcPr>
            <w:tcW w:type="dxa" w:w="1440"/>
          </w:tcPr>
          <w:p>
            <w:pPr>
              <w:spacing w:after="0"/>
            </w:pPr>
            <w:r>
              <w:rPr>
                <w:sz w:val="19"/>
              </w:rPr>
              <w:t>3.6 A</w:t>
            </w:r>
          </w:p>
        </w:tc>
        <w:tc>
          <w:tcPr>
            <w:tcW w:type="dxa" w:w="1872"/>
          </w:tcPr>
          <w:p>
            <w:pPr>
              <w:spacing w:after="0"/>
            </w:pPr>
            <w:r>
              <w:rPr>
                <w:sz w:val="19"/>
              </w:rPr>
              <w:t>1.8 A</w:t>
            </w:r>
          </w:p>
        </w:tc>
        <w:tc>
          <w:tcPr>
            <w:tcW w:type="dxa" w:w="3888"/>
          </w:tcPr>
          <w:p>
            <w:pPr>
              <w:spacing w:after="0"/>
            </w:pPr>
            <w:r>
              <w:rPr>
                <w:b w:val="0"/>
                <w:sz w:val="19"/>
              </w:rPr>
              <w:t>≥ 4.0 mm on Hub PCB (or copper pour); handles 3.6 A peak / 1.8 A RMS aggregate for one zone. Scale proportionally for multi-zone hub routing.</w:t>
            </w:r>
          </w:p>
        </w:tc>
      </w:tr>
      <w:tr>
        <w:tc>
          <w:tcPr>
            <w:tcW w:type="dxa" w:w="3168"/>
          </w:tcPr>
          <w:p>
            <w:pPr>
              <w:spacing w:after="0"/>
            </w:pPr>
            <w:r>
              <w:rPr>
                <w:sz w:val="19"/>
              </w:rPr>
              <w:t>Per-string LED current (internal FPC traces)</w:t>
            </w:r>
          </w:p>
        </w:tc>
        <w:tc>
          <w:tcPr>
            <w:tcW w:type="dxa" w:w="1440"/>
          </w:tcPr>
          <w:p>
            <w:pPr>
              <w:spacing w:after="0"/>
            </w:pPr>
            <w:r>
              <w:rPr>
                <w:sz w:val="19"/>
              </w:rPr>
              <w:t>180 mA</w:t>
            </w:r>
          </w:p>
        </w:tc>
        <w:tc>
          <w:tcPr>
            <w:tcW w:type="dxa" w:w="1872"/>
          </w:tcPr>
          <w:p>
            <w:pPr>
              <w:spacing w:after="0"/>
            </w:pPr>
            <w:r>
              <w:rPr>
                <w:sz w:val="19"/>
              </w:rPr>
              <w:t>45 mA RMS</w:t>
            </w:r>
          </w:p>
        </w:tc>
        <w:tc>
          <w:tcPr>
            <w:tcW w:type="dxa" w:w="3888"/>
          </w:tcPr>
          <w:p>
            <w:pPr>
              <w:spacing w:after="0"/>
            </w:pPr>
            <w:r>
              <w:rPr>
                <w:b w:val="0"/>
                <w:sz w:val="19"/>
              </w:rPr>
              <w:t>≥ 0.5 mm (1 oz copper; easily met at 180 mA per string — IPC-2223 minimum is ~0.1 mm; 0.5 mm minimum for manufacturability)</w:t>
            </w:r>
          </w:p>
        </w:tc>
      </w:tr>
      <w:tr>
        <w:tc>
          <w:tcPr>
            <w:tcW w:type="dxa" w:w="3168"/>
          </w:tcPr>
          <w:p>
            <w:pPr>
              <w:spacing w:after="0"/>
            </w:pPr>
            <w:r>
              <w:rPr>
                <w:sz w:val="19"/>
              </w:rPr>
              <w:t>Signal traces (PWM, ENABLE, FAULT, NTC, PD)</w:t>
            </w:r>
          </w:p>
        </w:tc>
        <w:tc>
          <w:tcPr>
            <w:tcW w:type="dxa" w:w="1440"/>
          </w:tcPr>
          <w:p>
            <w:pPr>
              <w:spacing w:after="0"/>
            </w:pPr>
            <w:r>
              <w:rPr>
                <w:sz w:val="19"/>
              </w:rPr>
              <w:t>&lt; 10 mA</w:t>
            </w:r>
          </w:p>
        </w:tc>
        <w:tc>
          <w:tcPr>
            <w:tcW w:type="dxa" w:w="1872"/>
          </w:tcPr>
          <w:p>
            <w:pPr>
              <w:spacing w:after="0"/>
            </w:pPr>
            <w:r>
              <w:rPr>
                <w:sz w:val="19"/>
              </w:rPr>
              <w:t>&lt; 10 mA</w:t>
            </w:r>
          </w:p>
        </w:tc>
        <w:tc>
          <w:tcPr>
            <w:tcW w:type="dxa" w:w="3888"/>
          </w:tcPr>
          <w:p>
            <w:pPr>
              <w:spacing w:after="0"/>
            </w:pPr>
            <w:r>
              <w:rPr>
                <w:sz w:val="19"/>
              </w:rPr>
              <w:t>0.15 mm minimum (IPC Class 2)</w:t>
            </w:r>
          </w:p>
        </w:tc>
      </w:tr>
    </w:tbl>
    <w:p/>
    <w:p>
      <w:pPr>
        <w:spacing w:after="80"/>
        <w:ind w:left="288"/>
      </w:pPr>
      <w:r>
        <w:rPr>
          <w:i/>
          <w:sz w:val="19"/>
        </w:rPr>
        <w:t>IPC-2221 formula: I = k × ΔT^0.44 × A^0.725 (k = 0.048 external traces). FPC derating factor: ×0.8 applied for enclosed/low-airflow routing. RMS current governs temperature rise for pulsed signals: I_RMS = I_peak × √(duty cycle).</w:t>
      </w:r>
    </w:p>
    <w:p>
      <w:pPr>
        <w:spacing w:before="140"/>
      </w:pPr>
      <w:r>
        <w:rPr>
          <w:b/>
          <w:sz w:val="21"/>
        </w:rPr>
        <w:t>10.2  Layer Assignment Strategy</w:t>
      </w:r>
    </w:p>
    <w:p>
      <w:pPr>
        <w:pStyle w:val="ListBullet"/>
        <w:spacing w:after="40"/>
      </w:pPr>
      <w:r>
        <w:rPr>
          <w:sz w:val="21"/>
        </w:rPr>
        <w:t>Layer 1 (top): All signal traces. Per-string LED cathode return traces (0.5 mm). NTC, PD, ENABLE, FAULT, PWM signal traces (0.15–0.25 mm). Ground pour around signals.</w:t>
      </w:r>
    </w:p>
    <w:p>
      <w:pPr>
        <w:pStyle w:val="ListBullet"/>
        <w:spacing w:after="40"/>
      </w:pPr>
      <w:r>
        <w:rPr>
          <w:sz w:val="21"/>
        </w:rPr>
        <w:t>Layer 2 (bottom): Power planes. VLED_660 poured region; VLED_808 poured region; GND poured region. Regions separated by 0.3 mm minimum gap with DRC-enforced clearance.</w:t>
      </w:r>
    </w:p>
    <w:p>
      <w:pPr>
        <w:pStyle w:val="ListBullet"/>
        <w:spacing w:after="40"/>
      </w:pPr>
      <w:r>
        <w:rPr>
          <w:sz w:val="21"/>
        </w:rPr>
        <w:t>Inter-layer vias: Use multiple vias (≥ 4 per power transition point) to transfer current between layers. FPC via barrel resistance is non-trivial — use ≥ 0.3 mm drill, ≥ 0.5 mm pad, minimum 4 vias in parallel for &gt; 0.5 A transitions.</w:t>
      </w:r>
    </w:p>
    <w:p>
      <w:pPr>
        <w:pStyle w:val="ListBullet"/>
        <w:spacing w:after="40"/>
      </w:pPr>
      <w:r>
        <w:rPr>
          <w:sz w:val="21"/>
        </w:rPr>
        <w:t>Copper pours in LED array region: fill all available copper on both layers with appropriate net (GND on top pour; VLED on bottom pour) to maximise current capacity and assist lateral heat spreading.</w:t>
      </w:r>
    </w:p>
    <w:p>
      <w:pPr>
        <w:spacing w:before="140"/>
      </w:pPr>
      <w:r>
        <w:rPr>
          <w:b/>
          <w:sz w:val="21"/>
        </w:rPr>
        <w:t>10.3  EMI Containment</w:t>
      </w:r>
    </w:p>
    <w:p>
      <w:pPr>
        <w:pStyle w:val="ListBullet"/>
        <w:spacing w:after="40"/>
      </w:pPr>
      <w:r>
        <w:rPr>
          <w:sz w:val="21"/>
        </w:rPr>
        <w:t>LED PWM switching edges (120–180 mA, 1–10 kHz carrier) are the primary EMI source. Minimise loop area of each LED string (anode trace and cathode return trace run as a tightly coupled pair on adjacent layers).</w:t>
      </w:r>
    </w:p>
    <w:p>
      <w:pPr>
        <w:pStyle w:val="ListBullet"/>
        <w:spacing w:after="40"/>
      </w:pPr>
      <w:r>
        <w:rPr>
          <w:sz w:val="21"/>
        </w:rPr>
        <w:t>No LED power trace shall route within 5 mm of PD_ANODE or PD_CATHODE traces without a grounded guard trace on both sides.</w:t>
      </w:r>
    </w:p>
    <w:p>
      <w:pPr>
        <w:pStyle w:val="ListBullet"/>
        <w:spacing w:after="40"/>
      </w:pPr>
      <w:r>
        <w:rPr>
          <w:sz w:val="21"/>
        </w:rPr>
        <w:t>NTC and PD signal traces are routed on Layer 1 only, with continuous GND guard on Layer 1 and GND pour on Layer 2 directly beneath.</w:t>
      </w:r>
    </w:p>
    <w:p>
      <w:pPr>
        <w:pStyle w:val="ListBullet"/>
        <w:spacing w:after="40"/>
      </w:pPr>
      <w:r>
        <w:rPr>
          <w:sz w:val="21"/>
        </w:rPr>
        <w:t>LED switching frequency must be confirmed with EEG firmware team before finalisation. Constraint: LED carrier frequency must not fall within 0.5–100 Hz EEG acquisition band, nor at harmonics of the BES/tACS stimulation frequencies (0.5–40 Hz). Minimum recommended carrier: 1 kHz. See RISK-13.</w:t>
      </w:r>
    </w:p>
    <w:p>
      <w:pPr>
        <w:spacing w:before="280" w:after="80"/>
      </w:pPr>
      <w:r>
        <w:rPr>
          <w:b/>
          <w:color w:val="003366"/>
          <w:sz w:val="26"/>
        </w:rPr>
        <w:t>11.  MECHANICAL SPECIFICATION</w:t>
      </w:r>
    </w:p>
    <w:p>
      <w:pPr>
        <w:spacing w:before="140"/>
      </w:pPr>
      <w:r>
        <w:rPr>
          <w:b/>
          <w:sz w:val="21"/>
        </w:rPr>
        <w:t>11.1  Zone Module Outline Dimensions</w:t>
      </w:r>
    </w:p>
    <w:tbl>
      <w:tblPr>
        <w:tblStyle w:val="TableGrid"/>
        <w:tblW w:type="auto" w:w="0"/>
        <w:tblLook w:firstColumn="1" w:firstRow="1" w:lastColumn="0" w:lastRow="0" w:noHBand="0" w:noVBand="1" w:val="04A0"/>
      </w:tblPr>
      <w:tblGrid>
        <w:gridCol w:w="4680"/>
        <w:gridCol w:w="4680"/>
      </w:tblGrid>
      <w:tr>
        <w:tc>
          <w:tcPr>
            <w:tcW w:type="dxa" w:w="4032"/>
          </w:tcPr>
          <w:p>
            <w:pPr>
              <w:spacing w:after="0"/>
            </w:pPr>
            <w:r>
              <w:rPr>
                <w:b/>
                <w:sz w:val="19"/>
              </w:rPr>
              <w:t>Parameter</w:t>
            </w:r>
          </w:p>
        </w:tc>
        <w:tc>
          <w:tcPr>
            <w:tcW w:type="dxa" w:w="6336"/>
          </w:tcPr>
          <w:p>
            <w:pPr>
              <w:spacing w:after="0"/>
            </w:pPr>
            <w:r>
              <w:rPr>
                <w:b/>
                <w:sz w:val="19"/>
              </w:rPr>
              <w:t>Specification</w:t>
            </w:r>
          </w:p>
        </w:tc>
      </w:tr>
      <w:tr>
        <w:tc>
          <w:tcPr>
            <w:tcW w:type="dxa" w:w="4032"/>
          </w:tcPr>
          <w:p>
            <w:pPr>
              <w:spacing w:after="0"/>
            </w:pPr>
            <w:r>
              <w:rPr>
                <w:sz w:val="19"/>
              </w:rPr>
              <w:t>LED array region (rigid section)</w:t>
            </w:r>
          </w:p>
        </w:tc>
        <w:tc>
          <w:tcPr>
            <w:tcW w:type="dxa" w:w="6336"/>
          </w:tcPr>
          <w:p>
            <w:pPr>
              <w:spacing w:after="0"/>
            </w:pPr>
            <w:r>
              <w:rPr>
                <w:sz w:val="19"/>
              </w:rPr>
              <w:t>66 mm × 78 mm (LED footprint + 6 mm border for drivers + NTC + PD)</w:t>
            </w:r>
          </w:p>
        </w:tc>
      </w:tr>
      <w:tr>
        <w:tc>
          <w:tcPr>
            <w:tcW w:type="dxa" w:w="4032"/>
          </w:tcPr>
          <w:p>
            <w:pPr>
              <w:spacing w:after="0"/>
            </w:pPr>
            <w:r>
              <w:rPr>
                <w:sz w:val="19"/>
              </w:rPr>
              <w:t>Driver / sensor region (lightly stiffened)</w:t>
            </w:r>
          </w:p>
        </w:tc>
        <w:tc>
          <w:tcPr>
            <w:tcW w:type="dxa" w:w="6336"/>
          </w:tcPr>
          <w:p>
            <w:pPr>
              <w:spacing w:after="0"/>
            </w:pPr>
            <w:r>
              <w:rPr>
                <w:sz w:val="19"/>
              </w:rPr>
              <w:t>66 mm × 20 mm (houses 20 BCR421W, NTC, PD baffle, PDMS baffle)</w:t>
            </w:r>
          </w:p>
        </w:tc>
      </w:tr>
      <w:tr>
        <w:tc>
          <w:tcPr>
            <w:tcW w:type="dxa" w:w="4032"/>
          </w:tcPr>
          <w:p>
            <w:pPr>
              <w:spacing w:after="0"/>
            </w:pPr>
            <w:r>
              <w:rPr>
                <w:sz w:val="19"/>
              </w:rPr>
              <w:t>Connector tail (free flex)</w:t>
            </w:r>
          </w:p>
        </w:tc>
        <w:tc>
          <w:tcPr>
            <w:tcW w:type="dxa" w:w="6336"/>
          </w:tcPr>
          <w:p>
            <w:pPr>
              <w:spacing w:after="0"/>
            </w:pPr>
            <w:r>
              <w:rPr>
                <w:sz w:val="19"/>
              </w:rPr>
              <w:t>12 mm wide × 30 mm long</w:t>
            </w:r>
          </w:p>
        </w:tc>
      </w:tr>
      <w:tr>
        <w:tc>
          <w:tcPr>
            <w:tcW w:type="dxa" w:w="4032"/>
          </w:tcPr>
          <w:p>
            <w:pPr>
              <w:spacing w:after="0"/>
            </w:pPr>
            <w:r>
              <w:rPr>
                <w:sz w:val="19"/>
              </w:rPr>
              <w:t>Total module length (array + driver + tail)</w:t>
            </w:r>
          </w:p>
        </w:tc>
        <w:tc>
          <w:tcPr>
            <w:tcW w:type="dxa" w:w="6336"/>
          </w:tcPr>
          <w:p>
            <w:pPr>
              <w:spacing w:after="0"/>
            </w:pPr>
            <w:r>
              <w:rPr>
                <w:sz w:val="19"/>
              </w:rPr>
              <w:t>≈ 128 mm end to end</w:t>
            </w:r>
          </w:p>
        </w:tc>
      </w:tr>
      <w:tr>
        <w:tc>
          <w:tcPr>
            <w:tcW w:type="dxa" w:w="4032"/>
          </w:tcPr>
          <w:p>
            <w:pPr>
              <w:spacing w:after="0"/>
            </w:pPr>
            <w:r>
              <w:rPr>
                <w:sz w:val="19"/>
              </w:rPr>
              <w:t>Total module width</w:t>
            </w:r>
          </w:p>
        </w:tc>
        <w:tc>
          <w:tcPr>
            <w:tcW w:type="dxa" w:w="6336"/>
          </w:tcPr>
          <w:p>
            <w:pPr>
              <w:spacing w:after="0"/>
            </w:pPr>
            <w:r>
              <w:rPr>
                <w:sz w:val="19"/>
              </w:rPr>
              <w:t>66 mm (uniform across all regions)</w:t>
            </w:r>
          </w:p>
        </w:tc>
      </w:tr>
      <w:tr>
        <w:tc>
          <w:tcPr>
            <w:tcW w:type="dxa" w:w="4032"/>
          </w:tcPr>
          <w:p>
            <w:pPr>
              <w:spacing w:after="0"/>
            </w:pPr>
            <w:r>
              <w:rPr>
                <w:sz w:val="19"/>
              </w:rPr>
              <w:t>PDMS window extent</w:t>
            </w:r>
          </w:p>
        </w:tc>
        <w:tc>
          <w:tcPr>
            <w:tcW w:type="dxa" w:w="6336"/>
          </w:tcPr>
          <w:p>
            <w:pPr>
              <w:spacing w:after="0"/>
            </w:pPr>
            <w:r>
              <w:rPr>
                <w:sz w:val="19"/>
              </w:rPr>
              <w:t>Full LED array region (66 mm × 78 mm)</w:t>
            </w:r>
          </w:p>
        </w:tc>
      </w:tr>
      <w:tr>
        <w:tc>
          <w:tcPr>
            <w:tcW w:type="dxa" w:w="4032"/>
          </w:tcPr>
          <w:p>
            <w:pPr>
              <w:spacing w:after="0"/>
            </w:pPr>
            <w:r>
              <w:rPr>
                <w:sz w:val="19"/>
              </w:rPr>
              <w:t>Stiffener FR4 extent</w:t>
            </w:r>
          </w:p>
        </w:tc>
        <w:tc>
          <w:tcPr>
            <w:tcW w:type="dxa" w:w="6336"/>
          </w:tcPr>
          <w:p>
            <w:pPr>
              <w:spacing w:after="0"/>
            </w:pPr>
            <w:r>
              <w:rPr>
                <w:sz w:val="19"/>
              </w:rPr>
              <w:t>LED array region only — not in driver region or tail</w:t>
            </w:r>
          </w:p>
        </w:tc>
      </w:tr>
      <w:tr>
        <w:tc>
          <w:tcPr>
            <w:tcW w:type="dxa" w:w="4032"/>
          </w:tcPr>
          <w:p>
            <w:pPr>
              <w:spacing w:after="0"/>
            </w:pPr>
            <w:r>
              <w:rPr>
                <w:sz w:val="19"/>
              </w:rPr>
              <w:t>Module weight estimate (excl. PDMS)</w:t>
            </w:r>
          </w:p>
        </w:tc>
        <w:tc>
          <w:tcPr>
            <w:tcW w:type="dxa" w:w="6336"/>
          </w:tcPr>
          <w:p>
            <w:pPr>
              <w:spacing w:after="0"/>
            </w:pPr>
            <w:r>
              <w:rPr>
                <w:sz w:val="19"/>
              </w:rPr>
              <w:t>&lt; 15 g per zone module</w:t>
            </w:r>
          </w:p>
        </w:tc>
      </w:tr>
    </w:tbl>
    <w:p/>
    <w:p>
      <w:pPr>
        <w:spacing w:before="140"/>
      </w:pPr>
      <w:r>
        <w:rPr>
          <w:b/>
          <w:sz w:val="21"/>
        </w:rPr>
        <w:t>11.2  Bend Radius Requirements</w:t>
      </w:r>
    </w:p>
    <w:tbl>
      <w:tblPr>
        <w:tblStyle w:val="TableGrid"/>
        <w:tblW w:type="auto" w:w="0"/>
        <w:tblLook w:firstColumn="1" w:firstRow="1" w:lastColumn="0" w:lastRow="0" w:noHBand="0" w:noVBand="1" w:val="04A0"/>
      </w:tblPr>
      <w:tblGrid>
        <w:gridCol w:w="3120"/>
        <w:gridCol w:w="3120"/>
        <w:gridCol w:w="3120"/>
      </w:tblGrid>
      <w:tr>
        <w:tc>
          <w:tcPr>
            <w:tcW w:type="dxa" w:w="3312"/>
          </w:tcPr>
          <w:p>
            <w:pPr>
              <w:spacing w:after="0"/>
            </w:pPr>
            <w:r>
              <w:rPr>
                <w:b/>
                <w:sz w:val="19"/>
              </w:rPr>
              <w:t>Location</w:t>
            </w:r>
          </w:p>
        </w:tc>
        <w:tc>
          <w:tcPr>
            <w:tcW w:type="dxa" w:w="2160"/>
          </w:tcPr>
          <w:p>
            <w:pPr>
              <w:spacing w:after="0"/>
            </w:pPr>
            <w:r>
              <w:rPr>
                <w:b/>
                <w:sz w:val="19"/>
              </w:rPr>
              <w:t>Minimum bend radius</w:t>
            </w:r>
          </w:p>
        </w:tc>
        <w:tc>
          <w:tcPr>
            <w:tcW w:type="dxa" w:w="4896"/>
          </w:tcPr>
          <w:p>
            <w:pPr>
              <w:spacing w:after="0"/>
            </w:pPr>
            <w:r>
              <w:rPr>
                <w:b/>
                <w:sz w:val="19"/>
              </w:rPr>
              <w:t>Rationale</w:t>
            </w:r>
          </w:p>
        </w:tc>
      </w:tr>
      <w:tr>
        <w:tc>
          <w:tcPr>
            <w:tcW w:type="dxa" w:w="3312"/>
          </w:tcPr>
          <w:p>
            <w:pPr>
              <w:spacing w:after="0"/>
            </w:pPr>
            <w:r>
              <w:rPr>
                <w:sz w:val="19"/>
              </w:rPr>
              <w:t>Connector tail to driver region transition</w:t>
            </w:r>
          </w:p>
        </w:tc>
        <w:tc>
          <w:tcPr>
            <w:tcW w:type="dxa" w:w="2160"/>
          </w:tcPr>
          <w:p>
            <w:pPr>
              <w:spacing w:after="0"/>
            </w:pPr>
            <w:r>
              <w:rPr>
                <w:sz w:val="19"/>
              </w:rPr>
              <w:t>25 mm</w:t>
            </w:r>
          </w:p>
        </w:tc>
        <w:tc>
          <w:tcPr>
            <w:tcW w:type="dxa" w:w="4896"/>
          </w:tcPr>
          <w:p>
            <w:pPr>
              <w:spacing w:after="0"/>
            </w:pPr>
            <w:r>
              <w:rPr>
                <w:sz w:val="19"/>
              </w:rPr>
              <w:t>100× FPC thickness (200 µm) = 20 mm minimum; 25 mm with 25% design margin</w:t>
            </w:r>
          </w:p>
        </w:tc>
      </w:tr>
      <w:tr>
        <w:tc>
          <w:tcPr>
            <w:tcW w:type="dxa" w:w="3312"/>
          </w:tcPr>
          <w:p>
            <w:pPr>
              <w:spacing w:after="0"/>
            </w:pPr>
            <w:r>
              <w:rPr>
                <w:sz w:val="19"/>
              </w:rPr>
              <w:t>Driver region to LED array transition</w:t>
            </w:r>
          </w:p>
        </w:tc>
        <w:tc>
          <w:tcPr>
            <w:tcW w:type="dxa" w:w="2160"/>
          </w:tcPr>
          <w:p>
            <w:pPr>
              <w:spacing w:after="0"/>
            </w:pPr>
            <w:r>
              <w:rPr>
                <w:sz w:val="19"/>
              </w:rPr>
              <w:t>25 mm</w:t>
            </w:r>
          </w:p>
        </w:tc>
        <w:tc>
          <w:tcPr>
            <w:tcW w:type="dxa" w:w="4896"/>
          </w:tcPr>
          <w:p>
            <w:pPr>
              <w:spacing w:after="0"/>
            </w:pPr>
            <w:r>
              <w:rPr>
                <w:sz w:val="19"/>
              </w:rPr>
              <w:t>Same; dynamic flex during user zone module swap</w:t>
            </w:r>
          </w:p>
        </w:tc>
      </w:tr>
      <w:tr>
        <w:tc>
          <w:tcPr>
            <w:tcW w:type="dxa" w:w="3312"/>
          </w:tcPr>
          <w:p>
            <w:pPr>
              <w:spacing w:after="0"/>
            </w:pPr>
            <w:r>
              <w:rPr>
                <w:sz w:val="19"/>
              </w:rPr>
              <w:t>Within stiffened LED array region</w:t>
            </w:r>
          </w:p>
        </w:tc>
        <w:tc>
          <w:tcPr>
            <w:tcW w:type="dxa" w:w="2160"/>
          </w:tcPr>
          <w:p>
            <w:pPr>
              <w:spacing w:after="0"/>
            </w:pPr>
            <w:r>
              <w:rPr>
                <w:sz w:val="19"/>
              </w:rPr>
              <w:t>No bend permitted</w:t>
            </w:r>
          </w:p>
        </w:tc>
        <w:tc>
          <w:tcPr>
            <w:tcW w:type="dxa" w:w="4896"/>
          </w:tcPr>
          <w:p>
            <w:pPr>
              <w:spacing w:after="0"/>
            </w:pPr>
            <w:r>
              <w:rPr>
                <w:sz w:val="19"/>
              </w:rPr>
              <w:t>Stiffener prevents bending — if bent, delamination will occur</w:t>
            </w:r>
          </w:p>
        </w:tc>
      </w:tr>
      <w:tr>
        <w:tc>
          <w:tcPr>
            <w:tcW w:type="dxa" w:w="3312"/>
          </w:tcPr>
          <w:p>
            <w:pPr>
              <w:spacing w:after="0"/>
            </w:pPr>
            <w:r>
              <w:rPr>
                <w:sz w:val="19"/>
              </w:rPr>
              <w:t>Routing path through headset shell</w:t>
            </w:r>
          </w:p>
        </w:tc>
        <w:tc>
          <w:tcPr>
            <w:tcW w:type="dxa" w:w="2160"/>
          </w:tcPr>
          <w:p>
            <w:pPr>
              <w:spacing w:after="0"/>
            </w:pPr>
            <w:r>
              <w:rPr>
                <w:sz w:val="19"/>
              </w:rPr>
              <w:t>25 mm minimum at all shell features</w:t>
            </w:r>
          </w:p>
        </w:tc>
        <w:tc>
          <w:tcPr>
            <w:tcW w:type="dxa" w:w="4896"/>
          </w:tcPr>
          <w:p>
            <w:pPr>
              <w:spacing w:after="0"/>
            </w:pPr>
            <w:r>
              <w:rPr>
                <w:sz w:val="19"/>
              </w:rPr>
              <w:t>Shell tooling must be designed to enforce this — OPEN ISSUE: not yet in shell tooling spec. See RISK-17.</w:t>
            </w:r>
          </w:p>
        </w:tc>
      </w:tr>
    </w:tbl>
    <w:p>
      <w:r>
        <w:rPr>
          <w:b w:val="0"/>
          <w:sz w:val="20"/>
        </w:rPr>
        <w:t>Design review reference: Shell tooling FPC routing path must be reviewed against requirements in NP-DRV-SHELL-001 Rev A (Zone Module FPC Routing Path — Shell Tooling Design Review) before tooling specification release. NP-DRV-SHELL-001 §5 contains the design review checklist (15 items) that must pass before first-cut approval.</w:t>
      </w:r>
    </w:p>
    <w:p>
      <w:r>
        <w:rPr>
          <w:b w:val="0"/>
          <w:sz w:val="20"/>
        </w:rPr>
        <w:t>FPC length: ≥10% slack relative to routing path arc length in the assembled headset at maximum head circumference (62 cm). Slack prevents tensile force on the ZIF connector tail. Maximum slack: 25% (excess causes spontaneous tight bend in channel).</w:t>
      </w:r>
    </w:p>
    <w:p>
      <w:r>
        <w:rPr>
          <w:b w:val="0"/>
          <w:sz w:val="20"/>
        </w:rPr>
        <w:t>Bend radius enforcer geometry: the shell interior cable channel must include a moulded boss or ridge at the Segment A (zone slot exit) and Segment C (Hub PCB entry) transitions, profiled to 25 mm radius, so that the FPC cannot be bent tighter by any assembly or user action.</w:t>
      </w:r>
    </w:p>
    <w:p>
      <w:r>
        <w:rPr>
          <w:b w:val="0"/>
          <w:sz w:val="20"/>
        </w:rPr>
        <w:t>No bend within 5 mm of the ZIF connector tail end, the FR4 stiffener edge, or any zone module PCB edge. Bend at these transitions causes stiffener-to-FPC delamination, not copper fatigue.</w:t>
      </w:r>
    </w:p>
    <w:p>
      <w:r>
        <w:rPr>
          <w:b w:val="0"/>
          <w:sz w:val="20"/>
        </w:rPr>
        <w:t>Minimum bend radius — static flex (one-time assembly bend, not actuated during module swaps): ≥12.5 mm. Static bend locations must be identified on the routing path drawing and confirmed as static-only.</w:t>
      </w:r>
    </w:p>
    <w:p>
      <w:r>
        <w:rPr>
          <w:b/>
          <w:color w:val="C00000"/>
          <w:sz w:val="20"/>
        </w:rPr>
        <w:t>[DRAWING REQUIREMENT] Minimum bend radius — dynamic flex: ≥25 mm at all points along the routing path inside the headset shell. This value is enforced by shell interior cable management channel geometry (see NP-DRV-SHELL-001). No user action, tool, or assembly step may impose a bend tighter than 25 mm on any FPC.</w:t>
      </w:r>
    </w:p>
    <w:p/>
    <w:p>
      <w:pPr>
        <w:spacing w:before="140"/>
      </w:pPr>
      <w:r>
        <w:rPr>
          <w:b/>
          <w:sz w:val="21"/>
        </w:rPr>
        <w:t>11.3  Strain Relief at Connector</w:t>
      </w:r>
    </w:p>
    <w:p>
      <w:pPr>
        <w:pStyle w:val="ListBullet"/>
        <w:spacing w:after="40"/>
      </w:pPr>
      <w:r>
        <w:rPr>
          <w:sz w:val="21"/>
        </w:rPr>
        <w:t>FR4 stiffener extends 5 mm beyond the connector body edge into the flex transition zone to enforce bend radius and prevent peel stress at the connector pad solder joints.</w:t>
      </w:r>
    </w:p>
    <w:p>
      <w:pPr>
        <w:pStyle w:val="ListBullet"/>
        <w:spacing w:after="40"/>
      </w:pPr>
      <w:r>
        <w:rPr>
          <w:sz w:val="21"/>
        </w:rPr>
        <w:t>The FPC tail must have no coverlay openings other than the connector contact pads — full coverlay coverage in the tail section for maximum tear resistance.</w:t>
      </w:r>
    </w:p>
    <w:p>
      <w:pPr>
        <w:pStyle w:val="ListBullet"/>
        <w:spacing w:after="40"/>
      </w:pPr>
      <w:r>
        <w:rPr>
          <w:sz w:val="21"/>
        </w:rPr>
        <w:t>Zone module connector access in the headset must allow the user to actuate the ZIF lever and extract the FPC tail without bending the tail below 25 mm radius.</w:t>
      </w:r>
    </w:p>
    <w:p>
      <w:pPr>
        <w:spacing w:before="140"/>
      </w:pPr>
      <w:r>
        <w:rPr>
          <w:b/>
          <w:sz w:val="21"/>
        </w:rPr>
        <w:t>11.4  Alignment and Keying</w:t>
      </w:r>
    </w:p>
    <w:p>
      <w:pPr>
        <w:pStyle w:val="ListBullet"/>
        <w:spacing w:after="40"/>
      </w:pPr>
      <w:r>
        <w:rPr>
          <w:sz w:val="21"/>
        </w:rPr>
        <w:t>Each zone slot in the headset shell has a unique asymmetric mechanical key (tab/notch profile) that prevents insertion of a wrong-zone module. Key geometry is different for all 5 zones — zone modules are NOT interchangeable.</w:t>
      </w:r>
    </w:p>
    <w:p>
      <w:pPr>
        <w:pStyle w:val="ListBullet"/>
        <w:spacing w:after="40"/>
      </w:pPr>
      <w:r>
        <w:rPr>
          <w:sz w:val="21"/>
        </w:rPr>
        <w:t>The zone module corner edges should have a 0.5 mm chamfer in the insertion direction for smooth guided entry into the zone slot.</w:t>
      </w:r>
    </w:p>
    <w:p>
      <w:pPr>
        <w:pStyle w:val="ListBullet"/>
        <w:spacing w:after="40"/>
      </w:pPr>
      <w:r>
        <w:rPr>
          <w:sz w:val="21"/>
        </w:rPr>
        <w:t>LED array positional tolerance relative to scalp electrode positions: ±0.5 mm. Zone slot guide rails in shell tooling must be specified to achieve this tolerance. Alignment must be validated on first-article inspection.</w:t>
      </w:r>
    </w:p>
    <w:p>
      <w:r>
        <w:rPr>
          <w:b w:val="0"/>
          <w:sz w:val="20"/>
        </w:rPr>
        <w:t>Re-insertion repeatability requirement: ±0.1 mm (module must self-locate to the same position on each insertion). This is verified by FAI-A08 (3 repeat insertions per zone, CMM re-measured each time).</w:t>
      </w:r>
    </w:p>
    <w:p>
      <w:r>
        <w:rPr>
          <w:b w:val="0"/>
          <w:sz w:val="20"/>
        </w:rPr>
        <w:t>Datum features: the zone module stiffener shall include reference holes or edges as datum features for CMM fixturing. Datum feature positions must be defined on the FPC fabrication drawing before tooling release.</w:t>
      </w:r>
    </w:p>
    <w:p>
      <w:r>
        <w:rPr>
          <w:b/>
          <w:color w:val="C00000"/>
          <w:sz w:val="20"/>
        </w:rPr>
        <w:t>[DRAWING REQUIREMENT] First Article Inspection: All 5 zone module positions must be verified by CMM measurement before production release. CMM verification protocol is defined in NP-FAI-ZM-001 Rev A (Zone Module FPC Assembly — FAI Checklist) §4a, items FAI-A01 to FAI-A08. The FAI checklist is the mandatory pre-production gate for zone module alignment.</w:t>
      </w:r>
    </w:p>
    <w:p>
      <w:r>
        <w:rPr>
          <w:b w:val="0"/>
          <w:sz w:val="20"/>
        </w:rPr>
        <w:t>Layer 5 — Audio/haptic confirmation (blind-accessible): On zone module insertion, the Hub MCU reads the ZONE_ID resistor (pin 18) and compares it to the expected zone for that slot. If correct: bone conduction speaker announces the zone name (e.g., 'Frontal Left connected') — spoken-word audio, not a tone. If incorrect: bone conduction announces 'Wrong module — expected [zone name]' and ENABLE is held de-asserted; session cannot start. If module absent: bone conduction announces the missing zone by name when the user initiates a session. Audio confirmation uses the existing bone conduction transducer (already in BOM for Neural Audio Entrainment modality) — zero additional BOM cost. Firmware coordinate item: NP-COORD-001 G2-02 and new G2-10 (audio zone ID).</w:t>
      </w:r>
    </w:p>
    <w:p>
      <w:r>
        <w:rPr>
          <w:b/>
          <w:color w:val="C00000"/>
          <w:sz w:val="20"/>
        </w:rPr>
        <w:t>[DRAWING REQUIREMENT — SHELL TOOLING] Layer 4 — Tactile shell position markers (blind-accessible): Each zone slot opening in the CFRP shell shall have a unique tactile indicator moulded into the shell surface adjacent to the slot (within 10 mm of slot edge, in a consistent position across all 5 slots for easy finger-finding). Indicator pattern: N raised dots (dome, 1.5 mm diameter, 0.8 mm height) where N = zone number: ZM-01=1 dot, ZM-02=2 dots, ZM-03=3 dots, ZM-04=4 dots, ZM-05=5 dots. Dot spacing: 2.5 mm centre-to-centre (ISO 9241-920 tactile element guidance). Moulded into shell at zero incremental cost if specified before first-cut. Cannot be retrofitted after tooling — must be in shell tooling spec.</w:t>
      </w:r>
    </w:p>
    <w:p>
      <w:r>
        <w:rPr>
          <w:b/>
          <w:color w:val="C00000"/>
          <w:sz w:val="20"/>
        </w:rPr>
        <w:t>[DRAWING REQUIREMENT — ZONE MODULE TOOLING] Layer 3 — Tactile zone module identification (blind-accessible): Each zone module body shall carry: (a) a raised numeral (1–5) on the face opposite the LED array, 6 mm height, 1 mm relief, moulded into the body — no paint or label required; (b) Grade 1 braille abbreviation for the zone position moulded immediately below the numeral: ZM-01 = 'FL' (Frontal Left), ZM-02 = 'FR' (Frontal Right), ZM-03 = 'CL' (Central Left), ZM-04 = 'CR' (Central Right), ZM-05 = 'PO' (Parietal/Occipital). Braille cell dimensions per ISO 17049:2013 (dot diameter 1.5 mm, inter-dot spacing 2.5 mm, inter-cell spacing 6 mm). Moulded into zone module body at zero incremental cost if specified before tooling. In addition: large-print text identifier (e.g., 'ZM-01 FL') in contrasting colour for low-vision and sighted users.</w:t>
      </w:r>
    </w:p>
    <w:p>
      <w:r>
        <w:rPr>
          <w:b/>
          <w:color w:val="C00000"/>
          <w:sz w:val="20"/>
        </w:rPr>
        <w:t>[DRAWING REQUIREMENT] Layer 2 — Electronic zone identity (ZONE_ID resistor, pin 18): Each zone module PCB shall include a unique 1% tolerance 0402 SMD resistor between ZONE_ID (pin 18) and GND (AGND, pin 17), with values: ZM-01=10 kΩ, ZM-02=22 kΩ, ZM-03=47 kΩ, ZM-04=100 kΩ, ZM-05=220 kΩ. The Hub MCU reads ADC(ZONE_ID) through a 10 kΩ pull-up at session start before asserting ENABLE. ADC thresholds: &lt;14 kΩ=ZM-01, 14–32 kΩ=ZM-02, 32–68 kΩ=ZM-03, 68–150 kΩ=ZM-04, &gt;150 kΩ=ZM-05. Unrecognised value (e.g., uncertified third-party module, open circuit): FAULT asserted, session blocked, user notified via audio and app. BOM delta: +$0.03 per zone module (one 0402 resistor).</w:t>
      </w:r>
    </w:p>
    <w:p>
      <w:r>
        <w:rPr>
          <w:sz w:val="20"/>
        </w:rPr>
        <w:t>RISK-18 firmware debounce specification (ZONE_ID): The Hub MCU shall perform 3 consecutive ADC reads of pin 18 at 100 ms intervals after zone module insertion before making a FAULT decision. Accept criterion: at least 2 of 3 reads must return a value within the valid ZONE_ID band (±5% of target) for the module to be accepted. A single transient reading outside band (e.g. from contact bounce at insertion) shall not trigger FAULT. If all 3 reads fail: assert FAULT, hold ENABLE low, issue bone conduction alert 'Zone module contact issue — remove and reinsert'. If ZONE_ID reads valid but does not match expected zone: assert FAULT, issue 'Wrong module' alert (existing RISK-15 interlock).</w:t>
      </w:r>
    </w:p>
    <w:p>
      <w:r>
        <w:rPr>
          <w:b w:val="0"/>
          <w:sz w:val="20"/>
        </w:rPr>
        <w:t>Layer 1 — Mechanical asymmetric key (primary, blind-safe): The mechanical key (unique asymmetric tab/notch per zone) is the primary keying mechanism and the only layer that is purely passive — it requires no firmware, no reading, and no user attention. A blind user cannot install the wrong module because the geometry physically prevents it. All other layers (2–5) provide additional confirmation and user feedback, but Layer 1 is the safety guarantee. Key geometry must be defined in shell tooling spec (NP-COORD-001 G2-02) and verified in FAI (NP-FAI-ZM-001 FAI-A01–A08).</w:t>
      </w:r>
    </w:p>
    <w:p>
      <w:r>
        <w:rPr>
          <w:b/>
          <w:color w:val="1F497D"/>
          <w:sz w:val="20"/>
        </w:rPr>
        <w:t>Multi-layer zone keying — accessibility for colour-vision-deficient and blind users:</w:t>
      </w:r>
    </w:p>
    <w:p>
      <w:r>
        <w:rPr>
          <w:b w:val="0"/>
          <w:sz w:val="20"/>
        </w:rPr>
      </w:r>
    </w:p>
    <w:p>
      <w:pPr>
        <w:spacing w:before="280" w:after="80"/>
      </w:pPr>
      <w:r>
        <w:rPr>
          <w:b/>
          <w:color w:val="003366"/>
          <w:sz w:val="26"/>
        </w:rPr>
        <w:t>12.  SEALING AND IPX4 RATING</w:t>
      </w:r>
    </w:p>
    <w:p>
      <w:pPr>
        <w:ind w:firstLine="288"/>
      </w:pPr>
      <w:r>
        <w:t>The NeuroPulse headset targets IPX4 (splash-proof from all directions). The zone module contributes the largest exposed surface area and is the primary ingress risk point.</w:t>
      </w:r>
    </w:p>
    <w:p>
      <w:pPr>
        <w:pStyle w:val="ListBullet"/>
        <w:spacing w:after="40"/>
      </w:pPr>
      <w:r>
        <w:rPr>
          <w:sz w:val="21"/>
        </w:rPr>
        <w:t>PDMS window perimeter: PDMS is inherently hydrophobic (pre-plasma activation). After plasma activation, the surface reverts to hydrophobic baseline within ~1 week in ambient air. The plasma-activated state is for bonding only — the long-term scalp interface is hydrophilic PDMS (moisture-repelling, not sealing). Edge seal is required.</w:t>
      </w:r>
    </w:p>
    <w:p>
      <w:pPr>
        <w:pStyle w:val="ListBullet"/>
        <w:spacing w:after="40"/>
      </w:pPr>
      <w:r>
        <w:rPr>
          <w:sz w:val="21"/>
        </w:rPr>
      </w:r>
      <w:r>
        <w:rPr>
          <w:b/>
          <w:color w:val="C00000"/>
          <w:sz w:val="20"/>
        </w:rPr>
        <w:t>[DRAWING REQUIREMENT — ZONE MODULE TOOLING]  Zone module edge seal — self-sealing compression gasket (Option A, selected): A co-moulded Shore 40–50A UV-stable medical-grade silicone (ISO 10993-5) lip seal runs continuously around the full perimeter of the zone module face, 1 mm inset from the PDMS window edge. Profile: D-section, 2.5 mm wide × 2.0 mm height nominal; compressed to 1.6 mm (20% compression, 0.4 mm deflection) at full insertion. Compression force contribution: ~2–4 N (additive to mechanical key engagement force). The gasket is co-moulded with the zone module body — it is permanent and requires no user attention on any reinsertion. On every zone module removal and reinsertion, the gasket re-seats automatically against the shell slot rim. No RTV, no syringe, no user procedure. IPX4 compliance is maintained through the device lifetime for all user-replaceable zone module swaps. The shell slot rim contact surface must be smooth (Ra ≤ 1.6 µm) and free of draft-angle steps that would prevent full gasket seating. Specify in shell tooling: slot rim width ≥ 2.5 mm to provide full gasket bearing surface. BOM delta vs. RTV bead approach: +$0.30–0.60 per zone module (co-moulded gasket NRE absorbed if specified before first tooling cut).</w:t>
      </w:r>
    </w:p>
    <w:p>
      <w:pPr>
        <w:pStyle w:val="ListBullet"/>
        <w:spacing w:after="40"/>
      </w:pPr>
      <w:r>
        <w:rPr>
          <w:sz w:val="21"/>
        </w:rPr>
        <w:t>Connector seal: the FPC connector is inside the CFRP shell and is not directly exposed. No additional connector sealing is required if the shell ingress path is blocked.</w:t>
      </w:r>
    </w:p>
    <w:p>
      <w:pPr>
        <w:pStyle w:val="ListBullet"/>
        <w:spacing w:after="40"/>
      </w:pPr>
      <w:r>
        <w:rPr>
          <w:sz w:val="21"/>
        </w:rPr>
        <w:t>Zone slot plug (existing spec §8.3): Shore 30A silicone plug, friction/compression IP54 retention — provides primary splash protection when no zone module is installed. Must remain in place whenever a zone module is absent.</w:t>
      </w:r>
    </w:p>
    <w:p>
      <w:pPr>
        <w:spacing w:after="80"/>
        <w:ind w:left="288"/>
      </w:pPr>
      <w:r>
        <w:rPr>
          <w:i/>
          <w:color w:val="CC4400"/>
          <w:sz w:val="19"/>
        </w:rPr>
        <w:t>⚠ IPX4 compliance requires physical splash testing on the assembled headset, not just component-level sealing. The zone module edge seal re-sealing procedure after field replacement is an open design and documentation task. See RISK-16.</w:t>
      </w:r>
    </w:p>
    <w:p>
      <w:pPr>
        <w:spacing w:before="280" w:after="80"/>
      </w:pPr>
      <w:r>
        <w:rPr>
          <w:b/>
          <w:color w:val="003366"/>
          <w:sz w:val="26"/>
        </w:rPr>
        <w:t>13.  FABRICATION NOTES — MANDATORY STATEMENTS ON FAB DRAWING</w:t>
      </w:r>
    </w:p>
    <w:p>
      <w:pPr>
        <w:spacing w:after="80"/>
        <w:ind w:left="288"/>
      </w:pPr>
      <w:r>
        <w:rPr>
          <w:i/>
          <w:sz w:val="19"/>
        </w:rPr>
        <w:t>The following notes must appear verbatim on the FPC fabrication drawing. Omitting any of these notes may result in the fabricator substituting unacceptable materials or processes without notification.</w:t>
      </w:r>
    </w:p>
    <w:p>
      <w:pPr>
        <w:pStyle w:val="ListNumber"/>
        <w:spacing w:after="40"/>
      </w:pPr>
      <w:r>
        <w:rPr>
          <w:sz w:val="20"/>
        </w:rPr>
        <w:t>COPPER TYPE: ROLLED ANNEALED (RA) COPPER REQUIRED. ELECTRODEPOSITED (ED) COPPER IS NOT ACCEPTABLE. Flex life with ED copper is insufficient for the dynamic flex and insertion cycle requirements of this design.</w:t>
      </w:r>
    </w:p>
    <w:p>
      <w:pPr>
        <w:pStyle w:val="ListNumber"/>
        <w:spacing w:after="40"/>
      </w:pPr>
      <w:r>
        <w:rPr>
          <w:sz w:val="20"/>
        </w:rPr>
        <w:t>COPPER WEIGHT: 1 OZ (35 µm) ON ALL LAYERS.</w:t>
      </w:r>
    </w:p>
    <w:p>
      <w:pPr>
        <w:pStyle w:val="ListNumber"/>
        <w:spacing w:after="40"/>
      </w:pPr>
      <w:r>
        <w:rPr>
          <w:sz w:val="20"/>
        </w:rPr>
        <w:t>SUBSTRATE: POLYIMIDE (PI), 25 µm BASE + 25 µm COVERLAY.</w:t>
      </w:r>
    </w:p>
    <w:p>
      <w:pPr>
        <w:pStyle w:val="ListNumber"/>
        <w:spacing w:after="40"/>
      </w:pPr>
      <w:r>
        <w:rPr>
          <w:sz w:val="20"/>
        </w:rPr>
        <w:t>ADHESIVE: ACRYLIC OR ADHESIVELESS LAMINATE. NO EPOXY ADHESIVE.</w:t>
      </w:r>
    </w:p>
    <w:p>
      <w:pPr>
        <w:pStyle w:val="ListNumber"/>
        <w:spacing w:after="40"/>
      </w:pPr>
      <w:r>
        <w:rPr>
          <w:sz w:val="20"/>
        </w:rPr>
        <w:t>COVERLAY: FULL COVERLAY ON BOTH SIDES. OPENINGS ONLY AT LOCATIONS SHOWN ON DRAWING. MINIMUM COVERLAY-TO-PAD CLEARANCE: 0.15 mm.</w:t>
      </w:r>
    </w:p>
    <w:p>
      <w:pPr>
        <w:pStyle w:val="ListNumber"/>
        <w:spacing w:after="40"/>
      </w:pPr>
      <w:r>
        <w:rPr>
          <w:sz w:val="20"/>
        </w:rPr>
        <w:t>SURFACE FINISH: ENIG (ELECTROLESS NICKEL / IMMERSION GOLD) ON ALL EXPOSED PADS. MINIMUM GOLD THICKNESS: 0.05 µm. CONNECTOR TAIL PADS: HARD GOLD ≥ 0.5 µm (COBALT-ALLOYED) — SPECIFIED SEPARATELY ON CONNECTOR TAIL DETAIL.</w:t>
      </w:r>
    </w:p>
    <w:p>
      <w:pPr>
        <w:pStyle w:val="ListNumber"/>
        <w:spacing w:after="40"/>
      </w:pPr>
      <w:r>
        <w:rPr>
          <w:sz w:val="20"/>
        </w:rPr>
        <w:t>STIFFENER: FR4 0.8 mm IN CONNECTOR REGION (SEE DETAIL). PI 0.3 mm IN DRIVER REGION (SEE DETAIL). NO STIFFENER IN FLEX/TAIL REGION.</w:t>
      </w:r>
    </w:p>
    <w:p>
      <w:pPr>
        <w:pStyle w:val="ListNumber"/>
        <w:spacing w:after="40"/>
      </w:pPr>
      <w:r>
        <w:rPr>
          <w:sz w:val="20"/>
        </w:rPr>
        <w:t>BEND RADIUS: ALL BENDS ≥ 25 mm. DO NOT RADIUS BELOW THIS VALUE DURING HANDLING, TESTING, OR SHIPPING.</w:t>
      </w:r>
    </w:p>
    <w:p>
      <w:pPr>
        <w:pStyle w:val="ListNumber"/>
        <w:spacing w:after="40"/>
      </w:pPr>
      <w:r>
        <w:rPr>
          <w:sz w:val="20"/>
        </w:rPr>
        <w:t>IMPEDANCE CONTROL: NOT REQUIRED ON THIS DESIGN (all signals &lt; 1 MHz).</w:t>
      </w:r>
    </w:p>
    <w:p>
      <w:pPr>
        <w:pStyle w:val="ListNumber"/>
        <w:spacing w:after="40"/>
      </w:pPr>
      <w:r>
        <w:rPr>
          <w:sz w:val="20"/>
        </w:rPr>
        <w:t>UL 94 V-0 FLAMMABILITY RATING REQUIRED.</w:t>
      </w:r>
    </w:p>
    <w:p>
      <w:pPr>
        <w:pStyle w:val="ListNumber"/>
        <w:spacing w:after="40"/>
      </w:pPr>
      <w:r>
        <w:rPr>
          <w:sz w:val="20"/>
        </w:rPr>
        <w:t>IPC CLASS 2 DIMENSIONAL AND WORKMANSHIP STANDARD.</w:t>
      </w:r>
    </w:p>
    <w:p>
      <w:pPr>
        <w:pStyle w:val="ListNumber"/>
        <w:spacing w:after="40"/>
      </w:pPr>
      <w:r>
        <w:rPr>
          <w:sz w:val="20"/>
        </w:rPr>
        <w:t>MINIMUM POWER TRACE WIDTH: ALL LED SUPPLY AND RETURN TRACES (VLED_660, GND_660, VLED_808, GND_808) SHALL BE ≥ 2.0 mm OR COPPER POUR — WHICHEVER PROVIDES GREATER COPPER CROSS-SECTION. THIS IS A CURRENT-CARRYING SAFETY REQUIREMENT, NOT A SIGNAL-INTEGRITY REQUIREMENT. THE LAYOUT ENGINEER MUST VERIFY EVERY POWER TRACE AGAINST §10.1 BEFORE GERBER RELEASE.</w:t>
      </w:r>
    </w:p>
    <w:p>
      <w:pPr>
        <w:spacing w:before="280" w:after="80"/>
      </w:pPr>
      <w:r>
        <w:rPr>
          <w:b/>
          <w:color w:val="003366"/>
          <w:sz w:val="26"/>
        </w:rPr>
        <w:t>14.  ZONE MODULE TEST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pPr>
              <w:spacing w:after="0"/>
            </w:pPr>
            <w:r>
              <w:rPr>
                <w:b/>
                <w:sz w:val="19"/>
              </w:rPr>
              <w:t>Test</w:t>
            </w:r>
          </w:p>
        </w:tc>
        <w:tc>
          <w:tcPr>
            <w:tcW w:type="dxa" w:w="2592"/>
          </w:tcPr>
          <w:p>
            <w:pPr>
              <w:spacing w:after="0"/>
            </w:pPr>
            <w:r>
              <w:rPr>
                <w:b/>
                <w:sz w:val="19"/>
              </w:rPr>
              <w:t>Method</w:t>
            </w:r>
          </w:p>
        </w:tc>
        <w:tc>
          <w:tcPr>
            <w:tcW w:type="dxa" w:w="2592"/>
          </w:tcPr>
          <w:p>
            <w:pPr>
              <w:spacing w:after="0"/>
            </w:pPr>
            <w:r>
              <w:rPr>
                <w:b/>
                <w:sz w:val="19"/>
              </w:rPr>
              <w:t>Pass criterion</w:t>
            </w:r>
          </w:p>
        </w:tc>
        <w:tc>
          <w:tcPr>
            <w:tcW w:type="dxa" w:w="1872"/>
          </w:tcPr>
          <w:p>
            <w:pPr>
              <w:spacing w:after="0"/>
            </w:pPr>
            <w:r>
              <w:rPr>
                <w:b/>
                <w:sz w:val="19"/>
              </w:rPr>
              <w:t>When</w:t>
            </w:r>
          </w:p>
        </w:tc>
      </w:tr>
      <w:tr>
        <w:tc>
          <w:tcPr>
            <w:tcW w:type="dxa" w:w="2592"/>
          </w:tcPr>
          <w:p>
            <w:pPr>
              <w:spacing w:after="0"/>
            </w:pPr>
            <w:r>
              <w:rPr>
                <w:sz w:val="19"/>
              </w:rPr>
              <w:t>Optical output — per zone per wavelength</w:t>
            </w:r>
          </w:p>
        </w:tc>
        <w:tc>
          <w:tcPr>
            <w:tcW w:type="dxa" w:w="2592"/>
          </w:tcPr>
          <w:p>
            <w:pPr>
              <w:spacing w:after="0"/>
            </w:pPr>
            <w:r>
              <w:rPr>
                <w:sz w:val="19"/>
              </w:rPr>
              <w:t>Calibrated Newport 818-ST2 photodetector at 10 mm tissue phantom</w:t>
            </w:r>
          </w:p>
        </w:tc>
        <w:tc>
          <w:tcPr>
            <w:tcW w:type="dxa" w:w="2592"/>
          </w:tcPr>
          <w:p>
            <w:pPr>
              <w:spacing w:after="0"/>
            </w:pPr>
            <w:r>
              <w:rPr>
                <w:sz w:val="19"/>
              </w:rPr>
              <w:t>Irradiance within spec (pending regulatory opinion); uniformity ≤ ±25%</w:t>
            </w:r>
          </w:p>
        </w:tc>
        <w:tc>
          <w:tcPr>
            <w:tcW w:type="dxa" w:w="1872"/>
          </w:tcPr>
          <w:p>
            <w:pPr>
              <w:spacing w:after="0"/>
            </w:pPr>
            <w:r>
              <w:rPr>
                <w:sz w:val="19"/>
              </w:rPr>
              <w:t>First article + every production batch (sample)</w:t>
            </w:r>
          </w:p>
        </w:tc>
      </w:tr>
      <w:tr>
        <w:tc>
          <w:tcPr>
            <w:tcW w:type="dxa" w:w="2592"/>
          </w:tcPr>
          <w:p>
            <w:pPr>
              <w:spacing w:after="0"/>
            </w:pPr>
            <w:r>
              <w:rPr>
                <w:sz w:val="19"/>
              </w:rPr>
              <w:t>Dose meter accuracy</w:t>
            </w:r>
          </w:p>
        </w:tc>
        <w:tc>
          <w:tcPr>
            <w:tcW w:type="dxa" w:w="2592"/>
          </w:tcPr>
          <w:p>
            <w:pPr>
              <w:spacing w:after="0"/>
            </w:pPr>
            <w:r>
              <w:rPr>
                <w:sz w:val="19"/>
              </w:rPr>
              <w:t>Compare on-board photodiode reading to external calibrated reference</w:t>
            </w:r>
          </w:p>
        </w:tc>
        <w:tc>
          <w:tcPr>
            <w:tcW w:type="dxa" w:w="2592"/>
          </w:tcPr>
          <w:p>
            <w:pPr>
              <w:spacing w:after="0"/>
            </w:pPr>
            <w:r>
              <w:rPr>
                <w:sz w:val="19"/>
              </w:rPr>
              <w:t>± 10% of external reference</w:t>
            </w:r>
          </w:p>
        </w:tc>
        <w:tc>
          <w:tcPr>
            <w:tcW w:type="dxa" w:w="1872"/>
          </w:tcPr>
          <w:p>
            <w:pPr>
              <w:spacing w:after="0"/>
            </w:pPr>
            <w:r>
              <w:rPr>
                <w:sz w:val="19"/>
              </w:rPr>
              <w:t>First article + calibration at 100 hr burn-in</w:t>
            </w:r>
          </w:p>
        </w:tc>
      </w:tr>
      <w:tr>
        <w:tc>
          <w:tcPr>
            <w:tcW w:type="dxa" w:w="2592"/>
          </w:tcPr>
          <w:p>
            <w:pPr>
              <w:spacing w:after="0"/>
            </w:pPr>
            <w:r>
              <w:rPr>
                <w:sz w:val="19"/>
              </w:rPr>
              <w:t>LED aging baseline</w:t>
            </w:r>
          </w:p>
        </w:tc>
        <w:tc>
          <w:tcPr>
            <w:tcW w:type="dxa" w:w="2592"/>
          </w:tcPr>
          <w:p>
            <w:pPr>
              <w:spacing w:after="0"/>
            </w:pPr>
            <w:r>
              <w:rPr>
                <w:sz w:val="19"/>
              </w:rPr>
              <w:t>Record on-board photodiode output at 150 mA, 100 hr burn-in</w:t>
            </w:r>
          </w:p>
        </w:tc>
        <w:tc>
          <w:tcPr>
            <w:tcW w:type="dxa" w:w="2592"/>
          </w:tcPr>
          <w:p>
            <w:pPr>
              <w:spacing w:after="0"/>
            </w:pPr>
            <w:r>
              <w:rPr>
                <w:sz w:val="19"/>
              </w:rPr>
              <w:t>Stored as factory calibration baseline in SHDR</w:t>
            </w:r>
          </w:p>
        </w:tc>
        <w:tc>
          <w:tcPr>
            <w:tcW w:type="dxa" w:w="1872"/>
          </w:tcPr>
          <w:p>
            <w:pPr>
              <w:spacing w:after="0"/>
            </w:pPr>
            <w:r>
              <w:rPr>
                <w:sz w:val="19"/>
              </w:rPr>
              <w:t>Manufacturing — 100 hr burn-in per unit</w:t>
            </w:r>
          </w:p>
        </w:tc>
      </w:tr>
      <w:tr>
        <w:tc>
          <w:tcPr>
            <w:tcW w:type="dxa" w:w="2592"/>
          </w:tcPr>
          <w:p>
            <w:pPr>
              <w:spacing w:after="0"/>
            </w:pPr>
            <w:r>
              <w:rPr>
                <w:sz w:val="19"/>
              </w:rPr>
              <w:t>PDMS window transmission</w:t>
            </w:r>
          </w:p>
        </w:tc>
        <w:tc>
          <w:tcPr>
            <w:tcW w:type="dxa" w:w="2592"/>
          </w:tcPr>
          <w:p>
            <w:pPr>
              <w:spacing w:after="0"/>
            </w:pPr>
            <w:r>
              <w:rPr>
                <w:sz w:val="19"/>
              </w:rPr>
              <w:t>Measure photodiode output before and after PDMS bonding</w:t>
            </w:r>
          </w:p>
        </w:tc>
        <w:tc>
          <w:tcPr>
            <w:tcW w:type="dxa" w:w="2592"/>
          </w:tcPr>
          <w:p>
            <w:pPr>
              <w:spacing w:after="0"/>
            </w:pPr>
            <w:r>
              <w:rPr>
                <w:sz w:val="19"/>
              </w:rPr>
              <w:t>&gt; 92% at 660 nm; &gt; 94% at 808 nm</w:t>
            </w:r>
          </w:p>
        </w:tc>
        <w:tc>
          <w:tcPr>
            <w:tcW w:type="dxa" w:w="1872"/>
          </w:tcPr>
          <w:p>
            <w:pPr>
              <w:spacing w:after="0"/>
            </w:pPr>
            <w:r>
              <w:rPr>
                <w:sz w:val="19"/>
              </w:rPr>
              <w:t>First article + PDMS bonding qualification</w:t>
            </w:r>
          </w:p>
        </w:tc>
      </w:tr>
      <w:tr>
        <w:tc>
          <w:tcPr>
            <w:tcW w:type="dxa" w:w="2592"/>
          </w:tcPr>
          <w:p>
            <w:pPr>
              <w:spacing w:after="0"/>
            </w:pPr>
            <w:r>
              <w:rPr>
                <w:sz w:val="19"/>
              </w:rPr>
              <w:t>PDMS bond peel test</w:t>
            </w:r>
          </w:p>
        </w:tc>
        <w:tc>
          <w:tcPr>
            <w:tcW w:type="dxa" w:w="2592"/>
          </w:tcPr>
          <w:p>
            <w:pPr>
              <w:spacing w:after="0"/>
            </w:pPr>
            <w:r>
              <w:rPr>
                <w:sz w:val="19"/>
              </w:rPr>
              <w:t>IPC-TM-650 2.4.9 or equivalent</w:t>
            </w:r>
          </w:p>
        </w:tc>
        <w:tc>
          <w:tcPr>
            <w:tcW w:type="dxa" w:w="2592"/>
          </w:tcPr>
          <w:p>
            <w:pPr>
              <w:spacing w:after="0"/>
            </w:pPr>
            <w:r>
              <w:rPr>
                <w:sz w:val="19"/>
              </w:rPr>
              <w:t>&gt; 150 N/m (pass); &gt; 400 N/m (target)</w:t>
            </w:r>
          </w:p>
        </w:tc>
        <w:tc>
          <w:tcPr>
            <w:tcW w:type="dxa" w:w="1872"/>
          </w:tcPr>
          <w:p>
            <w:pPr>
              <w:spacing w:after="0"/>
            </w:pPr>
            <w:r>
              <w:rPr>
                <w:sz w:val="19"/>
              </w:rPr>
              <w:t>Each production batch — sample coupons</w:t>
            </w:r>
          </w:p>
        </w:tc>
      </w:tr>
      <w:tr>
        <w:tc>
          <w:tcPr>
            <w:tcW w:type="dxa" w:w="2592"/>
          </w:tcPr>
          <w:p>
            <w:pPr>
              <w:spacing w:after="0"/>
            </w:pPr>
            <w:r>
              <w:rPr>
                <w:sz w:val="19"/>
              </w:rPr>
              <w:t>Thermal cycling — PDMS bond</w:t>
            </w:r>
          </w:p>
        </w:tc>
        <w:tc>
          <w:tcPr>
            <w:tcW w:type="dxa" w:w="2592"/>
          </w:tcPr>
          <w:p>
            <w:pPr>
              <w:spacing w:after="0"/>
            </w:pPr>
            <w:r>
              <w:rPr>
                <w:sz w:val="19"/>
              </w:rPr>
              <w:t>IEC 60068-2-14, −10 to +65°C, 200 cycles</w:t>
            </w:r>
          </w:p>
        </w:tc>
        <w:tc>
          <w:tcPr>
            <w:tcW w:type="dxa" w:w="2592"/>
          </w:tcPr>
          <w:p>
            <w:pPr>
              <w:spacing w:after="0"/>
            </w:pPr>
            <w:r>
              <w:rPr>
                <w:sz w:val="19"/>
              </w:rPr>
              <w:t>Peel force &gt; 150 N/m post-test; transmission &gt; 90% of pre-test</w:t>
            </w:r>
          </w:p>
        </w:tc>
        <w:tc>
          <w:tcPr>
            <w:tcW w:type="dxa" w:w="1872"/>
          </w:tcPr>
          <w:p>
            <w:pPr>
              <w:spacing w:after="0"/>
            </w:pPr>
            <w:r>
              <w:rPr>
                <w:sz w:val="19"/>
              </w:rPr>
              <w:t>Qualification (first article tooling)</w:t>
            </w:r>
          </w:p>
        </w:tc>
      </w:tr>
      <w:tr>
        <w:tc>
          <w:tcPr>
            <w:tcW w:type="dxa" w:w="2592"/>
          </w:tcPr>
          <w:p>
            <w:pPr>
              <w:spacing w:after="0"/>
            </w:pPr>
            <w:r>
              <w:rPr>
                <w:sz w:val="19"/>
              </w:rPr>
              <w:t>NTC accuracy</w:t>
            </w:r>
          </w:p>
        </w:tc>
        <w:tc>
          <w:tcPr>
            <w:tcW w:type="dxa" w:w="2592"/>
          </w:tcPr>
          <w:p>
            <w:pPr>
              <w:spacing w:after="0"/>
            </w:pPr>
            <w:r>
              <w:rPr>
                <w:sz w:val="19"/>
              </w:rPr>
              <w:t>Compare NTC reading to calibrated thermocouple at 25°C and 60°C</w:t>
            </w:r>
          </w:p>
        </w:tc>
        <w:tc>
          <w:tcPr>
            <w:tcW w:type="dxa" w:w="2592"/>
          </w:tcPr>
          <w:p>
            <w:pPr>
              <w:spacing w:after="0"/>
            </w:pPr>
            <w:r>
              <w:rPr>
                <w:sz w:val="19"/>
              </w:rPr>
              <w:t>± 1.5°C at both temperatures</w:t>
            </w:r>
          </w:p>
        </w:tc>
        <w:tc>
          <w:tcPr>
            <w:tcW w:type="dxa" w:w="1872"/>
          </w:tcPr>
          <w:p>
            <w:pPr>
              <w:spacing w:after="0"/>
            </w:pPr>
            <w:r>
              <w:rPr>
                <w:sz w:val="19"/>
              </w:rPr>
              <w:t>First article + sample each batch</w:t>
            </w:r>
          </w:p>
        </w:tc>
      </w:tr>
      <w:tr>
        <w:tc>
          <w:tcPr>
            <w:tcW w:type="dxa" w:w="2592"/>
          </w:tcPr>
          <w:p>
            <w:pPr>
              <w:spacing w:after="0"/>
            </w:pPr>
            <w:r>
              <w:rPr>
                <w:sz w:val="19"/>
              </w:rPr>
              <w:t>ENABLE interlock</w:t>
            </w:r>
          </w:p>
        </w:tc>
        <w:tc>
          <w:tcPr>
            <w:tcW w:type="dxa" w:w="2592"/>
          </w:tcPr>
          <w:p>
            <w:pPr>
              <w:spacing w:after="0"/>
            </w:pPr>
            <w:r>
              <w:rPr>
                <w:sz w:val="19"/>
              </w:rPr>
              <w:t>Assert ENABLE low; verify zero LED current draw at all pins</w:t>
            </w:r>
          </w:p>
        </w:tc>
        <w:tc>
          <w:tcPr>
            <w:tcW w:type="dxa" w:w="2592"/>
          </w:tcPr>
          <w:p>
            <w:pPr>
              <w:spacing w:after="0"/>
            </w:pPr>
            <w:r>
              <w:rPr>
                <w:sz w:val="19"/>
              </w:rPr>
              <w:t>Zero current on VLED_660 and VLED_808 when ENABLE = low</w:t>
            </w:r>
          </w:p>
        </w:tc>
        <w:tc>
          <w:tcPr>
            <w:tcW w:type="dxa" w:w="1872"/>
          </w:tcPr>
          <w:p>
            <w:pPr>
              <w:spacing w:after="0"/>
            </w:pPr>
            <w:r>
              <w:rPr>
                <w:sz w:val="19"/>
              </w:rPr>
              <w:t>Every unit (automated fixture)</w:t>
            </w:r>
          </w:p>
        </w:tc>
      </w:tr>
      <w:tr>
        <w:tc>
          <w:tcPr>
            <w:tcW w:type="dxa" w:w="2592"/>
          </w:tcPr>
          <w:p>
            <w:pPr>
              <w:spacing w:after="0"/>
            </w:pPr>
            <w:r>
              <w:rPr>
                <w:sz w:val="19"/>
              </w:rPr>
              <w:t>FAULT assertion</w:t>
            </w:r>
          </w:p>
        </w:tc>
        <w:tc>
          <w:tcPr>
            <w:tcW w:type="dxa" w:w="2592"/>
          </w:tcPr>
          <w:p>
            <w:pPr>
              <w:spacing w:after="0"/>
            </w:pPr>
            <w:r>
              <w:rPr>
                <w:sz w:val="19"/>
              </w:rPr>
              <w:t>Drive NTC to simulated 65°C; verify FAULT pin asserts within 200 ms</w:t>
            </w:r>
          </w:p>
        </w:tc>
        <w:tc>
          <w:tcPr>
            <w:tcW w:type="dxa" w:w="2592"/>
          </w:tcPr>
          <w:p>
            <w:pPr>
              <w:spacing w:after="0"/>
            </w:pPr>
            <w:r>
              <w:rPr>
                <w:sz w:val="19"/>
              </w:rPr>
              <w:t>FAULT low within 200 ms of threshold crossing</w:t>
            </w:r>
          </w:p>
        </w:tc>
        <w:tc>
          <w:tcPr>
            <w:tcW w:type="dxa" w:w="1872"/>
          </w:tcPr>
          <w:p>
            <w:pPr>
              <w:spacing w:after="0"/>
            </w:pPr>
            <w:r>
              <w:rPr>
                <w:sz w:val="19"/>
              </w:rPr>
              <w:t>First article + sample each batch</w:t>
            </w:r>
          </w:p>
        </w:tc>
      </w:tr>
      <w:tr>
        <w:tc>
          <w:tcPr>
            <w:tcW w:type="dxa" w:w="2592"/>
          </w:tcPr>
          <w:p>
            <w:pPr>
              <w:spacing w:after="0"/>
            </w:pPr>
            <w:r>
              <w:rPr>
                <w:sz w:val="19"/>
              </w:rPr>
              <w:t>Insertion cycle — connector</w:t>
            </w:r>
          </w:p>
        </w:tc>
        <w:tc>
          <w:tcPr>
            <w:tcW w:type="dxa" w:w="2592"/>
          </w:tcPr>
          <w:p>
            <w:pPr>
              <w:spacing w:after="0"/>
            </w:pPr>
            <w:r>
              <w:rPr>
                <w:sz w:val="19"/>
              </w:rPr>
              <w:t>Insert/extract zone FPC tail 1,000 times with production tooling</w:t>
            </w:r>
          </w:p>
        </w:tc>
        <w:tc>
          <w:tcPr>
            <w:tcW w:type="dxa" w:w="2592"/>
          </w:tcPr>
          <w:p>
            <w:pPr>
              <w:spacing w:after="0"/>
            </w:pPr>
            <w:r>
              <w:rPr>
                <w:sz w:val="19"/>
              </w:rPr>
              <w:t>Contact resistance &lt; 50 mΩ at pin 1 and pin 20 after 1,000 cycles</w:t>
            </w:r>
          </w:p>
        </w:tc>
        <w:tc>
          <w:tcPr>
            <w:tcW w:type="dxa" w:w="1872"/>
          </w:tcPr>
          <w:p>
            <w:pPr>
              <w:spacing w:after="0"/>
            </w:pPr>
            <w:r>
              <w:rPr>
                <w:sz w:val="19"/>
              </w:rPr>
              <w:t>Qualification only</w:t>
            </w:r>
          </w:p>
        </w:tc>
      </w:tr>
      <w:tr>
        <w:tc>
          <w:tcPr>
            <w:tcW w:type="dxa" w:w="2592"/>
          </w:tcPr>
          <w:p>
            <w:pPr>
              <w:spacing w:after="0"/>
            </w:pPr>
            <w:r>
              <w:rPr>
                <w:sz w:val="19"/>
              </w:rPr>
              <w:t>IPX4 splash test</w:t>
            </w:r>
          </w:p>
        </w:tc>
        <w:tc>
          <w:tcPr>
            <w:tcW w:type="dxa" w:w="2592"/>
          </w:tcPr>
          <w:p>
            <w:pPr>
              <w:spacing w:after="0"/>
            </w:pPr>
            <w:r>
              <w:rPr>
                <w:sz w:val="19"/>
              </w:rPr>
              <w:t>IEC 60529 IPX4 — water spray from all directions for 10 min</w:t>
            </w:r>
          </w:p>
        </w:tc>
        <w:tc>
          <w:tcPr>
            <w:tcW w:type="dxa" w:w="2592"/>
          </w:tcPr>
          <w:p>
            <w:pPr>
              <w:spacing w:after="0"/>
            </w:pPr>
            <w:r>
              <w:rPr>
                <w:sz w:val="19"/>
              </w:rPr>
              <w:t>No water ingress to connector or PCB; no change in electrical performance</w:t>
            </w:r>
          </w:p>
        </w:tc>
        <w:tc>
          <w:tcPr>
            <w:tcW w:type="dxa" w:w="1872"/>
          </w:tcPr>
          <w:p>
            <w:pPr>
              <w:spacing w:after="0"/>
            </w:pPr>
            <w:r>
              <w:rPr>
                <w:sz w:val="19"/>
              </w:rPr>
            </w:r>
            <w:r>
              <w:rPr>
                <w:b w:val="0"/>
                <w:sz w:val="18"/>
              </w:rPr>
              <w:t>Qualification on assembled headset — PLUS field-replacement IPX4 test: repeat after 10 zone module swap cycles per NP-FAI-ZM-001 FAI-IPX-02.</w:t>
            </w:r>
          </w:p>
        </w:tc>
      </w:tr>
      <w:tr>
        <w:tc>
          <w:tcPr>
            <w:tcW w:type="dxa" w:w="2592"/>
          </w:tcPr>
          <w:p>
            <w:pPr>
              <w:spacing w:after="0"/>
            </w:pPr>
            <w:r>
              <w:rPr>
                <w:sz w:val="19"/>
              </w:rPr>
              <w:t>Bend radius compliance</w:t>
            </w:r>
          </w:p>
        </w:tc>
        <w:tc>
          <w:tcPr>
            <w:tcW w:type="dxa" w:w="2592"/>
          </w:tcPr>
          <w:p>
            <w:pPr>
              <w:spacing w:after="0"/>
            </w:pPr>
            <w:r>
              <w:rPr>
                <w:sz w:val="19"/>
              </w:rPr>
              <w:t>Measure actual bend radius at connector transition in assembled headset</w:t>
            </w:r>
          </w:p>
        </w:tc>
        <w:tc>
          <w:tcPr>
            <w:tcW w:type="dxa" w:w="2592"/>
          </w:tcPr>
          <w:p>
            <w:pPr>
              <w:spacing w:after="0"/>
            </w:pPr>
            <w:r>
              <w:rPr>
                <w:sz w:val="19"/>
              </w:rPr>
              <w:t>≥ 25 mm at all bend locations</w:t>
            </w:r>
          </w:p>
        </w:tc>
        <w:tc>
          <w:tcPr>
            <w:tcW w:type="dxa" w:w="1872"/>
          </w:tcPr>
          <w:p>
            <w:pPr>
              <w:spacing w:after="0"/>
            </w:pPr>
            <w:r>
              <w:rPr>
                <w:sz w:val="19"/>
              </w:rPr>
              <w:t>First article mechanical inspection</w:t>
            </w:r>
          </w:p>
        </w:tc>
      </w:tr>
    </w:tbl>
    <w:p/>
    <w:p>
      <w:r>
        <w:br w:type="page"/>
      </w:r>
    </w:p>
    <w:p>
      <w:pPr>
        <w:spacing w:before="280" w:after="80"/>
      </w:pPr>
      <w:r>
        <w:rPr>
          <w:b/>
          <w:color w:val="003366"/>
          <w:sz w:val="26"/>
        </w:rPr>
        <w:t>15.  DOCUMENT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pPr>
              <w:spacing w:after="0"/>
            </w:pPr>
            <w:r>
              <w:rPr>
                <w:b/>
                <w:sz w:val="19"/>
              </w:rPr>
              <w:t>Rev</w:t>
            </w:r>
          </w:p>
        </w:tc>
        <w:tc>
          <w:tcPr>
            <w:tcW w:type="dxa" w:w="1296"/>
          </w:tcPr>
          <w:p>
            <w:pPr>
              <w:spacing w:after="0"/>
            </w:pPr>
            <w:r>
              <w:rPr>
                <w:b/>
                <w:sz w:val="19"/>
              </w:rPr>
              <w:t>Date</w:t>
            </w:r>
          </w:p>
        </w:tc>
        <w:tc>
          <w:tcPr>
            <w:tcW w:type="dxa" w:w="3312"/>
          </w:tcPr>
          <w:p>
            <w:pPr>
              <w:spacing w:after="0"/>
            </w:pPr>
            <w:r>
              <w:rPr>
                <w:b/>
                <w:sz w:val="19"/>
              </w:rPr>
              <w:t>Author</w:t>
            </w:r>
          </w:p>
        </w:tc>
        <w:tc>
          <w:tcPr>
            <w:tcW w:type="dxa" w:w="5184"/>
          </w:tcPr>
          <w:p>
            <w:pPr>
              <w:spacing w:after="0"/>
            </w:pPr>
            <w:r>
              <w:rPr>
                <w:b/>
                <w:sz w:val="19"/>
              </w:rPr>
              <w:t>Description</w:t>
            </w:r>
          </w:p>
        </w:tc>
      </w:tr>
      <w:tr>
        <w:tc>
          <w:tcPr>
            <w:tcW w:type="dxa" w:w="576"/>
          </w:tcPr>
          <w:p>
            <w:pPr>
              <w:spacing w:after="0"/>
            </w:pPr>
            <w:r>
              <w:rPr>
                <w:sz w:val="19"/>
              </w:rPr>
              <w:t>A</w:t>
            </w:r>
          </w:p>
        </w:tc>
        <w:tc>
          <w:tcPr>
            <w:tcW w:type="dxa" w:w="1296"/>
          </w:tcPr>
          <w:p>
            <w:pPr>
              <w:spacing w:after="0"/>
            </w:pPr>
            <w:r>
              <w:rPr>
                <w:sz w:val="19"/>
              </w:rPr>
              <w:t>2026-05-06</w:t>
            </w:r>
          </w:p>
        </w:tc>
        <w:tc>
          <w:tcPr>
            <w:tcW w:type="dxa" w:w="3312"/>
          </w:tcPr>
          <w:p>
            <w:pPr>
              <w:spacing w:after="0"/>
            </w:pPr>
            <w:r>
              <w:rPr>
                <w:sz w:val="19"/>
              </w:rPr>
              <w:t>Claude / NeuroPulse Engineering</w:t>
            </w:r>
          </w:p>
        </w:tc>
        <w:tc>
          <w:tcPr>
            <w:tcW w:type="dxa" w:w="5184"/>
          </w:tcPr>
          <w:p>
            <w:pPr>
              <w:spacing w:after="0"/>
            </w:pPr>
            <w:r>
              <w:rPr>
                <w:b w:val="0"/>
                <w:sz w:val="19"/>
              </w:rPr>
              <w:t>Initial prospective draft. Pending all OPEN ISSUE resolutions before release for fabrication.</w:t>
            </w:r>
          </w:p>
        </w:tc>
      </w:tr>
      <w:tr>
        <w:tc>
          <w:tcPr>
            <w:tcW w:type="dxa" w:w="576"/>
          </w:tcPr>
          <w:p>
            <w:pPr>
              <w:spacing w:after="0"/>
            </w:pPr>
            <w:r>
              <w:rPr>
                <w:sz w:val="19"/>
              </w:rPr>
              <w:t>B</w:t>
            </w:r>
          </w:p>
        </w:tc>
        <w:tc>
          <w:tcPr>
            <w:tcW w:type="dxa" w:w="1296"/>
          </w:tcPr>
          <w:p>
            <w:pPr>
              <w:spacing w:after="0"/>
            </w:pPr>
            <w:r>
              <w:rPr>
                <w:sz w:val="19"/>
              </w:rPr>
              <w:t>2026-05-06</w:t>
            </w:r>
          </w:p>
        </w:tc>
        <w:tc>
          <w:tcPr>
            <w:tcW w:type="dxa" w:w="3312"/>
          </w:tcPr>
          <w:p>
            <w:pPr>
              <w:spacing w:after="0"/>
            </w:pPr>
            <w:r>
              <w:rPr>
                <w:sz w:val="19"/>
              </w:rPr>
              <w:t>Claude / NeuroPulse Engineering</w:t>
            </w:r>
          </w:p>
        </w:tc>
        <w:tc>
          <w:tcPr>
            <w:tcW w:type="dxa" w:w="5184"/>
          </w:tcPr>
          <w:p>
            <w:pPr>
              <w:spacing w:after="0"/>
            </w:pPr>
            <w:r>
              <w:rPr>
                <w:b w:val="0"/>
                <w:sz w:val="19"/>
              </w:rPr>
              <w:t>RISK-02 mitigated: main power bus width updated to ≥2.0 mm on zone FPC, ≥4.0 mm on Hub PCB. RSET R-ladder topology added for regulatory resilience. Fab note 12 added.</w:t>
            </w:r>
          </w:p>
        </w:tc>
      </w:tr>
      <w:tr>
        <w:tc>
          <w:tcPr>
            <w:tcW w:type="dxa" w:w="576"/>
          </w:tcPr>
          <w:p>
            <w:pPr>
              <w:spacing w:after="0"/>
            </w:pPr>
            <w:r>
              <w:rPr>
                <w:sz w:val="19"/>
              </w:rPr>
              <w:t>C</w:t>
            </w:r>
          </w:p>
        </w:tc>
        <w:tc>
          <w:tcPr>
            <w:tcW w:type="dxa" w:w="1296"/>
          </w:tcPr>
          <w:p>
            <w:pPr>
              <w:spacing w:after="0"/>
            </w:pPr>
            <w:r>
              <w:rPr>
                <w:sz w:val="19"/>
              </w:rPr>
              <w:t>2026-05-06</w:t>
            </w:r>
          </w:p>
        </w:tc>
        <w:tc>
          <w:tcPr>
            <w:tcW w:type="dxa" w:w="3312"/>
          </w:tcPr>
          <w:p>
            <w:pPr>
              <w:spacing w:after="0"/>
            </w:pPr>
            <w:r>
              <w:rPr>
                <w:sz w:val="19"/>
              </w:rPr>
              <w:t>Claude / NeuroPulse Engineering</w:t>
            </w:r>
          </w:p>
        </w:tc>
        <w:tc>
          <w:tcPr>
            <w:tcW w:type="dxa" w:w="5184"/>
          </w:tcPr>
          <w:p>
            <w:pPr>
              <w:spacing w:after="0"/>
            </w:pPr>
            <w:r>
              <w:rPr>
                <w:b w:val="0"/>
                <w:sz w:val="19"/>
              </w:rPr>
              <w:t>RISK-01 mitigated: connector family updated from Molex SlimStack (BTB, wrong family) to Hirose FH34S-20S-0.5SH / JAE FF03 (0.5 mm, lever ZIF, ≥1,000 cycles). CLAUDE.md §7.1 updated. Remaining action: confirm cycle rating from full FH34S datasheet before BOM lock.</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