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97D"/>
          <w:sz w:val="32"/>
        </w:rPr>
        <w:t>NP-PROC-SUP-001</w:t>
      </w:r>
    </w:p>
    <w:p>
      <w:r>
        <w:rPr>
          <w:b/>
          <w:color w:val="1F497D"/>
          <w:sz w:val="28"/>
        </w:rPr>
        <w:t>NeuroPulse Tooling &amp; Process Supplier Selection Checklist</w:t>
      </w:r>
    </w:p>
    <w:tbl>
      <w:tblPr>
        <w:tblStyle w:val="TableGrid"/>
        <w:tblW w:type="auto" w:w="0"/>
        <w:tblLook w:firstColumn="1" w:firstRow="1" w:lastColumn="0" w:lastRow="0" w:noHBand="0" w:noVBand="1" w:val="04A0"/>
      </w:tblPr>
      <w:tblGrid>
        <w:gridCol w:w="4320"/>
        <w:gridCol w:w="4320"/>
      </w:tblGrid>
      <w:tr>
        <w:tc>
          <w:tcPr>
            <w:tcW w:type="dxa" w:w="2880"/>
            <w:shd w:val="clear" w:color="auto" w:fill="1F497D"/>
          </w:tcPr>
          <w:p>
            <w:r>
              <w:rPr>
                <w:b/>
                <w:color w:val="FFFFFF"/>
                <w:sz w:val="18"/>
              </w:rPr>
              <w:t>Document number:</w:t>
            </w:r>
          </w:p>
        </w:tc>
        <w:tc>
          <w:tcPr>
            <w:tcW w:type="dxa" w:w="6912"/>
          </w:tcPr>
          <w:p>
            <w:r>
              <w:rPr>
                <w:sz w:val="18"/>
              </w:rPr>
              <w:t>NP-PROC-SUP-001</w:t>
            </w:r>
          </w:p>
        </w:tc>
      </w:tr>
      <w:tr>
        <w:tc>
          <w:tcPr>
            <w:tcW w:type="dxa" w:w="2880"/>
            <w:shd w:val="clear" w:color="auto" w:fill="1F497D"/>
          </w:tcPr>
          <w:p>
            <w:r>
              <w:rPr>
                <w:b/>
                <w:color w:val="FFFFFF"/>
                <w:sz w:val="18"/>
              </w:rPr>
              <w:t>Revision:</w:t>
            </w:r>
          </w:p>
        </w:tc>
        <w:tc>
          <w:tcPr>
            <w:tcW w:type="dxa" w:w="6912"/>
          </w:tcPr>
          <w:p>
            <w:r>
              <w:rPr>
                <w:sz w:val="18"/>
              </w:rPr>
              <w:t>A (Draft)</w:t>
            </w:r>
          </w:p>
        </w:tc>
      </w:tr>
      <w:tr>
        <w:tc>
          <w:tcPr>
            <w:tcW w:type="dxa" w:w="2880"/>
            <w:shd w:val="clear" w:color="auto" w:fill="1F497D"/>
          </w:tcPr>
          <w:p>
            <w:r>
              <w:rPr>
                <w:b/>
                <w:color w:val="FFFFFF"/>
                <w:sz w:val="18"/>
              </w:rPr>
              <w:t>Status:</w:t>
            </w:r>
          </w:p>
        </w:tc>
        <w:tc>
          <w:tcPr>
            <w:tcW w:type="dxa" w:w="6912"/>
          </w:tcPr>
          <w:p>
            <w:r>
              <w:rPr>
                <w:sz w:val="18"/>
              </w:rPr>
              <w:t>ACTIVE — must be completed before supplier engagement</w:t>
            </w:r>
          </w:p>
        </w:tc>
      </w:tr>
      <w:tr>
        <w:tc>
          <w:tcPr>
            <w:tcW w:type="dxa" w:w="2880"/>
            <w:shd w:val="clear" w:color="auto" w:fill="1F497D"/>
          </w:tcPr>
          <w:p>
            <w:r>
              <w:rPr>
                <w:b/>
                <w:color w:val="FFFFFF"/>
                <w:sz w:val="18"/>
              </w:rPr>
              <w:t>Scope:</w:t>
            </w:r>
          </w:p>
        </w:tc>
        <w:tc>
          <w:tcPr>
            <w:tcW w:type="dxa" w:w="6912"/>
          </w:tcPr>
          <w:p>
            <w:r>
              <w:rPr>
                <w:sz w:val="18"/>
              </w:rPr>
              <w:t>Injection moulding (zone module body + headset shell), FPC fabrication, PDMS bonding</w:t>
            </w:r>
          </w:p>
        </w:tc>
      </w:tr>
      <w:tr>
        <w:tc>
          <w:tcPr>
            <w:tcW w:type="dxa" w:w="2880"/>
            <w:shd w:val="clear" w:color="auto" w:fill="1F497D"/>
          </w:tcPr>
          <w:p>
            <w:r>
              <w:rPr>
                <w:b/>
                <w:color w:val="FFFFFF"/>
                <w:sz w:val="18"/>
              </w:rPr>
              <w:t>Related specs:</w:t>
            </w:r>
          </w:p>
        </w:tc>
        <w:tc>
          <w:tcPr>
            <w:tcW w:type="dxa" w:w="6912"/>
          </w:tcPr>
          <w:p>
            <w:r>
              <w:rPr>
                <w:sz w:val="18"/>
              </w:rPr>
              <w:t>NP-HW-FPC-001, NP-DRV-SHELL-001, NP-TOOL-ZM-001, NP-PROC-FPC-001</w:t>
            </w:r>
          </w:p>
        </w:tc>
      </w:tr>
      <w:tr>
        <w:tc>
          <w:tcPr>
            <w:tcW w:type="dxa" w:w="2880"/>
            <w:shd w:val="clear" w:color="auto" w:fill="1F497D"/>
          </w:tcPr>
          <w:p>
            <w:r>
              <w:rPr>
                <w:b/>
                <w:color w:val="FFFFFF"/>
                <w:sz w:val="18"/>
              </w:rPr>
              <w:t>Date:</w:t>
            </w:r>
          </w:p>
        </w:tc>
        <w:tc>
          <w:tcPr>
            <w:tcW w:type="dxa" w:w="6912"/>
          </w:tcPr>
          <w:p>
            <w:r>
              <w:rPr>
                <w:sz w:val="18"/>
              </w:rPr>
              <w:t>2026-05-06</w:t>
            </w:r>
          </w:p>
        </w:tc>
      </w:tr>
    </w:tbl>
    <w:p/>
    <w:p>
      <w:r>
        <w:rPr>
          <w:b/>
          <w:color w:val="1F497D"/>
          <w:sz w:val="24"/>
        </w:rPr>
        <w:t>1.  PURPOSE AND SCOPE</w:t>
      </w:r>
    </w:p>
    <w:p>
      <w:r>
        <w:rPr>
          <w:b w:val="0"/>
          <w:sz w:val="20"/>
        </w:rPr>
        <w:t>This checklist qualifies suppliers for three manufacturing processes critical to the NeuroPulse zone module and headset shell: injection moulding with co-moulding of silicone components, CFRP shell fabrication, and PDMS bonding. It must be completed for each candidate supplier before an NDA or purchase order is issued.</w:t>
      </w:r>
    </w:p>
    <w:p>
      <w:r>
        <w:rPr>
          <w:b w:val="0"/>
          <w:sz w:val="20"/>
        </w:rPr>
        <w:t>BLOCKING items (marked ⛔) are disqualifying if the supplier cannot confirm compliance in writing. Non-blocking items are scored; a supplier scoring fewer than 80% of non-blocking items is placed on probation with a corrective action plan required within 30 days of engagement.</w:t>
      </w:r>
    </w:p>
    <w:p>
      <w:r>
        <w:rPr>
          <w:b w:val="0"/>
          <w:sz w:val="20"/>
        </w:rPr>
        <w:t>RISK-20 traceability: This checklist is the primary mitigation document for RISK-20 (CFRP shell slot rim Ra ≤ 1.6 µm surface finish). The RISK-20 item (SUP-M-07) is BLOCKING — tooling must not be released without a written supplier confirmation that this surface finish is achievable with moulded CFRP at the slot rim geometry.</w:t>
      </w:r>
    </w:p>
    <w:p/>
    <w:p>
      <w:r>
        <w:rPr>
          <w:b/>
          <w:color w:val="1F497D"/>
          <w:sz w:val="24"/>
        </w:rPr>
        <w:t>2.  SUPPLIER CATEGORIES</w:t>
      </w:r>
    </w:p>
    <w:p>
      <w:r>
        <w:rPr>
          <w:b w:val="0"/>
          <w:sz w:val="20"/>
        </w:rPr>
        <w:t>This document applies to three supplier types. A single supplier may cover more than one category if they have demonstrated capability in all relevant sections.</w:t>
      </w:r>
    </w:p>
    <w:tbl>
      <w:tblPr>
        <w:tblStyle w:val="TableGrid"/>
        <w:tblW w:type="auto" w:w="0"/>
        <w:tblLook w:firstColumn="1" w:firstRow="1" w:lastColumn="0" w:lastRow="0" w:noHBand="0" w:noVBand="1" w:val="04A0"/>
      </w:tblPr>
      <w:tblGrid>
        <w:gridCol w:w="2160"/>
        <w:gridCol w:w="2160"/>
        <w:gridCol w:w="2160"/>
        <w:gridCol w:w="2160"/>
      </w:tblGrid>
      <w:tr>
        <w:tc>
          <w:tcPr>
            <w:tcW w:type="dxa" w:w="1296"/>
            <w:shd w:val="clear" w:color="auto" w:fill="1F497D"/>
          </w:tcPr>
          <w:p>
            <w:r>
              <w:rPr>
                <w:b/>
                <w:color w:val="FFFFFF"/>
                <w:sz w:val="16"/>
              </w:rPr>
              <w:t>Category</w:t>
            </w:r>
          </w:p>
        </w:tc>
        <w:tc>
          <w:tcPr>
            <w:tcW w:type="dxa" w:w="4320"/>
            <w:shd w:val="clear" w:color="auto" w:fill="1F497D"/>
          </w:tcPr>
          <w:p>
            <w:r>
              <w:rPr>
                <w:b/>
                <w:color w:val="FFFFFF"/>
                <w:sz w:val="16"/>
              </w:rPr>
              <w:t>Scope</w:t>
            </w:r>
          </w:p>
        </w:tc>
        <w:tc>
          <w:tcPr>
            <w:tcW w:type="dxa" w:w="2160"/>
            <w:shd w:val="clear" w:color="auto" w:fill="1F497D"/>
          </w:tcPr>
          <w:p>
            <w:r>
              <w:rPr>
                <w:b/>
                <w:color w:val="FFFFFF"/>
                <w:sz w:val="16"/>
              </w:rPr>
              <w:t>Key Sections</w:t>
            </w:r>
          </w:p>
        </w:tc>
        <w:tc>
          <w:tcPr>
            <w:tcW w:type="dxa" w:w="1872"/>
            <w:shd w:val="clear" w:color="auto" w:fill="1F497D"/>
          </w:tcPr>
          <w:p>
            <w:r>
              <w:rPr>
                <w:b/>
                <w:color w:val="FFFFFF"/>
                <w:sz w:val="16"/>
              </w:rPr>
              <w:t>Min. Lead Time Required</w:t>
            </w:r>
          </w:p>
        </w:tc>
      </w:tr>
      <w:tr>
        <w:tc>
          <w:tcPr>
            <w:tcW w:type="dxa" w:w="1296"/>
            <w:shd w:val="clear" w:color="auto" w:fill="FFFFFF"/>
          </w:tcPr>
          <w:p>
            <w:r>
              <w:rPr>
                <w:b/>
                <w:sz w:val="16"/>
              </w:rPr>
              <w:t>CAT-A</w:t>
              <w:br/>
              <w:t>Moulding</w:t>
            </w:r>
          </w:p>
        </w:tc>
        <w:tc>
          <w:tcPr>
            <w:tcW w:type="dxa" w:w="4320"/>
            <w:shd w:val="clear" w:color="auto" w:fill="FFFFFF"/>
          </w:tcPr>
          <w:p>
            <w:r>
              <w:rPr>
                <w:sz w:val="16"/>
              </w:rPr>
              <w:t>Injection moulding of zone module body (PC/ABS) + co-moulding of Shore 40–50A silicone gasket. 5 unique mould cavities (one per zone position). Volume: T1 ramp to ~10,000 units/year.</w:t>
            </w:r>
          </w:p>
        </w:tc>
        <w:tc>
          <w:tcPr>
            <w:tcW w:type="dxa" w:w="2160"/>
            <w:shd w:val="clear" w:color="auto" w:fill="FFFFFF"/>
          </w:tcPr>
          <w:p>
            <w:r>
              <w:rPr>
                <w:sz w:val="16"/>
              </w:rPr>
              <w:t>§3, §4, §5</w:t>
            </w:r>
          </w:p>
        </w:tc>
        <w:tc>
          <w:tcPr>
            <w:tcW w:type="dxa" w:w="1872"/>
            <w:shd w:val="clear" w:color="auto" w:fill="FFFFFF"/>
          </w:tcPr>
          <w:p>
            <w:r>
              <w:rPr>
                <w:sz w:val="16"/>
              </w:rPr>
              <w:t>12 weeks DFM → first article</w:t>
            </w:r>
          </w:p>
        </w:tc>
      </w:tr>
      <w:tr>
        <w:tc>
          <w:tcPr>
            <w:tcW w:type="dxa" w:w="1296"/>
            <w:shd w:val="clear" w:color="auto" w:fill="F5F5F5"/>
          </w:tcPr>
          <w:p>
            <w:r>
              <w:rPr>
                <w:b/>
                <w:sz w:val="16"/>
              </w:rPr>
              <w:t>CAT-B</w:t>
              <w:br/>
              <w:t>CFRP Shell</w:t>
            </w:r>
          </w:p>
        </w:tc>
        <w:tc>
          <w:tcPr>
            <w:tcW w:type="dxa" w:w="4320"/>
            <w:shd w:val="clear" w:color="auto" w:fill="F5F5F5"/>
          </w:tcPr>
          <w:p>
            <w:r>
              <w:rPr>
                <w:sz w:val="16"/>
              </w:rPr>
              <w:t>CFRP headset shell fabrication. Includes mu-metal liner bonding and FPC channel moulding. Surface finish requirement at zone slot rims: Ra ≤ 1.6 µm (RISK-20). Volume: same as zone module.</w:t>
            </w:r>
          </w:p>
        </w:tc>
        <w:tc>
          <w:tcPr>
            <w:tcW w:type="dxa" w:w="2160"/>
            <w:shd w:val="clear" w:color="auto" w:fill="F5F5F5"/>
          </w:tcPr>
          <w:p>
            <w:r>
              <w:rPr>
                <w:sz w:val="16"/>
              </w:rPr>
              <w:t>§3, §4, §6</w:t>
            </w:r>
          </w:p>
        </w:tc>
        <w:tc>
          <w:tcPr>
            <w:tcW w:type="dxa" w:w="1872"/>
            <w:shd w:val="clear" w:color="auto" w:fill="F5F5F5"/>
          </w:tcPr>
          <w:p>
            <w:r>
              <w:rPr>
                <w:sz w:val="16"/>
              </w:rPr>
              <w:t>16 weeks DFM → first article</w:t>
            </w:r>
          </w:p>
        </w:tc>
      </w:tr>
      <w:tr>
        <w:tc>
          <w:tcPr>
            <w:tcW w:type="dxa" w:w="1296"/>
            <w:shd w:val="clear" w:color="auto" w:fill="FFFFFF"/>
          </w:tcPr>
          <w:p>
            <w:r>
              <w:rPr>
                <w:b/>
                <w:sz w:val="16"/>
              </w:rPr>
              <w:t>CAT-C</w:t>
              <w:br/>
              <w:t>PDMS Bonding</w:t>
            </w:r>
          </w:p>
        </w:tc>
        <w:tc>
          <w:tcPr>
            <w:tcW w:type="dxa" w:w="4320"/>
            <w:shd w:val="clear" w:color="auto" w:fill="FFFFFF"/>
          </w:tcPr>
          <w:p>
            <w:r>
              <w:rPr>
                <w:sz w:val="16"/>
              </w:rPr>
              <w:t>PDMS optical window bonding to FPC coverlay (SiO₂ interlayer, O₂ plasma activation, 120°C cure). Batch peel testing per lot. Biocompatibility certificate required.</w:t>
            </w:r>
          </w:p>
        </w:tc>
        <w:tc>
          <w:tcPr>
            <w:tcW w:type="dxa" w:w="2160"/>
            <w:shd w:val="clear" w:color="auto" w:fill="FFFFFF"/>
          </w:tcPr>
          <w:p>
            <w:r>
              <w:rPr>
                <w:sz w:val="16"/>
              </w:rPr>
              <w:t>§3, §7</w:t>
            </w:r>
          </w:p>
        </w:tc>
        <w:tc>
          <w:tcPr>
            <w:tcW w:type="dxa" w:w="1872"/>
            <w:shd w:val="clear" w:color="auto" w:fill="FFFFFF"/>
          </w:tcPr>
          <w:p>
            <w:r>
              <w:rPr>
                <w:sz w:val="16"/>
              </w:rPr>
              <w:t>8 weeks process validation</w:t>
            </w:r>
          </w:p>
        </w:tc>
      </w:tr>
    </w:tbl>
    <w:p/>
    <w:p>
      <w:r>
        <w:rPr>
          <w:b/>
          <w:color w:val="1F497D"/>
          <w:sz w:val="24"/>
        </w:rPr>
        <w:t>3.  GENERAL QUALIFICATION REQUIREMENTS (all categories)</w:t>
      </w:r>
    </w:p>
    <w:p>
      <w:r>
        <w:rPr>
          <w:b w:val="0"/>
          <w:sz w:val="20"/>
        </w:rPr>
        <w:t>Items in this section apply to all supplier categories. Complete this section first; a BLOCKING failure here ends evaluation.</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shd w:val="clear" w:color="auto" w:fill="1F497D"/>
          </w:tcPr>
          <w:p>
            <w:r>
              <w:rPr>
                <w:b/>
                <w:color w:val="FFFFFF"/>
                <w:sz w:val="16"/>
              </w:rPr>
              <w:t>Item</w:t>
            </w:r>
          </w:p>
        </w:tc>
        <w:tc>
          <w:tcPr>
            <w:tcW w:type="dxa" w:w="4608"/>
            <w:shd w:val="clear" w:color="auto" w:fill="1F497D"/>
          </w:tcPr>
          <w:p>
            <w:r>
              <w:rPr>
                <w:b/>
                <w:color w:val="FFFFFF"/>
                <w:sz w:val="16"/>
              </w:rPr>
              <w:t>Requirement</w:t>
            </w:r>
          </w:p>
        </w:tc>
        <w:tc>
          <w:tcPr>
            <w:tcW w:type="dxa" w:w="2448"/>
            <w:shd w:val="clear" w:color="auto" w:fill="1F497D"/>
          </w:tcPr>
          <w:p>
            <w:r>
              <w:rPr>
                <w:b/>
                <w:color w:val="FFFFFF"/>
                <w:sz w:val="16"/>
              </w:rPr>
              <w:t>Evidence Required</w:t>
            </w:r>
          </w:p>
        </w:tc>
        <w:tc>
          <w:tcPr>
            <w:tcW w:type="dxa" w:w="1080"/>
            <w:shd w:val="clear" w:color="auto" w:fill="1F497D"/>
          </w:tcPr>
          <w:p>
            <w:r>
              <w:rPr>
                <w:b/>
                <w:color w:val="FFFFFF"/>
                <w:sz w:val="16"/>
              </w:rPr>
              <w:t>Type</w:t>
            </w:r>
          </w:p>
        </w:tc>
        <w:tc>
          <w:tcPr>
            <w:tcW w:type="dxa" w:w="1224"/>
            <w:shd w:val="clear" w:color="auto" w:fill="1F497D"/>
          </w:tcPr>
          <w:p>
            <w:r>
              <w:rPr>
                <w:b/>
                <w:color w:val="FFFFFF"/>
                <w:sz w:val="16"/>
              </w:rPr>
              <w:t>Confirmed?</w:t>
            </w:r>
          </w:p>
        </w:tc>
      </w:tr>
      <w:tr>
        <w:tc>
          <w:tcPr>
            <w:tcW w:type="dxa" w:w="1008"/>
            <w:shd w:val="clear" w:color="auto" w:fill="FFFFFF"/>
            <w:shd w:val="clear" w:color="auto" w:fill="FFE7E7"/>
          </w:tcPr>
          <w:p>
            <w:r>
              <w:rPr>
                <w:b/>
                <w:color w:val="C00000"/>
                <w:sz w:val="16"/>
              </w:rPr>
              <w:t>SUP-G-01</w:t>
            </w:r>
          </w:p>
        </w:tc>
        <w:tc>
          <w:tcPr>
            <w:tcW w:type="dxa" w:w="4608"/>
            <w:shd w:val="clear" w:color="auto" w:fill="FFFFFF"/>
            <w:shd w:val="clear" w:color="auto" w:fill="FFE7E7"/>
          </w:tcPr>
          <w:p>
            <w:r>
              <w:rPr>
                <w:color w:val="C00000"/>
                <w:sz w:val="16"/>
              </w:rPr>
              <w:t>ISO 9001:2015 certification (or ISO 13485:2016 for medical-adjacent work). Certificate must be current (within 3-year cycle, last audit &lt;18 months ago).</w:t>
            </w:r>
          </w:p>
        </w:tc>
        <w:tc>
          <w:tcPr>
            <w:tcW w:type="dxa" w:w="2448"/>
            <w:shd w:val="clear" w:color="auto" w:fill="FFFFFF"/>
            <w:shd w:val="clear" w:color="auto" w:fill="FFE7E7"/>
          </w:tcPr>
          <w:p>
            <w:r>
              <w:rPr>
                <w:color w:val="C00000"/>
                <w:sz w:val="16"/>
              </w:rPr>
              <w:t>Current ISO certificate</w:t>
            </w:r>
          </w:p>
        </w:tc>
        <w:tc>
          <w:tcPr>
            <w:tcW w:type="dxa" w:w="1080"/>
            <w:shd w:val="clear" w:color="auto" w:fill="FFFFFF"/>
            <w:shd w:val="clear" w:color="auto" w:fill="FFE7E7"/>
          </w:tcPr>
          <w:p>
            <w:r>
              <w:rPr>
                <w:color w:val="C00000"/>
                <w:sz w:val="16"/>
              </w:rPr>
              <w:t>⛔ BLOCKING</w:t>
            </w:r>
          </w:p>
        </w:tc>
        <w:tc>
          <w:tcPr>
            <w:tcW w:type="dxa" w:w="1224"/>
            <w:shd w:val="clear" w:color="auto" w:fill="FFFFFF"/>
            <w:shd w:val="clear" w:color="auto" w:fill="FFE7E7"/>
          </w:tcPr>
          <w:p>
            <w:r>
              <w:rPr>
                <w:color w:val="C00000"/>
                <w:sz w:val="16"/>
              </w:rPr>
              <w:t>☐</w:t>
            </w:r>
          </w:p>
        </w:tc>
      </w:tr>
      <w:tr>
        <w:tc>
          <w:tcPr>
            <w:tcW w:type="dxa" w:w="1008"/>
            <w:shd w:val="clear" w:color="auto" w:fill="F5F5F5"/>
          </w:tcPr>
          <w:p>
            <w:r>
              <w:rPr>
                <w:b/>
                <w:sz w:val="16"/>
              </w:rPr>
              <w:t>SUP-G-02</w:t>
            </w:r>
          </w:p>
        </w:tc>
        <w:tc>
          <w:tcPr>
            <w:tcW w:type="dxa" w:w="4608"/>
            <w:shd w:val="clear" w:color="auto" w:fill="F5F5F5"/>
          </w:tcPr>
          <w:p>
            <w:r>
              <w:rPr>
                <w:sz w:val="16"/>
              </w:rPr>
              <w:t>ESD-safe production environment for any operation involving bare PCBs, FPCs, or electronic components. ESD flooring, wrist straps, and ionisers documented.</w:t>
            </w:r>
          </w:p>
        </w:tc>
        <w:tc>
          <w:tcPr>
            <w:tcW w:type="dxa" w:w="2448"/>
            <w:shd w:val="clear" w:color="auto" w:fill="F5F5F5"/>
          </w:tcPr>
          <w:p>
            <w:r>
              <w:rPr>
                <w:sz w:val="16"/>
              </w:rPr>
              <w:t>ESD audit report or site visit</w:t>
            </w:r>
          </w:p>
        </w:tc>
        <w:tc>
          <w:tcPr>
            <w:tcW w:type="dxa" w:w="1080"/>
            <w:shd w:val="clear" w:color="auto" w:fill="F5F5F5"/>
          </w:tcPr>
          <w:p>
            <w:r>
              <w:rPr>
                <w:sz w:val="16"/>
              </w:rPr>
              <w:t>Required</w:t>
            </w:r>
          </w:p>
        </w:tc>
        <w:tc>
          <w:tcPr>
            <w:tcW w:type="dxa" w:w="1224"/>
            <w:shd w:val="clear" w:color="auto" w:fill="F5F5F5"/>
          </w:tcPr>
          <w:p>
            <w:r>
              <w:rPr>
                <w:sz w:val="16"/>
              </w:rPr>
              <w:t>☐</w:t>
            </w:r>
          </w:p>
        </w:tc>
      </w:tr>
      <w:tr>
        <w:tc>
          <w:tcPr>
            <w:tcW w:type="dxa" w:w="1008"/>
            <w:shd w:val="clear" w:color="auto" w:fill="FFFFFF"/>
          </w:tcPr>
          <w:p>
            <w:r>
              <w:rPr>
                <w:b/>
                <w:sz w:val="16"/>
              </w:rPr>
              <w:t>SUP-G-03</w:t>
            </w:r>
          </w:p>
        </w:tc>
        <w:tc>
          <w:tcPr>
            <w:tcW w:type="dxa" w:w="4608"/>
            <w:shd w:val="clear" w:color="auto" w:fill="FFFFFF"/>
          </w:tcPr>
          <w:p>
            <w:r>
              <w:rPr>
                <w:sz w:val="16"/>
              </w:rPr>
              <w:t>Documented non-conforming material control process: quarantine, disposition, and 8D corrective action capability.</w:t>
            </w:r>
          </w:p>
        </w:tc>
        <w:tc>
          <w:tcPr>
            <w:tcW w:type="dxa" w:w="2448"/>
            <w:shd w:val="clear" w:color="auto" w:fill="FFFFFF"/>
          </w:tcPr>
          <w:p>
            <w:r>
              <w:rPr>
                <w:sz w:val="16"/>
              </w:rPr>
              <w:t>NCR procedure + sample 8D</w:t>
            </w:r>
          </w:p>
        </w:tc>
        <w:tc>
          <w:tcPr>
            <w:tcW w:type="dxa" w:w="1080"/>
            <w:shd w:val="clear" w:color="auto" w:fill="FFFFFF"/>
          </w:tcPr>
          <w:p>
            <w:r>
              <w:rPr>
                <w:sz w:val="16"/>
              </w:rPr>
              <w:t>Required</w:t>
            </w:r>
          </w:p>
        </w:tc>
        <w:tc>
          <w:tcPr>
            <w:tcW w:type="dxa" w:w="1224"/>
            <w:shd w:val="clear" w:color="auto" w:fill="FFFFFF"/>
          </w:tcPr>
          <w:p>
            <w:r>
              <w:rPr>
                <w:sz w:val="16"/>
              </w:rPr>
              <w:t>☐</w:t>
            </w:r>
          </w:p>
        </w:tc>
      </w:tr>
      <w:tr>
        <w:tc>
          <w:tcPr>
            <w:tcW w:type="dxa" w:w="1008"/>
            <w:shd w:val="clear" w:color="auto" w:fill="F5F5F5"/>
            <w:shd w:val="clear" w:color="auto" w:fill="FFE7E7"/>
          </w:tcPr>
          <w:p>
            <w:r>
              <w:rPr>
                <w:b/>
                <w:color w:val="C00000"/>
                <w:sz w:val="16"/>
              </w:rPr>
              <w:t>SUP-G-04</w:t>
            </w:r>
          </w:p>
        </w:tc>
        <w:tc>
          <w:tcPr>
            <w:tcW w:type="dxa" w:w="4608"/>
            <w:shd w:val="clear" w:color="auto" w:fill="F5F5F5"/>
            <w:shd w:val="clear" w:color="auto" w:fill="FFE7E7"/>
          </w:tcPr>
          <w:p>
            <w:r>
              <w:rPr>
                <w:color w:val="C00000"/>
                <w:sz w:val="16"/>
              </w:rPr>
              <w:t>Confidentiality: willing to sign NeuroPulse NDA before receiving any drawings. Drawings classified CONFIDENTIAL.</w:t>
            </w:r>
          </w:p>
        </w:tc>
        <w:tc>
          <w:tcPr>
            <w:tcW w:type="dxa" w:w="2448"/>
            <w:shd w:val="clear" w:color="auto" w:fill="F5F5F5"/>
            <w:shd w:val="clear" w:color="auto" w:fill="FFE7E7"/>
          </w:tcPr>
          <w:p>
            <w:r>
              <w:rPr>
                <w:color w:val="C00000"/>
                <w:sz w:val="16"/>
              </w:rPr>
              <w:t>NDA executed before DFM package</w:t>
            </w:r>
          </w:p>
        </w:tc>
        <w:tc>
          <w:tcPr>
            <w:tcW w:type="dxa" w:w="1080"/>
            <w:shd w:val="clear" w:color="auto" w:fill="F5F5F5"/>
            <w:shd w:val="clear" w:color="auto" w:fill="FFE7E7"/>
          </w:tcPr>
          <w:p>
            <w:r>
              <w:rPr>
                <w:color w:val="C00000"/>
                <w:sz w:val="16"/>
              </w:rPr>
              <w:t>⛔ BLOCKING</w:t>
            </w:r>
          </w:p>
        </w:tc>
        <w:tc>
          <w:tcPr>
            <w:tcW w:type="dxa" w:w="1224"/>
            <w:shd w:val="clear" w:color="auto" w:fill="F5F5F5"/>
            <w:shd w:val="clear" w:color="auto" w:fill="FFE7E7"/>
          </w:tcPr>
          <w:p>
            <w:r>
              <w:rPr>
                <w:color w:val="C00000"/>
                <w:sz w:val="16"/>
              </w:rPr>
              <w:t>☐</w:t>
            </w:r>
          </w:p>
        </w:tc>
      </w:tr>
      <w:tr>
        <w:tc>
          <w:tcPr>
            <w:tcW w:type="dxa" w:w="1008"/>
            <w:shd w:val="clear" w:color="auto" w:fill="FFFFFF"/>
          </w:tcPr>
          <w:p>
            <w:r>
              <w:rPr>
                <w:b/>
                <w:sz w:val="16"/>
              </w:rPr>
              <w:t>SUP-G-05</w:t>
            </w:r>
          </w:p>
        </w:tc>
        <w:tc>
          <w:tcPr>
            <w:tcW w:type="dxa" w:w="4608"/>
            <w:shd w:val="clear" w:color="auto" w:fill="FFFFFF"/>
          </w:tcPr>
          <w:p>
            <w:r>
              <w:rPr>
                <w:sz w:val="16"/>
              </w:rPr>
              <w:t>Lead time: able to deliver first-article samples within the lead times in §2 (CAT-A: 12 weeks, CAT-B: 16 weeks, CAT-C: 8 weeks) from DFM approval.</w:t>
            </w:r>
          </w:p>
        </w:tc>
        <w:tc>
          <w:tcPr>
            <w:tcW w:type="dxa" w:w="2448"/>
            <w:shd w:val="clear" w:color="auto" w:fill="FFFFFF"/>
          </w:tcPr>
          <w:p>
            <w:r>
              <w:rPr>
                <w:sz w:val="16"/>
              </w:rPr>
              <w:t>Written schedule commitment</w:t>
            </w:r>
          </w:p>
        </w:tc>
        <w:tc>
          <w:tcPr>
            <w:tcW w:type="dxa" w:w="1080"/>
            <w:shd w:val="clear" w:color="auto" w:fill="FFFFFF"/>
          </w:tcPr>
          <w:p>
            <w:r>
              <w:rPr>
                <w:sz w:val="16"/>
              </w:rPr>
              <w:t>Required</w:t>
            </w:r>
          </w:p>
        </w:tc>
        <w:tc>
          <w:tcPr>
            <w:tcW w:type="dxa" w:w="1224"/>
            <w:shd w:val="clear" w:color="auto" w:fill="FFFFFF"/>
          </w:tcPr>
          <w:p>
            <w:r>
              <w:rPr>
                <w:sz w:val="16"/>
              </w:rPr>
              <w:t>☐</w:t>
            </w:r>
          </w:p>
        </w:tc>
      </w:tr>
      <w:tr>
        <w:tc>
          <w:tcPr>
            <w:tcW w:type="dxa" w:w="1008"/>
            <w:shd w:val="clear" w:color="auto" w:fill="F5F5F5"/>
          </w:tcPr>
          <w:p>
            <w:r>
              <w:rPr>
                <w:b/>
                <w:sz w:val="16"/>
              </w:rPr>
              <w:t>SUP-G-06</w:t>
            </w:r>
          </w:p>
        </w:tc>
        <w:tc>
          <w:tcPr>
            <w:tcW w:type="dxa" w:w="4608"/>
            <w:shd w:val="clear" w:color="auto" w:fill="F5F5F5"/>
          </w:tcPr>
          <w:p>
            <w:r>
              <w:rPr>
                <w:sz w:val="16"/>
              </w:rPr>
              <w:t>Pricing transparency: willing to provide itemised cost breakdown (tooling, per-part, secondary operations, inspection) within 10 business days of RFQ.</w:t>
            </w:r>
          </w:p>
        </w:tc>
        <w:tc>
          <w:tcPr>
            <w:tcW w:type="dxa" w:w="2448"/>
            <w:shd w:val="clear" w:color="auto" w:fill="F5F5F5"/>
          </w:tcPr>
          <w:p>
            <w:r>
              <w:rPr>
                <w:sz w:val="16"/>
              </w:rPr>
              <w:t>RFQ response with itemised BOM</w:t>
            </w:r>
          </w:p>
        </w:tc>
        <w:tc>
          <w:tcPr>
            <w:tcW w:type="dxa" w:w="1080"/>
            <w:shd w:val="clear" w:color="auto" w:fill="F5F5F5"/>
          </w:tcPr>
          <w:p>
            <w:r>
              <w:rPr>
                <w:sz w:val="16"/>
              </w:rPr>
              <w:t>Required</w:t>
            </w:r>
          </w:p>
        </w:tc>
        <w:tc>
          <w:tcPr>
            <w:tcW w:type="dxa" w:w="1224"/>
            <w:shd w:val="clear" w:color="auto" w:fill="F5F5F5"/>
          </w:tcPr>
          <w:p>
            <w:r>
              <w:rPr>
                <w:sz w:val="16"/>
              </w:rPr>
              <w:t>☐</w:t>
            </w:r>
          </w:p>
        </w:tc>
      </w:tr>
      <w:tr>
        <w:tc>
          <w:tcPr>
            <w:tcW w:type="dxa" w:w="1008"/>
            <w:shd w:val="clear" w:color="auto" w:fill="FFFFFF"/>
          </w:tcPr>
          <w:p>
            <w:r>
              <w:rPr>
                <w:b/>
                <w:sz w:val="16"/>
              </w:rPr>
              <w:t>SUP-G-07</w:t>
            </w:r>
          </w:p>
        </w:tc>
        <w:tc>
          <w:tcPr>
            <w:tcW w:type="dxa" w:w="4608"/>
            <w:shd w:val="clear" w:color="auto" w:fill="FFFFFF"/>
          </w:tcPr>
          <w:p>
            <w:r>
              <w:rPr>
                <w:sz w:val="16"/>
              </w:rPr>
              <w:t>Supply chain resilience: no single-source raw material dependency without documented alternative. Lead times for all key materials stated.</w:t>
            </w:r>
          </w:p>
        </w:tc>
        <w:tc>
          <w:tcPr>
            <w:tcW w:type="dxa" w:w="2448"/>
            <w:shd w:val="clear" w:color="auto" w:fill="FFFFFF"/>
          </w:tcPr>
          <w:p>
            <w:r>
              <w:rPr>
                <w:sz w:val="16"/>
              </w:rPr>
              <w:t>Material sourcing declaration</w:t>
            </w:r>
          </w:p>
        </w:tc>
        <w:tc>
          <w:tcPr>
            <w:tcW w:type="dxa" w:w="1080"/>
            <w:shd w:val="clear" w:color="auto" w:fill="FFFFFF"/>
          </w:tcPr>
          <w:p>
            <w:r>
              <w:rPr>
                <w:sz w:val="16"/>
              </w:rPr>
              <w:t>Advisory</w:t>
            </w:r>
          </w:p>
        </w:tc>
        <w:tc>
          <w:tcPr>
            <w:tcW w:type="dxa" w:w="1224"/>
            <w:shd w:val="clear" w:color="auto" w:fill="FFFFFF"/>
          </w:tcPr>
          <w:p>
            <w:r>
              <w:rPr>
                <w:sz w:val="16"/>
              </w:rPr>
              <w:t>☐</w:t>
            </w:r>
          </w:p>
        </w:tc>
      </w:tr>
    </w:tbl>
    <w:p/>
    <w:p>
      <w:r>
        <w:rPr>
          <w:b/>
          <w:color w:val="1F497D"/>
          <w:sz w:val="24"/>
        </w:rPr>
        <w:t>4.  DIMENSIONAL AND METROLOGY CAPABILITY</w:t>
      </w:r>
    </w:p>
    <w:p>
      <w:r>
        <w:rPr>
          <w:b w:val="0"/>
          <w:sz w:val="20"/>
        </w:rPr>
        <w:t>NeuroPulse zone module and shell features include tolerances as tight as ±0.05 mm (braille dot height) and surface finish requirements as tight as Ra ≤ 1.6 µm (gasket seat). Supplier must demonstrate measurement capability before FAI approval.</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shd w:val="clear" w:color="auto" w:fill="1F497D"/>
          </w:tcPr>
          <w:p>
            <w:r>
              <w:rPr>
                <w:b/>
                <w:color w:val="FFFFFF"/>
                <w:sz w:val="16"/>
              </w:rPr>
              <w:t>Item</w:t>
            </w:r>
          </w:p>
        </w:tc>
        <w:tc>
          <w:tcPr>
            <w:tcW w:type="dxa" w:w="4608"/>
            <w:shd w:val="clear" w:color="auto" w:fill="1F497D"/>
          </w:tcPr>
          <w:p>
            <w:r>
              <w:rPr>
                <w:b/>
                <w:color w:val="FFFFFF"/>
                <w:sz w:val="16"/>
              </w:rPr>
              <w:t>Requirement</w:t>
            </w:r>
          </w:p>
        </w:tc>
        <w:tc>
          <w:tcPr>
            <w:tcW w:type="dxa" w:w="2448"/>
            <w:shd w:val="clear" w:color="auto" w:fill="1F497D"/>
          </w:tcPr>
          <w:p>
            <w:r>
              <w:rPr>
                <w:b/>
                <w:color w:val="FFFFFF"/>
                <w:sz w:val="16"/>
              </w:rPr>
              <w:t>Evidence Required</w:t>
            </w:r>
          </w:p>
        </w:tc>
        <w:tc>
          <w:tcPr>
            <w:tcW w:type="dxa" w:w="1080"/>
            <w:shd w:val="clear" w:color="auto" w:fill="1F497D"/>
          </w:tcPr>
          <w:p>
            <w:r>
              <w:rPr>
                <w:b/>
                <w:color w:val="FFFFFF"/>
                <w:sz w:val="16"/>
              </w:rPr>
              <w:t>Type</w:t>
            </w:r>
          </w:p>
        </w:tc>
        <w:tc>
          <w:tcPr>
            <w:tcW w:type="dxa" w:w="1224"/>
            <w:shd w:val="clear" w:color="auto" w:fill="1F497D"/>
          </w:tcPr>
          <w:p>
            <w:r>
              <w:rPr>
                <w:b/>
                <w:color w:val="FFFFFF"/>
                <w:sz w:val="16"/>
              </w:rPr>
              <w:t>Confirmed?</w:t>
            </w:r>
          </w:p>
        </w:tc>
      </w:tr>
      <w:tr>
        <w:tc>
          <w:tcPr>
            <w:tcW w:type="dxa" w:w="1008"/>
            <w:shd w:val="clear" w:color="auto" w:fill="FFFFFF"/>
            <w:shd w:val="clear" w:color="auto" w:fill="FFE7E7"/>
          </w:tcPr>
          <w:p>
            <w:r>
              <w:rPr>
                <w:b/>
                <w:color w:val="C00000"/>
                <w:sz w:val="16"/>
              </w:rPr>
              <w:t>SUP-M-01</w:t>
            </w:r>
          </w:p>
        </w:tc>
        <w:tc>
          <w:tcPr>
            <w:tcW w:type="dxa" w:w="4608"/>
            <w:shd w:val="clear" w:color="auto" w:fill="FFFFFF"/>
            <w:shd w:val="clear" w:color="auto" w:fill="FFE7E7"/>
          </w:tcPr>
          <w:p>
            <w:r>
              <w:rPr>
                <w:color w:val="C00000"/>
                <w:sz w:val="16"/>
              </w:rPr>
              <w:t>CMM or optical measurement system capable of ±0.02 mm measurement uncertainty for features ≤ 5 mm. Required for gasket groove depth (±0.1 mm) and PD2 aperture centre offset (≤0.2 mm).</w:t>
            </w:r>
          </w:p>
        </w:tc>
        <w:tc>
          <w:tcPr>
            <w:tcW w:type="dxa" w:w="2448"/>
            <w:shd w:val="clear" w:color="auto" w:fill="FFFFFF"/>
            <w:shd w:val="clear" w:color="auto" w:fill="FFE7E7"/>
          </w:tcPr>
          <w:p>
            <w:r>
              <w:rPr>
                <w:color w:val="C00000"/>
                <w:sz w:val="16"/>
              </w:rPr>
              <w:t>CMM calibration certificate + capability study</w:t>
            </w:r>
          </w:p>
        </w:tc>
        <w:tc>
          <w:tcPr>
            <w:tcW w:type="dxa" w:w="1080"/>
            <w:shd w:val="clear" w:color="auto" w:fill="FFFFFF"/>
            <w:shd w:val="clear" w:color="auto" w:fill="FFE7E7"/>
          </w:tcPr>
          <w:p>
            <w:r>
              <w:rPr>
                <w:color w:val="C00000"/>
                <w:sz w:val="16"/>
              </w:rPr>
              <w:t>⛔ BLOCKING</w:t>
            </w:r>
          </w:p>
        </w:tc>
        <w:tc>
          <w:tcPr>
            <w:tcW w:type="dxa" w:w="1224"/>
            <w:shd w:val="clear" w:color="auto" w:fill="FFFFFF"/>
            <w:shd w:val="clear" w:color="auto" w:fill="FFE7E7"/>
          </w:tcPr>
          <w:p>
            <w:r>
              <w:rPr>
                <w:color w:val="C00000"/>
                <w:sz w:val="16"/>
              </w:rPr>
              <w:t>☐</w:t>
            </w:r>
          </w:p>
        </w:tc>
      </w:tr>
      <w:tr>
        <w:tc>
          <w:tcPr>
            <w:tcW w:type="dxa" w:w="1008"/>
            <w:shd w:val="clear" w:color="auto" w:fill="F5F5F5"/>
            <w:shd w:val="clear" w:color="auto" w:fill="FFE7E7"/>
          </w:tcPr>
          <w:p>
            <w:r>
              <w:rPr>
                <w:b/>
                <w:color w:val="C00000"/>
                <w:sz w:val="16"/>
              </w:rPr>
              <w:t>SUP-M-02</w:t>
            </w:r>
          </w:p>
        </w:tc>
        <w:tc>
          <w:tcPr>
            <w:tcW w:type="dxa" w:w="4608"/>
            <w:shd w:val="clear" w:color="auto" w:fill="F5F5F5"/>
            <w:shd w:val="clear" w:color="auto" w:fill="FFE7E7"/>
          </w:tcPr>
          <w:p>
            <w:r>
              <w:rPr>
                <w:color w:val="C00000"/>
                <w:sz w:val="16"/>
              </w:rPr>
              <w:t>Contact profilometer or optical profilometer for surface roughness measurement (Ra). Measurement uncertainty ≤ 0.05 µm Ra. Required for slot rim Ra ≤ 1.6 µm (RISK-20).</w:t>
            </w:r>
          </w:p>
        </w:tc>
        <w:tc>
          <w:tcPr>
            <w:tcW w:type="dxa" w:w="2448"/>
            <w:shd w:val="clear" w:color="auto" w:fill="F5F5F5"/>
            <w:shd w:val="clear" w:color="auto" w:fill="FFE7E7"/>
          </w:tcPr>
          <w:p>
            <w:r>
              <w:rPr>
                <w:color w:val="C00000"/>
                <w:sz w:val="16"/>
              </w:rPr>
              <w:t>Profilometer calibration certificate</w:t>
            </w:r>
          </w:p>
        </w:tc>
        <w:tc>
          <w:tcPr>
            <w:tcW w:type="dxa" w:w="1080"/>
            <w:shd w:val="clear" w:color="auto" w:fill="F5F5F5"/>
            <w:shd w:val="clear" w:color="auto" w:fill="FFE7E7"/>
          </w:tcPr>
          <w:p>
            <w:r>
              <w:rPr>
                <w:color w:val="C00000"/>
                <w:sz w:val="16"/>
              </w:rPr>
              <w:t>⛔ BLOCKING</w:t>
            </w:r>
          </w:p>
        </w:tc>
        <w:tc>
          <w:tcPr>
            <w:tcW w:type="dxa" w:w="1224"/>
            <w:shd w:val="clear" w:color="auto" w:fill="F5F5F5"/>
            <w:shd w:val="clear" w:color="auto" w:fill="FFE7E7"/>
          </w:tcPr>
          <w:p>
            <w:r>
              <w:rPr>
                <w:color w:val="C00000"/>
                <w:sz w:val="16"/>
              </w:rPr>
              <w:t>☐</w:t>
            </w:r>
          </w:p>
        </w:tc>
      </w:tr>
      <w:tr>
        <w:tc>
          <w:tcPr>
            <w:tcW w:type="dxa" w:w="1008"/>
            <w:shd w:val="clear" w:color="auto" w:fill="FFFFFF"/>
          </w:tcPr>
          <w:p>
            <w:r>
              <w:rPr>
                <w:b/>
                <w:sz w:val="16"/>
              </w:rPr>
              <w:t>SUP-M-03</w:t>
            </w:r>
          </w:p>
        </w:tc>
        <w:tc>
          <w:tcPr>
            <w:tcW w:type="dxa" w:w="4608"/>
            <w:shd w:val="clear" w:color="auto" w:fill="FFFFFF"/>
          </w:tcPr>
          <w:p>
            <w:r>
              <w:rPr>
                <w:sz w:val="16"/>
              </w:rPr>
              <w:t>Gage R&amp;R study on at least one representative feature before production approval (minimum 10 parts, 2 operators, 2 replicates). Gage R&amp;R ≤ 30% of tolerance.</w:t>
            </w:r>
          </w:p>
        </w:tc>
        <w:tc>
          <w:tcPr>
            <w:tcW w:type="dxa" w:w="2448"/>
            <w:shd w:val="clear" w:color="auto" w:fill="FFFFFF"/>
          </w:tcPr>
          <w:p>
            <w:r>
              <w:rPr>
                <w:sz w:val="16"/>
              </w:rPr>
              <w:t>Gage R&amp;R report</w:t>
            </w:r>
          </w:p>
        </w:tc>
        <w:tc>
          <w:tcPr>
            <w:tcW w:type="dxa" w:w="1080"/>
            <w:shd w:val="clear" w:color="auto" w:fill="FFFFFF"/>
          </w:tcPr>
          <w:p>
            <w:r>
              <w:rPr>
                <w:sz w:val="16"/>
              </w:rPr>
              <w:t>Required</w:t>
            </w:r>
          </w:p>
        </w:tc>
        <w:tc>
          <w:tcPr>
            <w:tcW w:type="dxa" w:w="1224"/>
            <w:shd w:val="clear" w:color="auto" w:fill="FFFFFF"/>
          </w:tcPr>
          <w:p>
            <w:r>
              <w:rPr>
                <w:sz w:val="16"/>
              </w:rPr>
              <w:t>☐</w:t>
            </w:r>
          </w:p>
        </w:tc>
      </w:tr>
      <w:tr>
        <w:tc>
          <w:tcPr>
            <w:tcW w:type="dxa" w:w="1008"/>
            <w:shd w:val="clear" w:color="auto" w:fill="F5F5F5"/>
          </w:tcPr>
          <w:p>
            <w:r>
              <w:rPr>
                <w:b/>
                <w:sz w:val="16"/>
              </w:rPr>
              <w:t>SUP-M-04</w:t>
            </w:r>
          </w:p>
        </w:tc>
        <w:tc>
          <w:tcPr>
            <w:tcW w:type="dxa" w:w="4608"/>
            <w:shd w:val="clear" w:color="auto" w:fill="F5F5F5"/>
          </w:tcPr>
          <w:p>
            <w:r>
              <w:rPr>
                <w:sz w:val="16"/>
              </w:rPr>
              <w:t>First Article Inspection (FAI) report capability: able to produce balloon-annotated drawing with measured values for every dimensioned feature on the NeuroPulse zone module drawing (estimated 35–50 dimensions).</w:t>
            </w:r>
          </w:p>
        </w:tc>
        <w:tc>
          <w:tcPr>
            <w:tcW w:type="dxa" w:w="2448"/>
            <w:shd w:val="clear" w:color="auto" w:fill="F5F5F5"/>
          </w:tcPr>
          <w:p>
            <w:r>
              <w:rPr>
                <w:sz w:val="16"/>
              </w:rPr>
              <w:t>Sample FAI report from prior project</w:t>
            </w:r>
          </w:p>
        </w:tc>
        <w:tc>
          <w:tcPr>
            <w:tcW w:type="dxa" w:w="1080"/>
            <w:shd w:val="clear" w:color="auto" w:fill="F5F5F5"/>
          </w:tcPr>
          <w:p>
            <w:r>
              <w:rPr>
                <w:sz w:val="16"/>
              </w:rPr>
              <w:t>Required</w:t>
            </w:r>
          </w:p>
        </w:tc>
        <w:tc>
          <w:tcPr>
            <w:tcW w:type="dxa" w:w="1224"/>
            <w:shd w:val="clear" w:color="auto" w:fill="F5F5F5"/>
          </w:tcPr>
          <w:p>
            <w:r>
              <w:rPr>
                <w:sz w:val="16"/>
              </w:rPr>
              <w:t>☐</w:t>
            </w:r>
          </w:p>
        </w:tc>
      </w:tr>
      <w:tr>
        <w:tc>
          <w:tcPr>
            <w:tcW w:type="dxa" w:w="1008"/>
            <w:shd w:val="clear" w:color="auto" w:fill="FFFFFF"/>
          </w:tcPr>
          <w:p>
            <w:r>
              <w:rPr>
                <w:b/>
                <w:sz w:val="16"/>
              </w:rPr>
              <w:t>SUP-M-05</w:t>
            </w:r>
          </w:p>
        </w:tc>
        <w:tc>
          <w:tcPr>
            <w:tcW w:type="dxa" w:w="4608"/>
            <w:shd w:val="clear" w:color="auto" w:fill="FFFFFF"/>
          </w:tcPr>
          <w:p>
            <w:r>
              <w:rPr>
                <w:sz w:val="16"/>
              </w:rPr>
              <w:t>In-process statistical process control (SPC) for critical dimensions: Cpk ≥ 1.33 target for all BLOCKING dimensions (gasket height, PD2 aperture, mechanical key geometry).</w:t>
            </w:r>
          </w:p>
        </w:tc>
        <w:tc>
          <w:tcPr>
            <w:tcW w:type="dxa" w:w="2448"/>
            <w:shd w:val="clear" w:color="auto" w:fill="FFFFFF"/>
          </w:tcPr>
          <w:p>
            <w:r>
              <w:rPr>
                <w:sz w:val="16"/>
              </w:rPr>
              <w:t>SPC procedure + sample control chart</w:t>
            </w:r>
          </w:p>
        </w:tc>
        <w:tc>
          <w:tcPr>
            <w:tcW w:type="dxa" w:w="1080"/>
            <w:shd w:val="clear" w:color="auto" w:fill="FFFFFF"/>
          </w:tcPr>
          <w:p>
            <w:r>
              <w:rPr>
                <w:sz w:val="16"/>
              </w:rPr>
              <w:t>Advisory</w:t>
            </w:r>
          </w:p>
        </w:tc>
        <w:tc>
          <w:tcPr>
            <w:tcW w:type="dxa" w:w="1224"/>
            <w:shd w:val="clear" w:color="auto" w:fill="FFFFFF"/>
          </w:tcPr>
          <w:p>
            <w:r>
              <w:rPr>
                <w:sz w:val="16"/>
              </w:rPr>
              <w:t>☐</w:t>
            </w:r>
          </w:p>
        </w:tc>
      </w:tr>
      <w:tr>
        <w:tc>
          <w:tcPr>
            <w:tcW w:type="dxa" w:w="1008"/>
            <w:shd w:val="clear" w:color="auto" w:fill="F5F5F5"/>
          </w:tcPr>
          <w:p>
            <w:r>
              <w:rPr>
                <w:b/>
                <w:sz w:val="16"/>
              </w:rPr>
              <w:t>SUP-M-06</w:t>
            </w:r>
          </w:p>
        </w:tc>
        <w:tc>
          <w:tcPr>
            <w:tcW w:type="dxa" w:w="4608"/>
            <w:shd w:val="clear" w:color="auto" w:fill="F5F5F5"/>
          </w:tcPr>
          <w:p>
            <w:r>
              <w:rPr>
                <w:sz w:val="16"/>
              </w:rPr>
              <w:t>Colour measurement capability (spectrophotometer, ΔE ≤ 1.0) for zone module colour coding verification (5 colours, bulk material). Required before each production lot approval.</w:t>
            </w:r>
          </w:p>
        </w:tc>
        <w:tc>
          <w:tcPr>
            <w:tcW w:type="dxa" w:w="2448"/>
            <w:shd w:val="clear" w:color="auto" w:fill="F5F5F5"/>
          </w:tcPr>
          <w:p>
            <w:r>
              <w:rPr>
                <w:sz w:val="16"/>
              </w:rPr>
              <w:t>Spectrophotometer calibration cert</w:t>
            </w:r>
          </w:p>
        </w:tc>
        <w:tc>
          <w:tcPr>
            <w:tcW w:type="dxa" w:w="1080"/>
            <w:shd w:val="clear" w:color="auto" w:fill="F5F5F5"/>
          </w:tcPr>
          <w:p>
            <w:r>
              <w:rPr>
                <w:sz w:val="16"/>
              </w:rPr>
              <w:t>Required</w:t>
            </w:r>
          </w:p>
        </w:tc>
        <w:tc>
          <w:tcPr>
            <w:tcW w:type="dxa" w:w="1224"/>
            <w:shd w:val="clear" w:color="auto" w:fill="F5F5F5"/>
          </w:tcPr>
          <w:p>
            <w:r>
              <w:rPr>
                <w:sz w:val="16"/>
              </w:rPr>
              <w:t>☐</w:t>
            </w:r>
          </w:p>
        </w:tc>
      </w:tr>
      <w:tr>
        <w:tc>
          <w:tcPr>
            <w:tcW w:type="dxa" w:w="1008"/>
            <w:shd w:val="clear" w:color="auto" w:fill="FFFFFF"/>
            <w:shd w:val="clear" w:color="auto" w:fill="FFE7E7"/>
          </w:tcPr>
          <w:p>
            <w:r>
              <w:rPr>
                <w:b/>
                <w:color w:val="C00000"/>
                <w:sz w:val="16"/>
              </w:rPr>
              <w:t>SUP-M-07</w:t>
              <w:br/>
              <w:t>⛔ RISK-20</w:t>
            </w:r>
          </w:p>
        </w:tc>
        <w:tc>
          <w:tcPr>
            <w:tcW w:type="dxa" w:w="4608"/>
            <w:shd w:val="clear" w:color="auto" w:fill="FFFFFF"/>
            <w:shd w:val="clear" w:color="auto" w:fill="FFE7E7"/>
          </w:tcPr>
          <w:p>
            <w:r>
              <w:rPr>
                <w:color w:val="C00000"/>
                <w:sz w:val="16"/>
              </w:rPr>
              <w:t>[BLOCKING — RISK-20] CFRP shell slot rim surface finish: supplier must provide written confirmation, with supporting measurement data, that moulded CFRP can achieve Ra ≤ 1.6 µm at the zone slot rim contact surface (gasket mating face) without secondary machining operations.</w:t>
              <w:br/>
              <w:br/>
              <w:t>Background: moulded CFRP typically achieves Ra 1.6–3.2 µm depending on fibre orientation, resin system, and tool surface finish. The Ra ≤ 1.6 µm requirement comes from the RISK-16 Option A self-sealing gasket: insufficient surface finish at the gasket seat results in leakage paths and IPX4 non-compliance. If the supplier cannot achieve Ra ≤ 1.6 µm by moulding alone, they must propose a secondary operation (e.g. resin flooding, tool polishing, or post-mould machining) with confirmed cost and lead time impact before tooling is approved.</w:t>
              <w:br/>
              <w:br/>
              <w:t>Confirmation format: written statement on supplier letterhead specifying: (1) measured Ra achieved at equivalent CFRP geometry, (2) tool surface finish used (Ra of tool steel), (3) resin system, (4) whether secondary operation is required and at what cost. Measurements must be from a coupon or prior part, not theoretical. Supplier signature required.</w:t>
              <w:br/>
              <w:br/>
              <w:t>If Ra &gt; 1.6 µm is confirmed unavoidable: escalate to ME + EE immediately; gasket geometry or shell slot design must be revised before mould release.</w:t>
            </w:r>
          </w:p>
        </w:tc>
        <w:tc>
          <w:tcPr>
            <w:tcW w:type="dxa" w:w="2448"/>
            <w:shd w:val="clear" w:color="auto" w:fill="FFFFFF"/>
            <w:shd w:val="clear" w:color="auto" w:fill="FFE7E7"/>
          </w:tcPr>
          <w:p>
            <w:r>
              <w:rPr>
                <w:color w:val="C00000"/>
                <w:sz w:val="16"/>
              </w:rPr>
              <w:t>Written confirmation on letterhead + Ra measurement data from representative CFRP coupon</w:t>
            </w:r>
          </w:p>
        </w:tc>
        <w:tc>
          <w:tcPr>
            <w:tcW w:type="dxa" w:w="1080"/>
            <w:shd w:val="clear" w:color="auto" w:fill="FFFFFF"/>
            <w:shd w:val="clear" w:color="auto" w:fill="FFE7E7"/>
          </w:tcPr>
          <w:p>
            <w:r>
              <w:rPr>
                <w:color w:val="C00000"/>
                <w:sz w:val="16"/>
              </w:rPr>
              <w:t>⛔ BLOCKING</w:t>
              <w:br/>
              <w:t>RISK-20</w:t>
            </w:r>
          </w:p>
        </w:tc>
        <w:tc>
          <w:tcPr>
            <w:tcW w:type="dxa" w:w="1224"/>
            <w:shd w:val="clear" w:color="auto" w:fill="FFFFFF"/>
            <w:shd w:val="clear" w:color="auto" w:fill="FFE7E7"/>
          </w:tcPr>
          <w:p>
            <w:r>
              <w:rPr>
                <w:color w:val="C00000"/>
                <w:sz w:val="16"/>
              </w:rPr>
              <w:t>☐</w:t>
            </w:r>
          </w:p>
        </w:tc>
      </w:tr>
      <w:tr>
        <w:tc>
          <w:tcPr>
            <w:tcW w:type="dxa" w:w="1008"/>
            <w:shd w:val="clear" w:color="auto" w:fill="F5F5F5"/>
          </w:tcPr>
          <w:p>
            <w:r>
              <w:rPr>
                <w:b/>
                <w:sz w:val="16"/>
              </w:rPr>
              <w:t>SUP-M-08</w:t>
            </w:r>
          </w:p>
        </w:tc>
        <w:tc>
          <w:tcPr>
            <w:tcW w:type="dxa" w:w="4608"/>
            <w:shd w:val="clear" w:color="auto" w:fill="F5F5F5"/>
          </w:tcPr>
          <w:p>
            <w:r>
              <w:rPr>
                <w:sz w:val="16"/>
              </w:rPr>
              <w:t>If secondary operation required for Ra ≤ 1.6 µm (per SUP-M-07): provide written process description, per-unit cost, lead time impact, and process control plan to ensure consistency across production lots.</w:t>
            </w:r>
          </w:p>
        </w:tc>
        <w:tc>
          <w:tcPr>
            <w:tcW w:type="dxa" w:w="2448"/>
            <w:shd w:val="clear" w:color="auto" w:fill="F5F5F5"/>
          </w:tcPr>
          <w:p>
            <w:r>
              <w:rPr>
                <w:sz w:val="16"/>
              </w:rPr>
              <w:t>Process description + cost/lead time quote</w:t>
            </w:r>
          </w:p>
        </w:tc>
        <w:tc>
          <w:tcPr>
            <w:tcW w:type="dxa" w:w="1080"/>
            <w:shd w:val="clear" w:color="auto" w:fill="F5F5F5"/>
          </w:tcPr>
          <w:p>
            <w:r>
              <w:rPr>
                <w:sz w:val="16"/>
              </w:rPr>
              <w:t>Conditional on SUP-M-07</w:t>
            </w:r>
          </w:p>
        </w:tc>
        <w:tc>
          <w:tcPr>
            <w:tcW w:type="dxa" w:w="1224"/>
            <w:shd w:val="clear" w:color="auto" w:fill="F5F5F5"/>
          </w:tcPr>
          <w:p>
            <w:r>
              <w:rPr>
                <w:sz w:val="16"/>
              </w:rPr>
              <w:t>☐</w:t>
            </w:r>
          </w:p>
        </w:tc>
      </w:tr>
    </w:tbl>
    <w:p/>
    <w:p>
      <w:r>
        <w:rPr>
          <w:b/>
          <w:color w:val="1F497D"/>
          <w:sz w:val="24"/>
        </w:rPr>
        <w:t>5.  INJECTION MOULDING + CO-MOULDING CAPABILITY  (CAT-A)</w:t>
      </w:r>
    </w:p>
    <w:p>
      <w:r>
        <w:rPr>
          <w:b w:val="0"/>
          <w:sz w:val="20"/>
        </w:rPr>
        <w:t>Required for zone module body supplier. The zone module body requires simultaneous co-moulding of Shore 40–50A silicone (gasket, feature F-05/F-06 in NP-TOOL-ZM-001) with a PC/ABS thermoplastic shell. Five distinct mould tools are required (one per zone position, unique mechanical key per zone).</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shd w:val="clear" w:color="auto" w:fill="1F497D"/>
          </w:tcPr>
          <w:p>
            <w:r>
              <w:rPr>
                <w:b/>
                <w:color w:val="FFFFFF"/>
                <w:sz w:val="16"/>
              </w:rPr>
              <w:t>Item</w:t>
            </w:r>
          </w:p>
        </w:tc>
        <w:tc>
          <w:tcPr>
            <w:tcW w:type="dxa" w:w="4608"/>
            <w:shd w:val="clear" w:color="auto" w:fill="1F497D"/>
          </w:tcPr>
          <w:p>
            <w:r>
              <w:rPr>
                <w:b/>
                <w:color w:val="FFFFFF"/>
                <w:sz w:val="16"/>
              </w:rPr>
              <w:t>Requirement</w:t>
            </w:r>
          </w:p>
        </w:tc>
        <w:tc>
          <w:tcPr>
            <w:tcW w:type="dxa" w:w="2448"/>
            <w:shd w:val="clear" w:color="auto" w:fill="1F497D"/>
          </w:tcPr>
          <w:p>
            <w:r>
              <w:rPr>
                <w:b/>
                <w:color w:val="FFFFFF"/>
                <w:sz w:val="16"/>
              </w:rPr>
              <w:t>Evidence Required</w:t>
            </w:r>
          </w:p>
        </w:tc>
        <w:tc>
          <w:tcPr>
            <w:tcW w:type="dxa" w:w="1080"/>
            <w:shd w:val="clear" w:color="auto" w:fill="1F497D"/>
          </w:tcPr>
          <w:p>
            <w:r>
              <w:rPr>
                <w:b/>
                <w:color w:val="FFFFFF"/>
                <w:sz w:val="16"/>
              </w:rPr>
              <w:t>Type</w:t>
            </w:r>
          </w:p>
        </w:tc>
        <w:tc>
          <w:tcPr>
            <w:tcW w:type="dxa" w:w="1224"/>
            <w:shd w:val="clear" w:color="auto" w:fill="1F497D"/>
          </w:tcPr>
          <w:p>
            <w:r>
              <w:rPr>
                <w:b/>
                <w:color w:val="FFFFFF"/>
                <w:sz w:val="16"/>
              </w:rPr>
              <w:t>Confirmed?</w:t>
            </w:r>
          </w:p>
        </w:tc>
      </w:tr>
      <w:tr>
        <w:tc>
          <w:tcPr>
            <w:tcW w:type="dxa" w:w="1008"/>
            <w:shd w:val="clear" w:color="auto" w:fill="FFFFFF"/>
            <w:shd w:val="clear" w:color="auto" w:fill="FFE7E7"/>
          </w:tcPr>
          <w:p>
            <w:r>
              <w:rPr>
                <w:b/>
                <w:color w:val="C00000"/>
                <w:sz w:val="16"/>
              </w:rPr>
              <w:t>SUP-A-01</w:t>
            </w:r>
          </w:p>
        </w:tc>
        <w:tc>
          <w:tcPr>
            <w:tcW w:type="dxa" w:w="4608"/>
            <w:shd w:val="clear" w:color="auto" w:fill="FFFFFF"/>
            <w:shd w:val="clear" w:color="auto" w:fill="FFE7E7"/>
          </w:tcPr>
          <w:p>
            <w:r>
              <w:rPr>
                <w:color w:val="C00000"/>
                <w:sz w:val="16"/>
              </w:rPr>
              <w:t>Two-shot or insert moulding capability for silicone co-moulding with thermoplastic. Silicone material: Shore 40–50A UV-stable medical-grade silicone (ISO 10993-5 certified). Must demonstrate adhesion without delamination after 1,000 insertion cycles.</w:t>
            </w:r>
          </w:p>
        </w:tc>
        <w:tc>
          <w:tcPr>
            <w:tcW w:type="dxa" w:w="2448"/>
            <w:shd w:val="clear" w:color="auto" w:fill="FFFFFF"/>
            <w:shd w:val="clear" w:color="auto" w:fill="FFE7E7"/>
          </w:tcPr>
          <w:p>
            <w:r>
              <w:rPr>
                <w:color w:val="C00000"/>
                <w:sz w:val="16"/>
              </w:rPr>
              <w:t>Process capability study or equivalent prior project samples</w:t>
            </w:r>
          </w:p>
        </w:tc>
        <w:tc>
          <w:tcPr>
            <w:tcW w:type="dxa" w:w="1080"/>
            <w:shd w:val="clear" w:color="auto" w:fill="FFFFFF"/>
            <w:shd w:val="clear" w:color="auto" w:fill="FFE7E7"/>
          </w:tcPr>
          <w:p>
            <w:r>
              <w:rPr>
                <w:color w:val="C00000"/>
                <w:sz w:val="16"/>
              </w:rPr>
              <w:t>⛔ BLOCKING</w:t>
            </w:r>
          </w:p>
        </w:tc>
        <w:tc>
          <w:tcPr>
            <w:tcW w:type="dxa" w:w="1224"/>
            <w:shd w:val="clear" w:color="auto" w:fill="FFFFFF"/>
            <w:shd w:val="clear" w:color="auto" w:fill="FFE7E7"/>
          </w:tcPr>
          <w:p>
            <w:r>
              <w:rPr>
                <w:color w:val="C00000"/>
                <w:sz w:val="16"/>
              </w:rPr>
              <w:t>☐</w:t>
            </w:r>
          </w:p>
        </w:tc>
      </w:tr>
      <w:tr>
        <w:tc>
          <w:tcPr>
            <w:tcW w:type="dxa" w:w="1008"/>
            <w:shd w:val="clear" w:color="auto" w:fill="F5F5F5"/>
            <w:shd w:val="clear" w:color="auto" w:fill="FFE7E7"/>
          </w:tcPr>
          <w:p>
            <w:r>
              <w:rPr>
                <w:b/>
                <w:color w:val="C00000"/>
                <w:sz w:val="16"/>
              </w:rPr>
              <w:t>SUP-A-02</w:t>
            </w:r>
          </w:p>
        </w:tc>
        <w:tc>
          <w:tcPr>
            <w:tcW w:type="dxa" w:w="4608"/>
            <w:shd w:val="clear" w:color="auto" w:fill="F5F5F5"/>
            <w:shd w:val="clear" w:color="auto" w:fill="FFE7E7"/>
          </w:tcPr>
          <w:p>
            <w:r>
              <w:rPr>
                <w:color w:val="C00000"/>
                <w:sz w:val="16"/>
              </w:rPr>
              <w:t>Silicone primer application capability: Dow Corning 1200 OS Primer or equivalent, applied to thermoplastic gasket retention groove before co-moulding. Primer must be qualified for the selected thermoplastic (PC/ABS). Confirm primer compatibility in writing.</w:t>
            </w:r>
          </w:p>
        </w:tc>
        <w:tc>
          <w:tcPr>
            <w:tcW w:type="dxa" w:w="2448"/>
            <w:shd w:val="clear" w:color="auto" w:fill="F5F5F5"/>
            <w:shd w:val="clear" w:color="auto" w:fill="FFE7E7"/>
          </w:tcPr>
          <w:p>
            <w:r>
              <w:rPr>
                <w:color w:val="C00000"/>
                <w:sz w:val="16"/>
              </w:rPr>
              <w:t>Primer qualification data / supplier letter</w:t>
            </w:r>
          </w:p>
        </w:tc>
        <w:tc>
          <w:tcPr>
            <w:tcW w:type="dxa" w:w="1080"/>
            <w:shd w:val="clear" w:color="auto" w:fill="F5F5F5"/>
            <w:shd w:val="clear" w:color="auto" w:fill="FFE7E7"/>
          </w:tcPr>
          <w:p>
            <w:r>
              <w:rPr>
                <w:color w:val="C00000"/>
                <w:sz w:val="16"/>
              </w:rPr>
              <w:t>⛔ BLOCKING</w:t>
            </w:r>
          </w:p>
        </w:tc>
        <w:tc>
          <w:tcPr>
            <w:tcW w:type="dxa" w:w="1224"/>
            <w:shd w:val="clear" w:color="auto" w:fill="F5F5F5"/>
            <w:shd w:val="clear" w:color="auto" w:fill="FFE7E7"/>
          </w:tcPr>
          <w:p>
            <w:r>
              <w:rPr>
                <w:color w:val="C00000"/>
                <w:sz w:val="16"/>
              </w:rPr>
              <w:t>☐</w:t>
            </w:r>
          </w:p>
        </w:tc>
      </w:tr>
      <w:tr>
        <w:tc>
          <w:tcPr>
            <w:tcW w:type="dxa" w:w="1008"/>
            <w:shd w:val="clear" w:color="auto" w:fill="FFFFFF"/>
          </w:tcPr>
          <w:p>
            <w:r>
              <w:rPr>
                <w:b/>
                <w:sz w:val="16"/>
              </w:rPr>
              <w:t>SUP-A-03</w:t>
            </w:r>
          </w:p>
        </w:tc>
        <w:tc>
          <w:tcPr>
            <w:tcW w:type="dxa" w:w="4608"/>
            <w:shd w:val="clear" w:color="auto" w:fill="FFFFFF"/>
          </w:tcPr>
          <w:p>
            <w:r>
              <w:rPr>
                <w:sz w:val="16"/>
              </w:rPr>
              <w:t>Mould tool for small features: capable of producing braille dot diameter 1.5 mm ± 0.1 mm, height 0.48 mm ± 0.05 mm, and inter-dot spacing 2.3 mm. EDM or high-precision milling required for braille cavity.</w:t>
            </w:r>
          </w:p>
        </w:tc>
        <w:tc>
          <w:tcPr>
            <w:tcW w:type="dxa" w:w="2448"/>
            <w:shd w:val="clear" w:color="auto" w:fill="FFFFFF"/>
          </w:tcPr>
          <w:p>
            <w:r>
              <w:rPr>
                <w:sz w:val="16"/>
              </w:rPr>
              <w:t>Sample braille moulded part + measurements</w:t>
            </w:r>
          </w:p>
        </w:tc>
        <w:tc>
          <w:tcPr>
            <w:tcW w:type="dxa" w:w="1080"/>
            <w:shd w:val="clear" w:color="auto" w:fill="FFFFFF"/>
          </w:tcPr>
          <w:p>
            <w:r>
              <w:rPr>
                <w:sz w:val="16"/>
              </w:rPr>
              <w:t>Required</w:t>
            </w:r>
          </w:p>
        </w:tc>
        <w:tc>
          <w:tcPr>
            <w:tcW w:type="dxa" w:w="1224"/>
            <w:shd w:val="clear" w:color="auto" w:fill="FFFFFF"/>
          </w:tcPr>
          <w:p>
            <w:r>
              <w:rPr>
                <w:sz w:val="16"/>
              </w:rPr>
              <w:t>☐</w:t>
            </w:r>
          </w:p>
        </w:tc>
      </w:tr>
      <w:tr>
        <w:tc>
          <w:tcPr>
            <w:tcW w:type="dxa" w:w="1008"/>
            <w:shd w:val="clear" w:color="auto" w:fill="F5F5F5"/>
          </w:tcPr>
          <w:p>
            <w:r>
              <w:rPr>
                <w:b/>
                <w:sz w:val="16"/>
              </w:rPr>
              <w:t>SUP-A-04</w:t>
            </w:r>
          </w:p>
        </w:tc>
        <w:tc>
          <w:tcPr>
            <w:tcW w:type="dxa" w:w="4608"/>
            <w:shd w:val="clear" w:color="auto" w:fill="F5F5F5"/>
          </w:tcPr>
          <w:p>
            <w:r>
              <w:rPr>
                <w:sz w:val="16"/>
              </w:rPr>
              <w:t>Five unique mould tools (one per zone position, unique mechanical key geometry). Willing to manufacture all 5 with shared runner/gate design where possible to reduce per-part cost at volume.</w:t>
            </w:r>
          </w:p>
        </w:tc>
        <w:tc>
          <w:tcPr>
            <w:tcW w:type="dxa" w:w="2448"/>
            <w:shd w:val="clear" w:color="auto" w:fill="F5F5F5"/>
          </w:tcPr>
          <w:p>
            <w:r>
              <w:rPr>
                <w:sz w:val="16"/>
              </w:rPr>
              <w:t>Tooling quote per zone variant</w:t>
            </w:r>
          </w:p>
        </w:tc>
        <w:tc>
          <w:tcPr>
            <w:tcW w:type="dxa" w:w="1080"/>
            <w:shd w:val="clear" w:color="auto" w:fill="F5F5F5"/>
          </w:tcPr>
          <w:p>
            <w:r>
              <w:rPr>
                <w:sz w:val="16"/>
              </w:rPr>
              <w:t>Required</w:t>
            </w:r>
          </w:p>
        </w:tc>
        <w:tc>
          <w:tcPr>
            <w:tcW w:type="dxa" w:w="1224"/>
            <w:shd w:val="clear" w:color="auto" w:fill="F5F5F5"/>
          </w:tcPr>
          <w:p>
            <w:r>
              <w:rPr>
                <w:sz w:val="16"/>
              </w:rPr>
              <w:t>☐</w:t>
            </w:r>
          </w:p>
        </w:tc>
      </w:tr>
      <w:tr>
        <w:tc>
          <w:tcPr>
            <w:tcW w:type="dxa" w:w="1008"/>
            <w:shd w:val="clear" w:color="auto" w:fill="FFFFFF"/>
          </w:tcPr>
          <w:p>
            <w:r>
              <w:rPr>
                <w:b/>
                <w:sz w:val="16"/>
              </w:rPr>
              <w:t>SUP-A-05</w:t>
            </w:r>
          </w:p>
        </w:tc>
        <w:tc>
          <w:tcPr>
            <w:tcW w:type="dxa" w:w="4608"/>
            <w:shd w:val="clear" w:color="auto" w:fill="FFFFFF"/>
          </w:tcPr>
          <w:p>
            <w:r>
              <w:rPr>
                <w:sz w:val="16"/>
              </w:rPr>
              <w:t>Bulk colour moulding in 5 colours (Blue/Red/Green/Yellow/Purple for ZM-01–05). Colour in material — not surface paint. Colour-fast under IPA wipe (1,000 cycles) and UV exposure (500 hours QUV-A).</w:t>
            </w:r>
          </w:p>
        </w:tc>
        <w:tc>
          <w:tcPr>
            <w:tcW w:type="dxa" w:w="2448"/>
            <w:shd w:val="clear" w:color="auto" w:fill="FFFFFF"/>
          </w:tcPr>
          <w:p>
            <w:r>
              <w:rPr>
                <w:sz w:val="16"/>
              </w:rPr>
              <w:t>Material colour specification + QUV data or commitment</w:t>
            </w:r>
          </w:p>
        </w:tc>
        <w:tc>
          <w:tcPr>
            <w:tcW w:type="dxa" w:w="1080"/>
            <w:shd w:val="clear" w:color="auto" w:fill="FFFFFF"/>
          </w:tcPr>
          <w:p>
            <w:r>
              <w:rPr>
                <w:sz w:val="16"/>
              </w:rPr>
              <w:t>Required</w:t>
            </w:r>
          </w:p>
        </w:tc>
        <w:tc>
          <w:tcPr>
            <w:tcW w:type="dxa" w:w="1224"/>
            <w:shd w:val="clear" w:color="auto" w:fill="FFFFFF"/>
          </w:tcPr>
          <w:p>
            <w:r>
              <w:rPr>
                <w:sz w:val="16"/>
              </w:rPr>
              <w:t>☐</w:t>
            </w:r>
          </w:p>
        </w:tc>
      </w:tr>
      <w:tr>
        <w:tc>
          <w:tcPr>
            <w:tcW w:type="dxa" w:w="1008"/>
            <w:shd w:val="clear" w:color="auto" w:fill="F5F5F5"/>
          </w:tcPr>
          <w:p>
            <w:r>
              <w:rPr>
                <w:b/>
                <w:sz w:val="16"/>
              </w:rPr>
              <w:t>SUP-A-06</w:t>
            </w:r>
          </w:p>
        </w:tc>
        <w:tc>
          <w:tcPr>
            <w:tcW w:type="dxa" w:w="4608"/>
            <w:shd w:val="clear" w:color="auto" w:fill="F5F5F5"/>
          </w:tcPr>
          <w:p>
            <w:r>
              <w:rPr>
                <w:sz w:val="16"/>
              </w:rPr>
              <w:t>Moulded-in pull tab geometry (F-08): 8 × 5 mm raised tongue, 2 mm height, knurl texture Ra 1.6 µm on grip surface. Confirm draft angle feasibility.</w:t>
            </w:r>
          </w:p>
        </w:tc>
        <w:tc>
          <w:tcPr>
            <w:tcW w:type="dxa" w:w="2448"/>
            <w:shd w:val="clear" w:color="auto" w:fill="F5F5F5"/>
          </w:tcPr>
          <w:p>
            <w:r>
              <w:rPr>
                <w:sz w:val="16"/>
              </w:rPr>
              <w:t>DFM review comment on pull tab</w:t>
            </w:r>
          </w:p>
        </w:tc>
        <w:tc>
          <w:tcPr>
            <w:tcW w:type="dxa" w:w="1080"/>
            <w:shd w:val="clear" w:color="auto" w:fill="F5F5F5"/>
          </w:tcPr>
          <w:p>
            <w:r>
              <w:rPr>
                <w:sz w:val="16"/>
              </w:rPr>
              <w:t>Required</w:t>
            </w:r>
          </w:p>
        </w:tc>
        <w:tc>
          <w:tcPr>
            <w:tcW w:type="dxa" w:w="1224"/>
            <w:shd w:val="clear" w:color="auto" w:fill="F5F5F5"/>
          </w:tcPr>
          <w:p>
            <w:r>
              <w:rPr>
                <w:sz w:val="16"/>
              </w:rPr>
              <w:t>☐</w:t>
            </w:r>
          </w:p>
        </w:tc>
      </w:tr>
      <w:tr>
        <w:tc>
          <w:tcPr>
            <w:tcW w:type="dxa" w:w="1008"/>
            <w:shd w:val="clear" w:color="auto" w:fill="FFFFFF"/>
          </w:tcPr>
          <w:p>
            <w:r>
              <w:rPr>
                <w:b/>
                <w:sz w:val="16"/>
              </w:rPr>
              <w:t>SUP-A-07</w:t>
            </w:r>
          </w:p>
        </w:tc>
        <w:tc>
          <w:tcPr>
            <w:tcW w:type="dxa" w:w="4608"/>
            <w:shd w:val="clear" w:color="auto" w:fill="FFFFFF"/>
          </w:tcPr>
          <w:p>
            <w:r>
              <w:rPr>
                <w:sz w:val="16"/>
              </w:rPr>
              <w:t>Gasket compression set validation capability: 70h at 70°C per ASTM D395. Accept criterion: compression set ≤ 20%. Must be performed on co-moulded gasket (not free silicone strip) for first-article qualification.</w:t>
            </w:r>
          </w:p>
        </w:tc>
        <w:tc>
          <w:tcPr>
            <w:tcW w:type="dxa" w:w="2448"/>
            <w:shd w:val="clear" w:color="auto" w:fill="FFFFFF"/>
          </w:tcPr>
          <w:p>
            <w:r>
              <w:rPr>
                <w:sz w:val="16"/>
              </w:rPr>
              <w:t>Test capability confirmation or outsource plan</w:t>
            </w:r>
          </w:p>
        </w:tc>
        <w:tc>
          <w:tcPr>
            <w:tcW w:type="dxa" w:w="1080"/>
            <w:shd w:val="clear" w:color="auto" w:fill="FFFFFF"/>
          </w:tcPr>
          <w:p>
            <w:r>
              <w:rPr>
                <w:sz w:val="16"/>
              </w:rPr>
              <w:t>Advisory</w:t>
            </w:r>
          </w:p>
        </w:tc>
        <w:tc>
          <w:tcPr>
            <w:tcW w:type="dxa" w:w="1224"/>
            <w:shd w:val="clear" w:color="auto" w:fill="FFFFFF"/>
          </w:tcPr>
          <w:p>
            <w:r>
              <w:rPr>
                <w:sz w:val="16"/>
              </w:rPr>
              <w:t>☐</w:t>
            </w:r>
          </w:p>
        </w:tc>
      </w:tr>
      <w:tr>
        <w:tc>
          <w:tcPr>
            <w:tcW w:type="dxa" w:w="1008"/>
            <w:shd w:val="clear" w:color="auto" w:fill="F5F5F5"/>
          </w:tcPr>
          <w:p>
            <w:r>
              <w:rPr>
                <w:b/>
                <w:sz w:val="16"/>
              </w:rPr>
              <w:t>SUP-A-08</w:t>
            </w:r>
          </w:p>
        </w:tc>
        <w:tc>
          <w:tcPr>
            <w:tcW w:type="dxa" w:w="4608"/>
            <w:shd w:val="clear" w:color="auto" w:fill="F5F5F5"/>
          </w:tcPr>
          <w:p>
            <w:r>
              <w:rPr>
                <w:sz w:val="16"/>
              </w:rPr>
              <w:t>DFM review turnaround: provide formal DFM comments within 10 business days of receiving drawings. DFM must address all 8 features in NP-TOOL-ZM-001 §2.</w:t>
            </w:r>
          </w:p>
        </w:tc>
        <w:tc>
          <w:tcPr>
            <w:tcW w:type="dxa" w:w="2448"/>
            <w:shd w:val="clear" w:color="auto" w:fill="F5F5F5"/>
          </w:tcPr>
          <w:p>
            <w:r>
              <w:rPr>
                <w:sz w:val="16"/>
              </w:rPr>
              <w:t>Commitment letter</w:t>
            </w:r>
          </w:p>
        </w:tc>
        <w:tc>
          <w:tcPr>
            <w:tcW w:type="dxa" w:w="1080"/>
            <w:shd w:val="clear" w:color="auto" w:fill="F5F5F5"/>
          </w:tcPr>
          <w:p>
            <w:r>
              <w:rPr>
                <w:sz w:val="16"/>
              </w:rPr>
              <w:t>Required</w:t>
            </w:r>
          </w:p>
        </w:tc>
        <w:tc>
          <w:tcPr>
            <w:tcW w:type="dxa" w:w="1224"/>
            <w:shd w:val="clear" w:color="auto" w:fill="F5F5F5"/>
          </w:tcPr>
          <w:p>
            <w:r>
              <w:rPr>
                <w:sz w:val="16"/>
              </w:rPr>
              <w:t>☐</w:t>
            </w:r>
          </w:p>
        </w:tc>
      </w:tr>
    </w:tbl>
    <w:p/>
    <w:p>
      <w:r>
        <w:rPr>
          <w:b/>
          <w:color w:val="1F497D"/>
          <w:sz w:val="24"/>
        </w:rPr>
        <w:t>6.  CFRP SHELL FABRICATION  (CAT-B)</w:t>
      </w:r>
    </w:p>
    <w:p>
      <w:r>
        <w:rPr>
          <w:b w:val="0"/>
          <w:sz w:val="20"/>
        </w:rPr>
        <w:t>Required for headset shell supplier. The CFRP shell integrates zone module slot geometry, FPC routing channels, mu-metal liner bonding, and the gasket mating surface at each slot rim. Surface finish at the slot rim is the primary RISK-20 qualification criterion (see SUP-M-07 in §4 — BLOCKING).</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shd w:val="clear" w:color="auto" w:fill="1F497D"/>
          </w:tcPr>
          <w:p>
            <w:r>
              <w:rPr>
                <w:b/>
                <w:color w:val="FFFFFF"/>
                <w:sz w:val="16"/>
              </w:rPr>
              <w:t>Item</w:t>
            </w:r>
          </w:p>
        </w:tc>
        <w:tc>
          <w:tcPr>
            <w:tcW w:type="dxa" w:w="4608"/>
            <w:shd w:val="clear" w:color="auto" w:fill="1F497D"/>
          </w:tcPr>
          <w:p>
            <w:r>
              <w:rPr>
                <w:b/>
                <w:color w:val="FFFFFF"/>
                <w:sz w:val="16"/>
              </w:rPr>
              <w:t>Requirement</w:t>
            </w:r>
          </w:p>
        </w:tc>
        <w:tc>
          <w:tcPr>
            <w:tcW w:type="dxa" w:w="2448"/>
            <w:shd w:val="clear" w:color="auto" w:fill="1F497D"/>
          </w:tcPr>
          <w:p>
            <w:r>
              <w:rPr>
                <w:b/>
                <w:color w:val="FFFFFF"/>
                <w:sz w:val="16"/>
              </w:rPr>
              <w:t>Evidence Required</w:t>
            </w:r>
          </w:p>
        </w:tc>
        <w:tc>
          <w:tcPr>
            <w:tcW w:type="dxa" w:w="1080"/>
            <w:shd w:val="clear" w:color="auto" w:fill="1F497D"/>
          </w:tcPr>
          <w:p>
            <w:r>
              <w:rPr>
                <w:b/>
                <w:color w:val="FFFFFF"/>
                <w:sz w:val="16"/>
              </w:rPr>
              <w:t>Type</w:t>
            </w:r>
          </w:p>
        </w:tc>
        <w:tc>
          <w:tcPr>
            <w:tcW w:type="dxa" w:w="1224"/>
            <w:shd w:val="clear" w:color="auto" w:fill="1F497D"/>
          </w:tcPr>
          <w:p>
            <w:r>
              <w:rPr>
                <w:b/>
                <w:color w:val="FFFFFF"/>
                <w:sz w:val="16"/>
              </w:rPr>
              <w:t>Confirmed?</w:t>
            </w:r>
          </w:p>
        </w:tc>
      </w:tr>
      <w:tr>
        <w:tc>
          <w:tcPr>
            <w:tcW w:type="dxa" w:w="1008"/>
            <w:shd w:val="clear" w:color="auto" w:fill="FFFFFF"/>
            <w:shd w:val="clear" w:color="auto" w:fill="FFE7E7"/>
          </w:tcPr>
          <w:p>
            <w:r>
              <w:rPr>
                <w:b/>
                <w:color w:val="C00000"/>
                <w:sz w:val="16"/>
              </w:rPr>
              <w:t>SUP-B-01</w:t>
            </w:r>
          </w:p>
        </w:tc>
        <w:tc>
          <w:tcPr>
            <w:tcW w:type="dxa" w:w="4608"/>
            <w:shd w:val="clear" w:color="auto" w:fill="FFFFFF"/>
            <w:shd w:val="clear" w:color="auto" w:fill="FFE7E7"/>
          </w:tcPr>
          <w:p>
            <w:r>
              <w:rPr>
                <w:color w:val="C00000"/>
                <w:sz w:val="16"/>
              </w:rPr>
              <w:t>[BLOCKING — RISK-20 primary item] Written confirmation of achievable Ra at CFRP slot rim: see SUP-M-07 in §4 for full requirement. Restated here for emphasis. No CFRP shell supplier is approved without SUP-M-07 written confirmation.</w:t>
            </w:r>
          </w:p>
        </w:tc>
        <w:tc>
          <w:tcPr>
            <w:tcW w:type="dxa" w:w="2448"/>
            <w:shd w:val="clear" w:color="auto" w:fill="FFFFFF"/>
            <w:shd w:val="clear" w:color="auto" w:fill="FFE7E7"/>
          </w:tcPr>
          <w:p>
            <w:r>
              <w:rPr>
                <w:color w:val="C00000"/>
                <w:sz w:val="16"/>
              </w:rPr>
              <w:t>See SUP-M-07 — letter + Ra data</w:t>
            </w:r>
          </w:p>
        </w:tc>
        <w:tc>
          <w:tcPr>
            <w:tcW w:type="dxa" w:w="1080"/>
            <w:shd w:val="clear" w:color="auto" w:fill="FFFFFF"/>
            <w:shd w:val="clear" w:color="auto" w:fill="FFE7E7"/>
          </w:tcPr>
          <w:p>
            <w:r>
              <w:rPr>
                <w:color w:val="C00000"/>
                <w:sz w:val="16"/>
              </w:rPr>
              <w:t>⛔ BLOCKING</w:t>
              <w:br/>
              <w:t>RISK-20</w:t>
            </w:r>
          </w:p>
        </w:tc>
        <w:tc>
          <w:tcPr>
            <w:tcW w:type="dxa" w:w="1224"/>
            <w:shd w:val="clear" w:color="auto" w:fill="FFFFFF"/>
            <w:shd w:val="clear" w:color="auto" w:fill="FFE7E7"/>
          </w:tcPr>
          <w:p>
            <w:r>
              <w:rPr>
                <w:color w:val="C00000"/>
                <w:sz w:val="16"/>
              </w:rPr>
              <w:t>☐</w:t>
            </w:r>
          </w:p>
        </w:tc>
      </w:tr>
      <w:tr>
        <w:tc>
          <w:tcPr>
            <w:tcW w:type="dxa" w:w="1008"/>
            <w:shd w:val="clear" w:color="auto" w:fill="F5F5F5"/>
          </w:tcPr>
          <w:p>
            <w:r>
              <w:rPr>
                <w:b/>
                <w:sz w:val="16"/>
              </w:rPr>
              <w:t>SUP-B-02</w:t>
            </w:r>
          </w:p>
        </w:tc>
        <w:tc>
          <w:tcPr>
            <w:tcW w:type="dxa" w:w="4608"/>
            <w:shd w:val="clear" w:color="auto" w:fill="F5F5F5"/>
          </w:tcPr>
          <w:p>
            <w:r>
              <w:rPr>
                <w:sz w:val="16"/>
              </w:rPr>
              <w:t>CFRP tooling experience: minimum 3 prior production programmes with moulded CFRP enclosures, internal channel features, and dimensional tolerances ≤ ±0.2 mm. Provide representative samples or part numbers (under NDA if required).</w:t>
            </w:r>
          </w:p>
        </w:tc>
        <w:tc>
          <w:tcPr>
            <w:tcW w:type="dxa" w:w="2448"/>
            <w:shd w:val="clear" w:color="auto" w:fill="F5F5F5"/>
          </w:tcPr>
          <w:p>
            <w:r>
              <w:rPr>
                <w:sz w:val="16"/>
              </w:rPr>
              <w:t>Programme references + samples</w:t>
            </w:r>
          </w:p>
        </w:tc>
        <w:tc>
          <w:tcPr>
            <w:tcW w:type="dxa" w:w="1080"/>
            <w:shd w:val="clear" w:color="auto" w:fill="F5F5F5"/>
          </w:tcPr>
          <w:p>
            <w:r>
              <w:rPr>
                <w:sz w:val="16"/>
              </w:rPr>
              <w:t>Required</w:t>
            </w:r>
          </w:p>
        </w:tc>
        <w:tc>
          <w:tcPr>
            <w:tcW w:type="dxa" w:w="1224"/>
            <w:shd w:val="clear" w:color="auto" w:fill="F5F5F5"/>
          </w:tcPr>
          <w:p>
            <w:r>
              <w:rPr>
                <w:sz w:val="16"/>
              </w:rPr>
              <w:t>☐</w:t>
            </w:r>
          </w:p>
        </w:tc>
      </w:tr>
      <w:tr>
        <w:tc>
          <w:tcPr>
            <w:tcW w:type="dxa" w:w="1008"/>
            <w:shd w:val="clear" w:color="auto" w:fill="FFFFFF"/>
          </w:tcPr>
          <w:p>
            <w:r>
              <w:rPr>
                <w:b/>
                <w:sz w:val="16"/>
              </w:rPr>
              <w:t>SUP-B-03</w:t>
            </w:r>
          </w:p>
        </w:tc>
        <w:tc>
          <w:tcPr>
            <w:tcW w:type="dxa" w:w="4608"/>
            <w:shd w:val="clear" w:color="auto" w:fill="FFFFFF"/>
          </w:tcPr>
          <w:p>
            <w:r>
              <w:rPr>
                <w:sz w:val="16"/>
              </w:rPr>
              <w:t>Mu-metal liner bonding: confirmed process for bonding 0.2 mm mu-metal liner to inner CFRP surface with PETG laminate encapsulation and silicone RTV sealant at all cutout edges. No adhesive gap &gt; 0.1 mm. Liner continuity verified by conductivity test after bonding.</w:t>
            </w:r>
          </w:p>
        </w:tc>
        <w:tc>
          <w:tcPr>
            <w:tcW w:type="dxa" w:w="2448"/>
            <w:shd w:val="clear" w:color="auto" w:fill="FFFFFF"/>
          </w:tcPr>
          <w:p>
            <w:r>
              <w:rPr>
                <w:sz w:val="16"/>
              </w:rPr>
              <w:t>Process description + conductivity test method</w:t>
            </w:r>
          </w:p>
        </w:tc>
        <w:tc>
          <w:tcPr>
            <w:tcW w:type="dxa" w:w="1080"/>
            <w:shd w:val="clear" w:color="auto" w:fill="FFFFFF"/>
          </w:tcPr>
          <w:p>
            <w:r>
              <w:rPr>
                <w:sz w:val="16"/>
              </w:rPr>
              <w:t>Required</w:t>
            </w:r>
          </w:p>
        </w:tc>
        <w:tc>
          <w:tcPr>
            <w:tcW w:type="dxa" w:w="1224"/>
            <w:shd w:val="clear" w:color="auto" w:fill="FFFFFF"/>
          </w:tcPr>
          <w:p>
            <w:r>
              <w:rPr>
                <w:sz w:val="16"/>
              </w:rPr>
              <w:t>☐</w:t>
            </w:r>
          </w:p>
        </w:tc>
      </w:tr>
      <w:tr>
        <w:tc>
          <w:tcPr>
            <w:tcW w:type="dxa" w:w="1008"/>
            <w:shd w:val="clear" w:color="auto" w:fill="F5F5F5"/>
          </w:tcPr>
          <w:p>
            <w:r>
              <w:rPr>
                <w:b/>
                <w:sz w:val="16"/>
              </w:rPr>
              <w:t>SUP-B-04</w:t>
            </w:r>
          </w:p>
        </w:tc>
        <w:tc>
          <w:tcPr>
            <w:tcW w:type="dxa" w:w="4608"/>
            <w:shd w:val="clear" w:color="auto" w:fill="F5F5F5"/>
          </w:tcPr>
          <w:p>
            <w:r>
              <w:rPr>
                <w:sz w:val="16"/>
              </w:rPr>
              <w:t>FPC routing channel geometry: internal channels 12 mm wide × 3 mm deep, corner radii ≥ 5 mm, surface finish Ra ≤ 3.2 µm (less critical than slot rim). Three retention clip snap features per channel.</w:t>
            </w:r>
          </w:p>
        </w:tc>
        <w:tc>
          <w:tcPr>
            <w:tcW w:type="dxa" w:w="2448"/>
            <w:shd w:val="clear" w:color="auto" w:fill="F5F5F5"/>
          </w:tcPr>
          <w:p>
            <w:r>
              <w:rPr>
                <w:sz w:val="16"/>
              </w:rPr>
              <w:t>DFM review on channel geometry</w:t>
            </w:r>
          </w:p>
        </w:tc>
        <w:tc>
          <w:tcPr>
            <w:tcW w:type="dxa" w:w="1080"/>
            <w:shd w:val="clear" w:color="auto" w:fill="F5F5F5"/>
          </w:tcPr>
          <w:p>
            <w:r>
              <w:rPr>
                <w:sz w:val="16"/>
              </w:rPr>
              <w:t>Required</w:t>
            </w:r>
          </w:p>
        </w:tc>
        <w:tc>
          <w:tcPr>
            <w:tcW w:type="dxa" w:w="1224"/>
            <w:shd w:val="clear" w:color="auto" w:fill="F5F5F5"/>
          </w:tcPr>
          <w:p>
            <w:r>
              <w:rPr>
                <w:sz w:val="16"/>
              </w:rPr>
              <w:t>☐</w:t>
            </w:r>
          </w:p>
        </w:tc>
      </w:tr>
      <w:tr>
        <w:tc>
          <w:tcPr>
            <w:tcW w:type="dxa" w:w="1008"/>
            <w:shd w:val="clear" w:color="auto" w:fill="FFFFFF"/>
          </w:tcPr>
          <w:p>
            <w:r>
              <w:rPr>
                <w:b/>
                <w:sz w:val="16"/>
              </w:rPr>
              <w:t>SUP-B-05</w:t>
            </w:r>
          </w:p>
        </w:tc>
        <w:tc>
          <w:tcPr>
            <w:tcW w:type="dxa" w:w="4608"/>
            <w:shd w:val="clear" w:color="auto" w:fill="FFFFFF"/>
          </w:tcPr>
          <w:p>
            <w:r>
              <w:rPr>
                <w:sz w:val="16"/>
              </w:rPr>
              <w:t>EEG cable routing channel (NP-DRV-SHELL-001 §2.4): separate 8 mm × 5 mm channel on outer CFRP inner surface, opposite side from FPC channels. Confirm no interference between the two channel systems in shell wall thickness.</w:t>
            </w:r>
          </w:p>
        </w:tc>
        <w:tc>
          <w:tcPr>
            <w:tcW w:type="dxa" w:w="2448"/>
            <w:shd w:val="clear" w:color="auto" w:fill="FFFFFF"/>
          </w:tcPr>
          <w:p>
            <w:r>
              <w:rPr>
                <w:sz w:val="16"/>
              </w:rPr>
              <w:t>CAD section analysis confirming wall thickness ≥ 2 mm</w:t>
            </w:r>
          </w:p>
        </w:tc>
        <w:tc>
          <w:tcPr>
            <w:tcW w:type="dxa" w:w="1080"/>
            <w:shd w:val="clear" w:color="auto" w:fill="FFFFFF"/>
          </w:tcPr>
          <w:p>
            <w:r>
              <w:rPr>
                <w:sz w:val="16"/>
              </w:rPr>
              <w:t>Required</w:t>
            </w:r>
          </w:p>
        </w:tc>
        <w:tc>
          <w:tcPr>
            <w:tcW w:type="dxa" w:w="1224"/>
            <w:shd w:val="clear" w:color="auto" w:fill="FFFFFF"/>
          </w:tcPr>
          <w:p>
            <w:r>
              <w:rPr>
                <w:sz w:val="16"/>
              </w:rPr>
              <w:t>☐</w:t>
            </w:r>
          </w:p>
        </w:tc>
      </w:tr>
      <w:tr>
        <w:tc>
          <w:tcPr>
            <w:tcW w:type="dxa" w:w="1008"/>
            <w:shd w:val="clear" w:color="auto" w:fill="F5F5F5"/>
          </w:tcPr>
          <w:p>
            <w:r>
              <w:rPr>
                <w:b/>
                <w:sz w:val="16"/>
              </w:rPr>
              <w:t>SUP-B-06</w:t>
            </w:r>
          </w:p>
        </w:tc>
        <w:tc>
          <w:tcPr>
            <w:tcW w:type="dxa" w:w="4608"/>
            <w:shd w:val="clear" w:color="auto" w:fill="F5F5F5"/>
          </w:tcPr>
          <w:p>
            <w:r>
              <w:rPr>
                <w:sz w:val="16"/>
              </w:rPr>
              <w:t>EMF shielding fabric bonding: palladium-coated polyester inner liner, adhesive-bonded to CFRP inner surface after mu-metal. No wrinkles or gaps &gt; 2 mm. Attenuation verification method (4-point probe resistance after bonding).</w:t>
            </w:r>
          </w:p>
        </w:tc>
        <w:tc>
          <w:tcPr>
            <w:tcW w:type="dxa" w:w="2448"/>
            <w:shd w:val="clear" w:color="auto" w:fill="F5F5F5"/>
          </w:tcPr>
          <w:p>
            <w:r>
              <w:rPr>
                <w:sz w:val="16"/>
              </w:rPr>
              <w:t>Process description</w:t>
            </w:r>
          </w:p>
        </w:tc>
        <w:tc>
          <w:tcPr>
            <w:tcW w:type="dxa" w:w="1080"/>
            <w:shd w:val="clear" w:color="auto" w:fill="F5F5F5"/>
          </w:tcPr>
          <w:p>
            <w:r>
              <w:rPr>
                <w:sz w:val="16"/>
              </w:rPr>
              <w:t>Required</w:t>
            </w:r>
          </w:p>
        </w:tc>
        <w:tc>
          <w:tcPr>
            <w:tcW w:type="dxa" w:w="1224"/>
            <w:shd w:val="clear" w:color="auto" w:fill="F5F5F5"/>
          </w:tcPr>
          <w:p>
            <w:r>
              <w:rPr>
                <w:sz w:val="16"/>
              </w:rPr>
              <w:t>☐</w:t>
            </w:r>
          </w:p>
        </w:tc>
      </w:tr>
      <w:tr>
        <w:tc>
          <w:tcPr>
            <w:tcW w:type="dxa" w:w="1008"/>
            <w:shd w:val="clear" w:color="auto" w:fill="FFFFFF"/>
          </w:tcPr>
          <w:p>
            <w:r>
              <w:rPr>
                <w:b/>
                <w:sz w:val="16"/>
              </w:rPr>
              <w:t>SUP-B-07</w:t>
            </w:r>
          </w:p>
        </w:tc>
        <w:tc>
          <w:tcPr>
            <w:tcW w:type="dxa" w:w="4608"/>
            <w:shd w:val="clear" w:color="auto" w:fill="FFFFFF"/>
          </w:tcPr>
          <w:p>
            <w:r>
              <w:rPr>
                <w:sz w:val="16"/>
              </w:rPr>
              <w:t>Zone slot rim geometry: 5 zone slot openings with asymmetric mechanical key receiver profiles (one per zone), matching zone module keys (F-01 in NP-TOOL-ZM-001). Confirm machined vs. moulded receiver profile and achievable positional tolerance.</w:t>
            </w:r>
          </w:p>
        </w:tc>
        <w:tc>
          <w:tcPr>
            <w:tcW w:type="dxa" w:w="2448"/>
            <w:shd w:val="clear" w:color="auto" w:fill="FFFFFF"/>
          </w:tcPr>
          <w:p>
            <w:r>
              <w:rPr>
                <w:sz w:val="16"/>
              </w:rPr>
              <w:t>DFM comment on receiver profile method + tolerance</w:t>
            </w:r>
          </w:p>
        </w:tc>
        <w:tc>
          <w:tcPr>
            <w:tcW w:type="dxa" w:w="1080"/>
            <w:shd w:val="clear" w:color="auto" w:fill="FFFFFF"/>
          </w:tcPr>
          <w:p>
            <w:r>
              <w:rPr>
                <w:sz w:val="16"/>
              </w:rPr>
              <w:t>Required</w:t>
            </w:r>
          </w:p>
        </w:tc>
        <w:tc>
          <w:tcPr>
            <w:tcW w:type="dxa" w:w="1224"/>
            <w:shd w:val="clear" w:color="auto" w:fill="FFFFFF"/>
          </w:tcPr>
          <w:p>
            <w:r>
              <w:rPr>
                <w:sz w:val="16"/>
              </w:rPr>
              <w:t>☐</w:t>
            </w:r>
          </w:p>
        </w:tc>
      </w:tr>
      <w:tr>
        <w:tc>
          <w:tcPr>
            <w:tcW w:type="dxa" w:w="1008"/>
            <w:shd w:val="clear" w:color="auto" w:fill="F5F5F5"/>
          </w:tcPr>
          <w:p>
            <w:r>
              <w:rPr>
                <w:b/>
                <w:sz w:val="16"/>
              </w:rPr>
              <w:t>SUP-B-08</w:t>
            </w:r>
          </w:p>
        </w:tc>
        <w:tc>
          <w:tcPr>
            <w:tcW w:type="dxa" w:w="4608"/>
            <w:shd w:val="clear" w:color="auto" w:fill="F5F5F5"/>
          </w:tcPr>
          <w:p>
            <w:r>
              <w:rPr>
                <w:sz w:val="16"/>
              </w:rPr>
              <w:t>Anchor post moulding: tethered interface cover anchor posts (5 zone slot posts + 3 accessory port positions) moulded into shell at zero incremental tooling cost if specified before first cut. Confirm this is achievable.</w:t>
            </w:r>
          </w:p>
        </w:tc>
        <w:tc>
          <w:tcPr>
            <w:tcW w:type="dxa" w:w="2448"/>
            <w:shd w:val="clear" w:color="auto" w:fill="F5F5F5"/>
          </w:tcPr>
          <w:p>
            <w:r>
              <w:rPr>
                <w:sz w:val="16"/>
              </w:rPr>
              <w:t>Confirmation in DFM review</w:t>
            </w:r>
          </w:p>
        </w:tc>
        <w:tc>
          <w:tcPr>
            <w:tcW w:type="dxa" w:w="1080"/>
            <w:shd w:val="clear" w:color="auto" w:fill="F5F5F5"/>
          </w:tcPr>
          <w:p>
            <w:r>
              <w:rPr>
                <w:sz w:val="16"/>
              </w:rPr>
              <w:t>Advisory</w:t>
            </w:r>
          </w:p>
        </w:tc>
        <w:tc>
          <w:tcPr>
            <w:tcW w:type="dxa" w:w="1224"/>
            <w:shd w:val="clear" w:color="auto" w:fill="F5F5F5"/>
          </w:tcPr>
          <w:p>
            <w:r>
              <w:rPr>
                <w:sz w:val="16"/>
              </w:rPr>
              <w:t>☐</w:t>
            </w:r>
          </w:p>
        </w:tc>
      </w:tr>
    </w:tbl>
    <w:p/>
    <w:p>
      <w:r>
        <w:rPr>
          <w:b/>
          <w:color w:val="1F497D"/>
          <w:sz w:val="24"/>
        </w:rPr>
        <w:t>7.  PDMS OPTICAL WINDOW BONDING  (CAT-C)</w:t>
      </w:r>
    </w:p>
    <w:p>
      <w:r>
        <w:rPr>
          <w:b w:val="0"/>
          <w:sz w:val="20"/>
        </w:rPr>
        <w:t>Required for PDMS window bonding supplier (may be the same as CAT-A moulder or a specialist optical bonding house). Full process sequence is defined in NP-HW-FPC-001 §9.2. Deviation from the specified sequence is not permitted.</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shd w:val="clear" w:color="auto" w:fill="1F497D"/>
          </w:tcPr>
          <w:p>
            <w:r>
              <w:rPr>
                <w:b/>
                <w:color w:val="FFFFFF"/>
                <w:sz w:val="16"/>
              </w:rPr>
              <w:t>Item</w:t>
            </w:r>
          </w:p>
        </w:tc>
        <w:tc>
          <w:tcPr>
            <w:tcW w:type="dxa" w:w="4608"/>
            <w:shd w:val="clear" w:color="auto" w:fill="1F497D"/>
          </w:tcPr>
          <w:p>
            <w:r>
              <w:rPr>
                <w:b/>
                <w:color w:val="FFFFFF"/>
                <w:sz w:val="16"/>
              </w:rPr>
              <w:t>Requirement</w:t>
            </w:r>
          </w:p>
        </w:tc>
        <w:tc>
          <w:tcPr>
            <w:tcW w:type="dxa" w:w="2448"/>
            <w:shd w:val="clear" w:color="auto" w:fill="1F497D"/>
          </w:tcPr>
          <w:p>
            <w:r>
              <w:rPr>
                <w:b/>
                <w:color w:val="FFFFFF"/>
                <w:sz w:val="16"/>
              </w:rPr>
              <w:t>Evidence Required</w:t>
            </w:r>
          </w:p>
        </w:tc>
        <w:tc>
          <w:tcPr>
            <w:tcW w:type="dxa" w:w="1080"/>
            <w:shd w:val="clear" w:color="auto" w:fill="1F497D"/>
          </w:tcPr>
          <w:p>
            <w:r>
              <w:rPr>
                <w:b/>
                <w:color w:val="FFFFFF"/>
                <w:sz w:val="16"/>
              </w:rPr>
              <w:t>Type</w:t>
            </w:r>
          </w:p>
        </w:tc>
        <w:tc>
          <w:tcPr>
            <w:tcW w:type="dxa" w:w="1224"/>
            <w:shd w:val="clear" w:color="auto" w:fill="1F497D"/>
          </w:tcPr>
          <w:p>
            <w:r>
              <w:rPr>
                <w:b/>
                <w:color w:val="FFFFFF"/>
                <w:sz w:val="16"/>
              </w:rPr>
              <w:t>Confirmed?</w:t>
            </w:r>
          </w:p>
        </w:tc>
      </w:tr>
      <w:tr>
        <w:tc>
          <w:tcPr>
            <w:tcW w:type="dxa" w:w="1008"/>
            <w:shd w:val="clear" w:color="auto" w:fill="FFFFFF"/>
            <w:shd w:val="clear" w:color="auto" w:fill="FFE7E7"/>
          </w:tcPr>
          <w:p>
            <w:r>
              <w:rPr>
                <w:b/>
                <w:color w:val="C00000"/>
                <w:sz w:val="16"/>
              </w:rPr>
              <w:t>SUP-C-01</w:t>
            </w:r>
          </w:p>
        </w:tc>
        <w:tc>
          <w:tcPr>
            <w:tcW w:type="dxa" w:w="4608"/>
            <w:shd w:val="clear" w:color="auto" w:fill="FFFFFF"/>
            <w:shd w:val="clear" w:color="auto" w:fill="FFE7E7"/>
          </w:tcPr>
          <w:p>
            <w:r>
              <w:rPr>
                <w:color w:val="C00000"/>
                <w:sz w:val="16"/>
              </w:rPr>
              <w:t>SiO₂ sputtering capability: RF magnetron sputtering of 75 nm SiO₂ on PI coverlay surface. Process temperature ≤ 80°C (FPC thermal limit). Thickness uniformity ±10%.</w:t>
            </w:r>
          </w:p>
        </w:tc>
        <w:tc>
          <w:tcPr>
            <w:tcW w:type="dxa" w:w="2448"/>
            <w:shd w:val="clear" w:color="auto" w:fill="FFFFFF"/>
            <w:shd w:val="clear" w:color="auto" w:fill="FFE7E7"/>
          </w:tcPr>
          <w:p>
            <w:r>
              <w:rPr>
                <w:color w:val="C00000"/>
                <w:sz w:val="16"/>
              </w:rPr>
              <w:t>Process spec + thickness measurement capability</w:t>
            </w:r>
          </w:p>
        </w:tc>
        <w:tc>
          <w:tcPr>
            <w:tcW w:type="dxa" w:w="1080"/>
            <w:shd w:val="clear" w:color="auto" w:fill="FFFFFF"/>
            <w:shd w:val="clear" w:color="auto" w:fill="FFE7E7"/>
          </w:tcPr>
          <w:p>
            <w:r>
              <w:rPr>
                <w:color w:val="C00000"/>
                <w:sz w:val="16"/>
              </w:rPr>
              <w:t>⛔ BLOCKING</w:t>
            </w:r>
          </w:p>
        </w:tc>
        <w:tc>
          <w:tcPr>
            <w:tcW w:type="dxa" w:w="1224"/>
            <w:shd w:val="clear" w:color="auto" w:fill="FFFFFF"/>
            <w:shd w:val="clear" w:color="auto" w:fill="FFE7E7"/>
          </w:tcPr>
          <w:p>
            <w:r>
              <w:rPr>
                <w:color w:val="C00000"/>
                <w:sz w:val="16"/>
              </w:rPr>
              <w:t>☐</w:t>
            </w:r>
          </w:p>
        </w:tc>
      </w:tr>
      <w:tr>
        <w:tc>
          <w:tcPr>
            <w:tcW w:type="dxa" w:w="1008"/>
            <w:shd w:val="clear" w:color="auto" w:fill="F5F5F5"/>
            <w:shd w:val="clear" w:color="auto" w:fill="FFE7E7"/>
          </w:tcPr>
          <w:p>
            <w:r>
              <w:rPr>
                <w:b/>
                <w:color w:val="C00000"/>
                <w:sz w:val="16"/>
              </w:rPr>
              <w:t>SUP-C-02</w:t>
            </w:r>
          </w:p>
        </w:tc>
        <w:tc>
          <w:tcPr>
            <w:tcW w:type="dxa" w:w="4608"/>
            <w:shd w:val="clear" w:color="auto" w:fill="F5F5F5"/>
            <w:shd w:val="clear" w:color="auto" w:fill="FFE7E7"/>
          </w:tcPr>
          <w:p>
            <w:r>
              <w:rPr>
                <w:color w:val="C00000"/>
                <w:sz w:val="16"/>
              </w:rPr>
              <w:t>O₂ plasma activation: 100 W, 30 sccm O₂, 60 s. Both PDMS and SiO₂ surfaces. Bond initiation within 10 minutes of plasma treatment (&lt; 10 min delay spec). In-process timer control required.</w:t>
            </w:r>
          </w:p>
        </w:tc>
        <w:tc>
          <w:tcPr>
            <w:tcW w:type="dxa" w:w="2448"/>
            <w:shd w:val="clear" w:color="auto" w:fill="F5F5F5"/>
            <w:shd w:val="clear" w:color="auto" w:fill="FFE7E7"/>
          </w:tcPr>
          <w:p>
            <w:r>
              <w:rPr>
                <w:color w:val="C00000"/>
                <w:sz w:val="16"/>
              </w:rPr>
              <w:t>Process control plan with timer spec</w:t>
            </w:r>
          </w:p>
        </w:tc>
        <w:tc>
          <w:tcPr>
            <w:tcW w:type="dxa" w:w="1080"/>
            <w:shd w:val="clear" w:color="auto" w:fill="F5F5F5"/>
            <w:shd w:val="clear" w:color="auto" w:fill="FFE7E7"/>
          </w:tcPr>
          <w:p>
            <w:r>
              <w:rPr>
                <w:color w:val="C00000"/>
                <w:sz w:val="16"/>
              </w:rPr>
              <w:t>⛔ BLOCKING</w:t>
            </w:r>
          </w:p>
        </w:tc>
        <w:tc>
          <w:tcPr>
            <w:tcW w:type="dxa" w:w="1224"/>
            <w:shd w:val="clear" w:color="auto" w:fill="F5F5F5"/>
            <w:shd w:val="clear" w:color="auto" w:fill="FFE7E7"/>
          </w:tcPr>
          <w:p>
            <w:r>
              <w:rPr>
                <w:color w:val="C00000"/>
                <w:sz w:val="16"/>
              </w:rPr>
              <w:t>☐</w:t>
            </w:r>
          </w:p>
        </w:tc>
      </w:tr>
      <w:tr>
        <w:tc>
          <w:tcPr>
            <w:tcW w:type="dxa" w:w="1008"/>
            <w:shd w:val="clear" w:color="auto" w:fill="FFFFFF"/>
          </w:tcPr>
          <w:p>
            <w:r>
              <w:rPr>
                <w:b/>
                <w:sz w:val="16"/>
              </w:rPr>
              <w:t>SUP-C-03</w:t>
            </w:r>
          </w:p>
        </w:tc>
        <w:tc>
          <w:tcPr>
            <w:tcW w:type="dxa" w:w="4608"/>
            <w:shd w:val="clear" w:color="auto" w:fill="FFFFFF"/>
          </w:tcPr>
          <w:p>
            <w:r>
              <w:rPr>
                <w:sz w:val="16"/>
              </w:rPr>
              <w:t>Pressure application: 50 g/cm² uniform pressure during 120°C / 2 hr cure. Fixture designed to avoid pressure concentration at FPC component features. Temperature uniformity ±5°C across part.</w:t>
            </w:r>
          </w:p>
        </w:tc>
        <w:tc>
          <w:tcPr>
            <w:tcW w:type="dxa" w:w="2448"/>
            <w:shd w:val="clear" w:color="auto" w:fill="FFFFFF"/>
          </w:tcPr>
          <w:p>
            <w:r>
              <w:rPr>
                <w:sz w:val="16"/>
              </w:rPr>
              <w:t>Fixture design + oven calibration cert</w:t>
            </w:r>
          </w:p>
        </w:tc>
        <w:tc>
          <w:tcPr>
            <w:tcW w:type="dxa" w:w="1080"/>
            <w:shd w:val="clear" w:color="auto" w:fill="FFFFFF"/>
          </w:tcPr>
          <w:p>
            <w:r>
              <w:rPr>
                <w:sz w:val="16"/>
              </w:rPr>
              <w:t>Required</w:t>
            </w:r>
          </w:p>
        </w:tc>
        <w:tc>
          <w:tcPr>
            <w:tcW w:type="dxa" w:w="1224"/>
            <w:shd w:val="clear" w:color="auto" w:fill="FFFFFF"/>
          </w:tcPr>
          <w:p>
            <w:r>
              <w:rPr>
                <w:sz w:val="16"/>
              </w:rPr>
              <w:t>☐</w:t>
            </w:r>
          </w:p>
        </w:tc>
      </w:tr>
      <w:tr>
        <w:tc>
          <w:tcPr>
            <w:tcW w:type="dxa" w:w="1008"/>
            <w:shd w:val="clear" w:color="auto" w:fill="F5F5F5"/>
            <w:shd w:val="clear" w:color="auto" w:fill="FFE7E7"/>
          </w:tcPr>
          <w:p>
            <w:r>
              <w:rPr>
                <w:b/>
                <w:color w:val="C00000"/>
                <w:sz w:val="16"/>
              </w:rPr>
              <w:t>SUP-C-04</w:t>
            </w:r>
          </w:p>
        </w:tc>
        <w:tc>
          <w:tcPr>
            <w:tcW w:type="dxa" w:w="4608"/>
            <w:shd w:val="clear" w:color="auto" w:fill="F5F5F5"/>
            <w:shd w:val="clear" w:color="auto" w:fill="FFE7E7"/>
          </w:tcPr>
          <w:p>
            <w:r>
              <w:rPr>
                <w:color w:val="C00000"/>
                <w:sz w:val="16"/>
              </w:rPr>
              <w:t>Batch peel test: minimum 5 coupons per production batch. Peel force &gt; 150 N/m (per IPC-TM-650 2.4.9). Batch released only after peel test pass. Peel test data retained with batch record.</w:t>
            </w:r>
          </w:p>
        </w:tc>
        <w:tc>
          <w:tcPr>
            <w:tcW w:type="dxa" w:w="2448"/>
            <w:shd w:val="clear" w:color="auto" w:fill="F5F5F5"/>
            <w:shd w:val="clear" w:color="auto" w:fill="FFE7E7"/>
          </w:tcPr>
          <w:p>
            <w:r>
              <w:rPr>
                <w:color w:val="C00000"/>
                <w:sz w:val="16"/>
              </w:rPr>
              <w:t>Sample batch peel test record</w:t>
            </w:r>
          </w:p>
        </w:tc>
        <w:tc>
          <w:tcPr>
            <w:tcW w:type="dxa" w:w="1080"/>
            <w:shd w:val="clear" w:color="auto" w:fill="F5F5F5"/>
            <w:shd w:val="clear" w:color="auto" w:fill="FFE7E7"/>
          </w:tcPr>
          <w:p>
            <w:r>
              <w:rPr>
                <w:color w:val="C00000"/>
                <w:sz w:val="16"/>
              </w:rPr>
              <w:t>⛔ BLOCKING</w:t>
            </w:r>
          </w:p>
        </w:tc>
        <w:tc>
          <w:tcPr>
            <w:tcW w:type="dxa" w:w="1224"/>
            <w:shd w:val="clear" w:color="auto" w:fill="F5F5F5"/>
            <w:shd w:val="clear" w:color="auto" w:fill="FFE7E7"/>
          </w:tcPr>
          <w:p>
            <w:r>
              <w:rPr>
                <w:color w:val="C00000"/>
                <w:sz w:val="16"/>
              </w:rPr>
              <w:t>☐</w:t>
            </w:r>
          </w:p>
        </w:tc>
      </w:tr>
      <w:tr>
        <w:tc>
          <w:tcPr>
            <w:tcW w:type="dxa" w:w="1008"/>
            <w:shd w:val="clear" w:color="auto" w:fill="FFFFFF"/>
            <w:shd w:val="clear" w:color="auto" w:fill="FFE7E7"/>
          </w:tcPr>
          <w:p>
            <w:r>
              <w:rPr>
                <w:b/>
                <w:color w:val="C00000"/>
                <w:sz w:val="16"/>
              </w:rPr>
              <w:t>SUP-C-05</w:t>
            </w:r>
          </w:p>
        </w:tc>
        <w:tc>
          <w:tcPr>
            <w:tcW w:type="dxa" w:w="4608"/>
            <w:shd w:val="clear" w:color="auto" w:fill="FFFFFF"/>
            <w:shd w:val="clear" w:color="auto" w:fill="FFE7E7"/>
          </w:tcPr>
          <w:p>
            <w:r>
              <w:rPr>
                <w:color w:val="C00000"/>
                <w:sz w:val="16"/>
              </w:rPr>
              <w:t>PDMS biocompatibility: ISO 10993-5 cytotoxicity certificate for PDMS compound used. Certificate must cover the specific formulation (not generic PDMS category).</w:t>
            </w:r>
          </w:p>
        </w:tc>
        <w:tc>
          <w:tcPr>
            <w:tcW w:type="dxa" w:w="2448"/>
            <w:shd w:val="clear" w:color="auto" w:fill="FFFFFF"/>
            <w:shd w:val="clear" w:color="auto" w:fill="FFE7E7"/>
          </w:tcPr>
          <w:p>
            <w:r>
              <w:rPr>
                <w:color w:val="C00000"/>
                <w:sz w:val="16"/>
              </w:rPr>
              <w:t>ISO 10993-5 certificate for specific compound</w:t>
            </w:r>
          </w:p>
        </w:tc>
        <w:tc>
          <w:tcPr>
            <w:tcW w:type="dxa" w:w="1080"/>
            <w:shd w:val="clear" w:color="auto" w:fill="FFFFFF"/>
            <w:shd w:val="clear" w:color="auto" w:fill="FFE7E7"/>
          </w:tcPr>
          <w:p>
            <w:r>
              <w:rPr>
                <w:color w:val="C00000"/>
                <w:sz w:val="16"/>
              </w:rPr>
              <w:t>⛔ BLOCKING</w:t>
            </w:r>
          </w:p>
        </w:tc>
        <w:tc>
          <w:tcPr>
            <w:tcW w:type="dxa" w:w="1224"/>
            <w:shd w:val="clear" w:color="auto" w:fill="FFFFFF"/>
            <w:shd w:val="clear" w:color="auto" w:fill="FFE7E7"/>
          </w:tcPr>
          <w:p>
            <w:r>
              <w:rPr>
                <w:color w:val="C00000"/>
                <w:sz w:val="16"/>
              </w:rPr>
              <w:t>☐</w:t>
            </w:r>
          </w:p>
        </w:tc>
      </w:tr>
      <w:tr>
        <w:tc>
          <w:tcPr>
            <w:tcW w:type="dxa" w:w="1008"/>
            <w:shd w:val="clear" w:color="auto" w:fill="F5F5F5"/>
          </w:tcPr>
          <w:p>
            <w:r>
              <w:rPr>
                <w:b/>
                <w:sz w:val="16"/>
              </w:rPr>
              <w:t>SUP-C-06</w:t>
            </w:r>
          </w:p>
        </w:tc>
        <w:tc>
          <w:tcPr>
            <w:tcW w:type="dxa" w:w="4608"/>
            <w:shd w:val="clear" w:color="auto" w:fill="F5F5F5"/>
          </w:tcPr>
          <w:p>
            <w:r>
              <w:rPr>
                <w:sz w:val="16"/>
              </w:rPr>
              <w:t>Plasma-activated anti-fouling surface treatment: O₂ plasma to produce hydrophilic PDMS surface (contact angle &lt; 20° immediately post-treatment). Must be the final process step before packaging. Confirm shelf life of treatment (target ≥ 6 months in sealed packaging).</w:t>
            </w:r>
          </w:p>
        </w:tc>
        <w:tc>
          <w:tcPr>
            <w:tcW w:type="dxa" w:w="2448"/>
            <w:shd w:val="clear" w:color="auto" w:fill="F5F5F5"/>
          </w:tcPr>
          <w:p>
            <w:r>
              <w:rPr>
                <w:sz w:val="16"/>
              </w:rPr>
              <w:t>Contact angle measurement data + shelf life data</w:t>
            </w:r>
          </w:p>
        </w:tc>
        <w:tc>
          <w:tcPr>
            <w:tcW w:type="dxa" w:w="1080"/>
            <w:shd w:val="clear" w:color="auto" w:fill="F5F5F5"/>
          </w:tcPr>
          <w:p>
            <w:r>
              <w:rPr>
                <w:sz w:val="16"/>
              </w:rPr>
              <w:t>Required</w:t>
            </w:r>
          </w:p>
        </w:tc>
        <w:tc>
          <w:tcPr>
            <w:tcW w:type="dxa" w:w="1224"/>
            <w:shd w:val="clear" w:color="auto" w:fill="F5F5F5"/>
          </w:tcPr>
          <w:p>
            <w:r>
              <w:rPr>
                <w:sz w:val="16"/>
              </w:rPr>
              <w:t>☐</w:t>
            </w:r>
          </w:p>
        </w:tc>
      </w:tr>
      <w:tr>
        <w:tc>
          <w:tcPr>
            <w:tcW w:type="dxa" w:w="1008"/>
            <w:shd w:val="clear" w:color="auto" w:fill="FFFFFF"/>
          </w:tcPr>
          <w:p>
            <w:r>
              <w:rPr>
                <w:b/>
                <w:sz w:val="16"/>
              </w:rPr>
              <w:t>SUP-C-07</w:t>
            </w:r>
          </w:p>
        </w:tc>
        <w:tc>
          <w:tcPr>
            <w:tcW w:type="dxa" w:w="4608"/>
            <w:shd w:val="clear" w:color="auto" w:fill="FFFFFF"/>
          </w:tcPr>
          <w:p>
            <w:r>
              <w:rPr>
                <w:sz w:val="16"/>
              </w:rPr>
              <w:t>Optical transmission measurement: transmittance ≥ 85% at 660 nm and 810 nm through bonded PDMS window assembly. Measurement per batch using spectrophotometer.</w:t>
            </w:r>
          </w:p>
        </w:tc>
        <w:tc>
          <w:tcPr>
            <w:tcW w:type="dxa" w:w="2448"/>
            <w:shd w:val="clear" w:color="auto" w:fill="FFFFFF"/>
          </w:tcPr>
          <w:p>
            <w:r>
              <w:rPr>
                <w:sz w:val="16"/>
              </w:rPr>
              <w:t>Spectrophotometer capability + sample data</w:t>
            </w:r>
          </w:p>
        </w:tc>
        <w:tc>
          <w:tcPr>
            <w:tcW w:type="dxa" w:w="1080"/>
            <w:shd w:val="clear" w:color="auto" w:fill="FFFFFF"/>
          </w:tcPr>
          <w:p>
            <w:r>
              <w:rPr>
                <w:sz w:val="16"/>
              </w:rPr>
              <w:t>Required</w:t>
            </w:r>
          </w:p>
        </w:tc>
        <w:tc>
          <w:tcPr>
            <w:tcW w:type="dxa" w:w="1224"/>
            <w:shd w:val="clear" w:color="auto" w:fill="FFFFFF"/>
          </w:tcPr>
          <w:p>
            <w:r>
              <w:rPr>
                <w:sz w:val="16"/>
              </w:rPr>
              <w:t>☐</w:t>
            </w:r>
          </w:p>
        </w:tc>
      </w:tr>
    </w:tbl>
    <w:p/>
    <w:p>
      <w:r>
        <w:rPr>
          <w:b/>
          <w:color w:val="1F497D"/>
          <w:sz w:val="24"/>
        </w:rPr>
        <w:t>8.  SCORING SUMMARY AND QUALIFICATION DECISION</w:t>
      </w:r>
    </w:p>
    <w:p>
      <w:r>
        <w:rPr>
          <w:b w:val="0"/>
          <w:sz w:val="20"/>
        </w:rPr>
        <w:t>Complete this section after evaluating all applicable sections above. A supplier fails qualification if any BLOCKING item is not confirmed. For non-blocking items, calculate the percentage confirmed.</w:t>
      </w:r>
    </w:p>
    <w:p/>
    <w:tbl>
      <w:tblPr>
        <w:tblStyle w:val="TableGrid"/>
        <w:tblW w:type="auto" w:w="0"/>
        <w:tblLook w:firstColumn="1" w:firstRow="1" w:lastColumn="0" w:lastRow="0" w:noHBand="0" w:noVBand="1" w:val="04A0"/>
      </w:tblPr>
      <w:tblGrid>
        <w:gridCol w:w="2880"/>
        <w:gridCol w:w="2880"/>
        <w:gridCol w:w="2880"/>
      </w:tblGrid>
      <w:tr>
        <w:tc>
          <w:tcPr>
            <w:tcW w:type="dxa" w:w="4320"/>
            <w:shd w:val="clear" w:color="auto" w:fill="1F497D"/>
          </w:tcPr>
          <w:p>
            <w:r>
              <w:rPr>
                <w:b/>
                <w:color w:val="FFFFFF"/>
                <w:sz w:val="16"/>
              </w:rPr>
              <w:t>Criterion</w:t>
            </w:r>
          </w:p>
        </w:tc>
        <w:tc>
          <w:tcPr>
            <w:tcW w:type="dxa" w:w="2160"/>
            <w:shd w:val="clear" w:color="auto" w:fill="1F497D"/>
          </w:tcPr>
          <w:p>
            <w:r>
              <w:rPr>
                <w:b/>
                <w:color w:val="FFFFFF"/>
                <w:sz w:val="16"/>
              </w:rPr>
              <w:t>Result</w:t>
            </w:r>
          </w:p>
        </w:tc>
        <w:tc>
          <w:tcPr>
            <w:tcW w:type="dxa" w:w="3168"/>
            <w:shd w:val="clear" w:color="auto" w:fill="1F497D"/>
          </w:tcPr>
          <w:p>
            <w:r>
              <w:rPr>
                <w:b/>
                <w:color w:val="FFFFFF"/>
                <w:sz w:val="16"/>
              </w:rPr>
              <w:t>Notes</w:t>
            </w:r>
          </w:p>
        </w:tc>
      </w:tr>
      <w:tr>
        <w:tc>
          <w:tcPr>
            <w:tcW w:type="dxa" w:w="4320"/>
            <w:shd w:val="clear" w:color="auto" w:fill="FFFFFF"/>
          </w:tcPr>
          <w:p>
            <w:r>
              <w:rPr>
                <w:sz w:val="16"/>
              </w:rPr>
              <w:t>All BLOCKING items confirmed (zero exceptions allowed)</w:t>
            </w:r>
          </w:p>
        </w:tc>
        <w:tc>
          <w:tcPr>
            <w:tcW w:type="dxa" w:w="2160"/>
            <w:shd w:val="clear" w:color="auto" w:fill="FFFFFF"/>
          </w:tcPr>
          <w:p>
            <w:r>
              <w:rPr>
                <w:sz w:val="16"/>
              </w:rPr>
              <w:t>☐ YES  ☐ NO</w:t>
            </w:r>
          </w:p>
        </w:tc>
        <w:tc>
          <w:tcPr>
            <w:tcW w:type="dxa" w:w="3168"/>
            <w:shd w:val="clear" w:color="auto" w:fill="FFFFFF"/>
          </w:tcPr>
          <w:p>
            <w:r>
              <w:rPr>
                <w:sz w:val="16"/>
              </w:rPr>
            </w:r>
          </w:p>
        </w:tc>
      </w:tr>
      <w:tr>
        <w:tc>
          <w:tcPr>
            <w:tcW w:type="dxa" w:w="4320"/>
            <w:shd w:val="clear" w:color="auto" w:fill="F5F5F5"/>
          </w:tcPr>
          <w:p>
            <w:r>
              <w:rPr>
                <w:sz w:val="16"/>
              </w:rPr>
              <w:t>SUP-M-07 RISK-20 written confirmation received (letter + Ra data)</w:t>
            </w:r>
          </w:p>
        </w:tc>
        <w:tc>
          <w:tcPr>
            <w:tcW w:type="dxa" w:w="2160"/>
            <w:shd w:val="clear" w:color="auto" w:fill="F5F5F5"/>
          </w:tcPr>
          <w:p>
            <w:r>
              <w:rPr>
                <w:sz w:val="16"/>
              </w:rPr>
              <w:t>☐ YES  ☐ NO</w:t>
            </w:r>
          </w:p>
        </w:tc>
        <w:tc>
          <w:tcPr>
            <w:tcW w:type="dxa" w:w="3168"/>
            <w:shd w:val="clear" w:color="auto" w:fill="F5F5F5"/>
          </w:tcPr>
          <w:p>
            <w:r>
              <w:rPr>
                <w:sz w:val="16"/>
              </w:rPr>
              <w:t>BLOCKING — do not proceed without</w:t>
            </w:r>
          </w:p>
        </w:tc>
      </w:tr>
      <w:tr>
        <w:tc>
          <w:tcPr>
            <w:tcW w:type="dxa" w:w="4320"/>
            <w:shd w:val="clear" w:color="auto" w:fill="FFFFFF"/>
          </w:tcPr>
          <w:p>
            <w:r>
              <w:rPr>
                <w:sz w:val="16"/>
              </w:rPr>
              <w:t>Non-blocking items confirmed (%)</w:t>
            </w:r>
          </w:p>
        </w:tc>
        <w:tc>
          <w:tcPr>
            <w:tcW w:type="dxa" w:w="2160"/>
            <w:shd w:val="clear" w:color="auto" w:fill="FFFFFF"/>
          </w:tcPr>
          <w:p>
            <w:r>
              <w:rPr>
                <w:sz w:val="16"/>
              </w:rPr>
              <w:t xml:space="preserve">    / total</w:t>
            </w:r>
          </w:p>
        </w:tc>
        <w:tc>
          <w:tcPr>
            <w:tcW w:type="dxa" w:w="3168"/>
            <w:shd w:val="clear" w:color="auto" w:fill="FFFFFF"/>
          </w:tcPr>
          <w:p>
            <w:r>
              <w:rPr>
                <w:sz w:val="16"/>
              </w:rPr>
              <w:t>Target ≥ 80%</w:t>
            </w:r>
          </w:p>
        </w:tc>
      </w:tr>
      <w:tr>
        <w:tc>
          <w:tcPr>
            <w:tcW w:type="dxa" w:w="4320"/>
            <w:shd w:val="clear" w:color="auto" w:fill="F5F5F5"/>
          </w:tcPr>
          <w:p>
            <w:r>
              <w:rPr>
                <w:sz w:val="16"/>
              </w:rPr>
              <w:t>ISO 9001 / 13485 certificate verified</w:t>
            </w:r>
          </w:p>
        </w:tc>
        <w:tc>
          <w:tcPr>
            <w:tcW w:type="dxa" w:w="2160"/>
            <w:shd w:val="clear" w:color="auto" w:fill="F5F5F5"/>
          </w:tcPr>
          <w:p>
            <w:r>
              <w:rPr>
                <w:sz w:val="16"/>
              </w:rPr>
              <w:t>☐ YES  ☐ NO</w:t>
            </w:r>
          </w:p>
        </w:tc>
        <w:tc>
          <w:tcPr>
            <w:tcW w:type="dxa" w:w="3168"/>
            <w:shd w:val="clear" w:color="auto" w:fill="F5F5F5"/>
          </w:tcPr>
          <w:p>
            <w:r>
              <w:rPr>
                <w:sz w:val="16"/>
              </w:rPr>
            </w:r>
          </w:p>
        </w:tc>
      </w:tr>
      <w:tr>
        <w:tc>
          <w:tcPr>
            <w:tcW w:type="dxa" w:w="4320"/>
            <w:shd w:val="clear" w:color="auto" w:fill="FFFFFF"/>
          </w:tcPr>
          <w:p>
            <w:r>
              <w:rPr>
                <w:sz w:val="16"/>
              </w:rPr>
              <w:t>NDA executed</w:t>
            </w:r>
          </w:p>
        </w:tc>
        <w:tc>
          <w:tcPr>
            <w:tcW w:type="dxa" w:w="2160"/>
            <w:shd w:val="clear" w:color="auto" w:fill="FFFFFF"/>
          </w:tcPr>
          <w:p>
            <w:r>
              <w:rPr>
                <w:sz w:val="16"/>
              </w:rPr>
              <w:t>☐ YES  ☐ NO</w:t>
            </w:r>
          </w:p>
        </w:tc>
        <w:tc>
          <w:tcPr>
            <w:tcW w:type="dxa" w:w="3168"/>
            <w:shd w:val="clear" w:color="auto" w:fill="FFFFFF"/>
          </w:tcPr>
          <w:p>
            <w:r>
              <w:rPr>
                <w:sz w:val="16"/>
              </w:rPr>
              <w:t>Required before drawings released</w:t>
            </w:r>
          </w:p>
        </w:tc>
      </w:tr>
      <w:tr>
        <w:tc>
          <w:tcPr>
            <w:tcW w:type="dxa" w:w="4320"/>
            <w:shd w:val="clear" w:color="auto" w:fill="F5F5F5"/>
          </w:tcPr>
          <w:p>
            <w:r>
              <w:rPr>
                <w:sz w:val="16"/>
              </w:rPr>
              <w:t>DFM review turnaround commitment received</w:t>
            </w:r>
          </w:p>
        </w:tc>
        <w:tc>
          <w:tcPr>
            <w:tcW w:type="dxa" w:w="2160"/>
            <w:shd w:val="clear" w:color="auto" w:fill="F5F5F5"/>
          </w:tcPr>
          <w:p>
            <w:r>
              <w:rPr>
                <w:sz w:val="16"/>
              </w:rPr>
              <w:t>☐ YES  ☐ NO</w:t>
            </w:r>
          </w:p>
        </w:tc>
        <w:tc>
          <w:tcPr>
            <w:tcW w:type="dxa" w:w="3168"/>
            <w:shd w:val="clear" w:color="auto" w:fill="F5F5F5"/>
          </w:tcPr>
          <w:p>
            <w:r>
              <w:rPr>
                <w:sz w:val="16"/>
              </w:rPr>
            </w:r>
          </w:p>
        </w:tc>
      </w:tr>
      <w:tr>
        <w:tc>
          <w:tcPr>
            <w:tcW w:type="dxa" w:w="4320"/>
            <w:shd w:val="clear" w:color="auto" w:fill="FFFFFF"/>
            <w:shd w:val="clear" w:color="auto" w:fill="1F497D"/>
          </w:tcPr>
          <w:p>
            <w:r>
              <w:rPr>
                <w:b/>
                <w:color w:val="FFFFFF"/>
                <w:sz w:val="16"/>
              </w:rPr>
              <w:t>QUALIFICATION DECISION</w:t>
            </w:r>
          </w:p>
        </w:tc>
        <w:tc>
          <w:tcPr>
            <w:tcW w:type="dxa" w:w="2160"/>
            <w:shd w:val="clear" w:color="auto" w:fill="FFFFFF"/>
            <w:shd w:val="clear" w:color="auto" w:fill="1F497D"/>
          </w:tcPr>
          <w:p>
            <w:r>
              <w:rPr>
                <w:b/>
                <w:color w:val="FFFFFF"/>
                <w:sz w:val="16"/>
              </w:rPr>
              <w:t>☐ APPROVED  ☐ PROBATION  ☐ REJECTED</w:t>
            </w:r>
          </w:p>
        </w:tc>
        <w:tc>
          <w:tcPr>
            <w:tcW w:type="dxa" w:w="3168"/>
            <w:shd w:val="clear" w:color="auto" w:fill="FFFFFF"/>
            <w:shd w:val="clear" w:color="auto" w:fill="1F497D"/>
          </w:tcPr>
          <w:p>
            <w:r>
              <w:rPr>
                <w:b/>
                <w:color w:val="FFFFFF"/>
                <w:sz w:val="16"/>
              </w:rPr>
            </w:r>
          </w:p>
        </w:tc>
      </w:tr>
      <w:tr>
        <w:tc>
          <w:tcPr>
            <w:tcW w:type="dxa" w:w="4320"/>
            <w:shd w:val="clear" w:color="auto" w:fill="F5F5F5"/>
          </w:tcPr>
          <w:p>
            <w:r>
              <w:rPr>
                <w:sz w:val="16"/>
              </w:rPr>
              <w:t>Decision date</w:t>
            </w:r>
          </w:p>
        </w:tc>
        <w:tc>
          <w:tcPr>
            <w:tcW w:type="dxa" w:w="2160"/>
            <w:shd w:val="clear" w:color="auto" w:fill="F5F5F5"/>
          </w:tcPr>
          <w:p>
            <w:r>
              <w:rPr>
                <w:sz w:val="16"/>
              </w:rPr>
            </w:r>
          </w:p>
        </w:tc>
        <w:tc>
          <w:tcPr>
            <w:tcW w:type="dxa" w:w="3168"/>
            <w:shd w:val="clear" w:color="auto" w:fill="F5F5F5"/>
          </w:tcPr>
          <w:p>
            <w:r>
              <w:rPr>
                <w:sz w:val="16"/>
              </w:rPr>
            </w:r>
          </w:p>
        </w:tc>
      </w:tr>
      <w:tr>
        <w:tc>
          <w:tcPr>
            <w:tcW w:type="dxa" w:w="4320"/>
            <w:shd w:val="clear" w:color="auto" w:fill="FFFFFF"/>
          </w:tcPr>
          <w:p>
            <w:r>
              <w:rPr>
                <w:sz w:val="16"/>
              </w:rPr>
              <w:t>Approved by (ME)</w:t>
            </w:r>
          </w:p>
        </w:tc>
        <w:tc>
          <w:tcPr>
            <w:tcW w:type="dxa" w:w="2160"/>
            <w:shd w:val="clear" w:color="auto" w:fill="FFFFFF"/>
          </w:tcPr>
          <w:p>
            <w:r>
              <w:rPr>
                <w:sz w:val="16"/>
              </w:rPr>
            </w:r>
          </w:p>
        </w:tc>
        <w:tc>
          <w:tcPr>
            <w:tcW w:type="dxa" w:w="3168"/>
            <w:shd w:val="clear" w:color="auto" w:fill="FFFFFF"/>
          </w:tcPr>
          <w:p>
            <w:r>
              <w:rPr>
                <w:sz w:val="16"/>
              </w:rPr>
            </w:r>
          </w:p>
        </w:tc>
      </w:tr>
      <w:tr>
        <w:tc>
          <w:tcPr>
            <w:tcW w:type="dxa" w:w="4320"/>
            <w:shd w:val="clear" w:color="auto" w:fill="F5F5F5"/>
          </w:tcPr>
          <w:p>
            <w:r>
              <w:rPr>
                <w:sz w:val="16"/>
              </w:rPr>
              <w:t>Approved by (EE)</w:t>
            </w:r>
          </w:p>
        </w:tc>
        <w:tc>
          <w:tcPr>
            <w:tcW w:type="dxa" w:w="2160"/>
            <w:shd w:val="clear" w:color="auto" w:fill="F5F5F5"/>
          </w:tcPr>
          <w:p>
            <w:r>
              <w:rPr>
                <w:sz w:val="16"/>
              </w:rPr>
            </w:r>
          </w:p>
        </w:tc>
        <w:tc>
          <w:tcPr>
            <w:tcW w:type="dxa" w:w="3168"/>
            <w:shd w:val="clear" w:color="auto" w:fill="F5F5F5"/>
          </w:tcPr>
          <w:p>
            <w:r>
              <w:rPr>
                <w:sz w:val="16"/>
              </w:rPr>
            </w:r>
          </w:p>
        </w:tc>
      </w:tr>
      <w:tr>
        <w:tc>
          <w:tcPr>
            <w:tcW w:type="dxa" w:w="4320"/>
            <w:shd w:val="clear" w:color="auto" w:fill="FFFFFF"/>
          </w:tcPr>
          <w:p>
            <w:r>
              <w:rPr>
                <w:sz w:val="16"/>
              </w:rPr>
              <w:t>Approved by (Procurement)</w:t>
            </w:r>
          </w:p>
        </w:tc>
        <w:tc>
          <w:tcPr>
            <w:tcW w:type="dxa" w:w="2160"/>
            <w:shd w:val="clear" w:color="auto" w:fill="FFFFFF"/>
          </w:tcPr>
          <w:p>
            <w:r>
              <w:rPr>
                <w:sz w:val="16"/>
              </w:rPr>
            </w:r>
          </w:p>
        </w:tc>
        <w:tc>
          <w:tcPr>
            <w:tcW w:type="dxa" w:w="3168"/>
            <w:shd w:val="clear" w:color="auto" w:fill="FFFFFF"/>
          </w:tcPr>
          <w:p>
            <w:r>
              <w:rPr>
                <w:sz w:val="16"/>
              </w:rPr>
            </w:r>
          </w:p>
        </w:tc>
      </w:tr>
    </w:tbl>
    <w:p/>
    <w:p>
      <w:r>
        <w:rPr>
          <w:b/>
          <w:color w:val="1F497D"/>
          <w:sz w:val="24"/>
        </w:rPr>
        <w:t>9.  RISK-20 MITIGATION TRACKING</w:t>
      </w:r>
    </w:p>
    <w:p>
      <w:r>
        <w:rPr>
          <w:b w:val="0"/>
          <w:sz w:val="20"/>
        </w:rPr>
        <w:t>RISK-20 (CFRP shell slot rim Ra ≤ 1.6 µm may require secondary operations) is tracked here as the primary mitigation record. Status must be updated when supplier confirmation is received.</w:t>
      </w:r>
    </w:p>
    <w:p/>
    <w:tbl>
      <w:tblPr>
        <w:tblStyle w:val="TableGrid"/>
        <w:tblW w:type="auto" w:w="0"/>
        <w:tblLook w:firstColumn="1" w:firstRow="1" w:lastColumn="0" w:lastRow="0" w:noHBand="0" w:noVBand="1" w:val="04A0"/>
      </w:tblPr>
      <w:tblGrid>
        <w:gridCol w:w="4320"/>
        <w:gridCol w:w="4320"/>
      </w:tblGrid>
      <w:tr>
        <w:tc>
          <w:tcPr>
            <w:tcW w:type="dxa" w:w="3168"/>
            <w:shd w:val="clear" w:color="auto" w:fill="C00000"/>
          </w:tcPr>
          <w:p>
            <w:r>
              <w:rPr>
                <w:b/>
                <w:color w:val="FFFFFF"/>
                <w:sz w:val="16"/>
              </w:rPr>
              <w:t>Field</w:t>
            </w:r>
          </w:p>
        </w:tc>
        <w:tc>
          <w:tcPr>
            <w:tcW w:type="dxa" w:w="6624"/>
            <w:shd w:val="clear" w:color="auto" w:fill="C00000"/>
          </w:tcPr>
          <w:p>
            <w:r>
              <w:rPr>
                <w:b/>
                <w:color w:val="FFFFFF"/>
                <w:sz w:val="16"/>
              </w:rPr>
              <w:t>Value</w:t>
            </w:r>
          </w:p>
        </w:tc>
      </w:tr>
      <w:tr>
        <w:tc>
          <w:tcPr>
            <w:tcW w:type="dxa" w:w="3168"/>
            <w:shd w:val="clear" w:color="auto" w:fill="FFFFFF"/>
          </w:tcPr>
          <w:p>
            <w:r>
              <w:rPr>
                <w:b/>
                <w:sz w:val="16"/>
              </w:rPr>
              <w:t>Risk ID</w:t>
            </w:r>
          </w:p>
        </w:tc>
        <w:tc>
          <w:tcPr>
            <w:tcW w:type="dxa" w:w="6624"/>
            <w:shd w:val="clear" w:color="auto" w:fill="FFFFFF"/>
          </w:tcPr>
          <w:p>
            <w:r>
              <w:rPr>
                <w:sz w:val="16"/>
              </w:rPr>
              <w:t>RISK-20</w:t>
            </w:r>
          </w:p>
        </w:tc>
      </w:tr>
      <w:tr>
        <w:tc>
          <w:tcPr>
            <w:tcW w:type="dxa" w:w="3168"/>
            <w:shd w:val="clear" w:color="auto" w:fill="F5F5F5"/>
          </w:tcPr>
          <w:p>
            <w:r>
              <w:rPr>
                <w:b/>
                <w:sz w:val="16"/>
              </w:rPr>
              <w:t>Severity</w:t>
            </w:r>
          </w:p>
        </w:tc>
        <w:tc>
          <w:tcPr>
            <w:tcW w:type="dxa" w:w="6624"/>
            <w:shd w:val="clear" w:color="auto" w:fill="F5F5F5"/>
          </w:tcPr>
          <w:p>
            <w:r>
              <w:rPr>
                <w:sz w:val="16"/>
              </w:rPr>
              <w:t>HIGH — BLOCKING for tooling release</w:t>
            </w:r>
          </w:p>
        </w:tc>
      </w:tr>
      <w:tr>
        <w:tc>
          <w:tcPr>
            <w:tcW w:type="dxa" w:w="3168"/>
            <w:shd w:val="clear" w:color="auto" w:fill="FFFFFF"/>
          </w:tcPr>
          <w:p>
            <w:r>
              <w:rPr>
                <w:b/>
                <w:sz w:val="16"/>
              </w:rPr>
              <w:t>Root cause</w:t>
            </w:r>
          </w:p>
        </w:tc>
        <w:tc>
          <w:tcPr>
            <w:tcW w:type="dxa" w:w="6624"/>
            <w:shd w:val="clear" w:color="auto" w:fill="FFFFFF"/>
          </w:tcPr>
          <w:p>
            <w:r>
              <w:rPr>
                <w:sz w:val="16"/>
              </w:rPr>
              <w:t>Moulded CFRP typically achieves Ra 1.6–3.2 µm. Gasket seal requires Ra ≤ 1.6 µm at slot rim. Gap between achievable and required finish is unconfirmed.</w:t>
            </w:r>
          </w:p>
        </w:tc>
      </w:tr>
      <w:tr>
        <w:tc>
          <w:tcPr>
            <w:tcW w:type="dxa" w:w="3168"/>
            <w:shd w:val="clear" w:color="auto" w:fill="F5F5F5"/>
          </w:tcPr>
          <w:p>
            <w:r>
              <w:rPr>
                <w:b/>
                <w:sz w:val="16"/>
              </w:rPr>
              <w:t>Mitigation action</w:t>
            </w:r>
          </w:p>
        </w:tc>
        <w:tc>
          <w:tcPr>
            <w:tcW w:type="dxa" w:w="6624"/>
            <w:shd w:val="clear" w:color="auto" w:fill="F5F5F5"/>
          </w:tcPr>
          <w:p>
            <w:r>
              <w:rPr>
                <w:sz w:val="16"/>
              </w:rPr>
              <w:t>Obtain written confirmation from CFRP shell tooling supplier (SUP-M-07 + SUP-B-01) that Ra ≤ 1.6 µm is achievable by moulding, or define and cost a secondary operation.</w:t>
            </w:r>
          </w:p>
        </w:tc>
      </w:tr>
      <w:tr>
        <w:tc>
          <w:tcPr>
            <w:tcW w:type="dxa" w:w="3168"/>
            <w:shd w:val="clear" w:color="auto" w:fill="FFFFFF"/>
          </w:tcPr>
          <w:p>
            <w:r>
              <w:rPr>
                <w:b/>
                <w:sz w:val="16"/>
              </w:rPr>
              <w:t>Mitigation document</w:t>
            </w:r>
          </w:p>
        </w:tc>
        <w:tc>
          <w:tcPr>
            <w:tcW w:type="dxa" w:w="6624"/>
            <w:shd w:val="clear" w:color="auto" w:fill="FFFFFF"/>
          </w:tcPr>
          <w:p>
            <w:r>
              <w:rPr>
                <w:sz w:val="16"/>
              </w:rPr>
              <w:t>This document (NP-PROC-SUP-001), item SUP-M-07 and SUP-B-01</w:t>
            </w:r>
          </w:p>
        </w:tc>
      </w:tr>
      <w:tr>
        <w:tc>
          <w:tcPr>
            <w:tcW w:type="dxa" w:w="3168"/>
            <w:shd w:val="clear" w:color="auto" w:fill="F5F5F5"/>
          </w:tcPr>
          <w:p>
            <w:r>
              <w:rPr>
                <w:b/>
                <w:sz w:val="16"/>
              </w:rPr>
              <w:t>Also referenced in</w:t>
            </w:r>
          </w:p>
        </w:tc>
        <w:tc>
          <w:tcPr>
            <w:tcW w:type="dxa" w:w="6624"/>
            <w:shd w:val="clear" w:color="auto" w:fill="F5F5F5"/>
          </w:tcPr>
          <w:p>
            <w:r>
              <w:rPr>
                <w:sz w:val="16"/>
              </w:rPr>
              <w:t>NP-TOOL-ZM-001 §5 OI-1; NP-COORD-001 G2 gate</w:t>
            </w:r>
          </w:p>
        </w:tc>
      </w:tr>
      <w:tr>
        <w:tc>
          <w:tcPr>
            <w:tcW w:type="dxa" w:w="3168"/>
            <w:shd w:val="clear" w:color="auto" w:fill="FFFFFF"/>
          </w:tcPr>
          <w:p>
            <w:r>
              <w:rPr>
                <w:b/>
                <w:sz w:val="16"/>
              </w:rPr>
              <w:t>Confirmation status</w:t>
            </w:r>
          </w:p>
        </w:tc>
        <w:tc>
          <w:tcPr>
            <w:tcW w:type="dxa" w:w="6624"/>
            <w:shd w:val="clear" w:color="auto" w:fill="FFFFFF"/>
            <w:shd w:val="clear" w:color="auto" w:fill="FFF2CC"/>
          </w:tcPr>
          <w:p>
            <w:r>
              <w:rPr>
                <w:sz w:val="16"/>
              </w:rPr>
              <w:t>OPEN — awaiting supplier engagement</w:t>
            </w:r>
          </w:p>
        </w:tc>
      </w:tr>
      <w:tr>
        <w:tc>
          <w:tcPr>
            <w:tcW w:type="dxa" w:w="3168"/>
            <w:shd w:val="clear" w:color="auto" w:fill="F5F5F5"/>
          </w:tcPr>
          <w:p>
            <w:r>
              <w:rPr>
                <w:b/>
                <w:sz w:val="16"/>
              </w:rPr>
              <w:t>Supplier contacted</w:t>
            </w:r>
          </w:p>
        </w:tc>
        <w:tc>
          <w:tcPr>
            <w:tcW w:type="dxa" w:w="6624"/>
            <w:shd w:val="clear" w:color="auto" w:fill="F5F5F5"/>
          </w:tcPr>
          <w:p>
            <w:r>
              <w:rPr>
                <w:sz w:val="16"/>
              </w:rPr>
              <w:t>(complete when engagement begins)</w:t>
            </w:r>
          </w:p>
        </w:tc>
      </w:tr>
      <w:tr>
        <w:tc>
          <w:tcPr>
            <w:tcW w:type="dxa" w:w="3168"/>
            <w:shd w:val="clear" w:color="auto" w:fill="FFFFFF"/>
          </w:tcPr>
          <w:p>
            <w:r>
              <w:rPr>
                <w:b/>
                <w:sz w:val="16"/>
              </w:rPr>
              <w:t>Confirmation received</w:t>
            </w:r>
          </w:p>
        </w:tc>
        <w:tc>
          <w:tcPr>
            <w:tcW w:type="dxa" w:w="6624"/>
            <w:shd w:val="clear" w:color="auto" w:fill="FFFFFF"/>
          </w:tcPr>
          <w:p>
            <w:r>
              <w:rPr>
                <w:sz w:val="16"/>
              </w:rPr>
              <w:t>☐ YES — date: ________   ☐ NO — secondary operation required</w:t>
            </w:r>
          </w:p>
        </w:tc>
      </w:tr>
      <w:tr>
        <w:tc>
          <w:tcPr>
            <w:tcW w:type="dxa" w:w="3168"/>
            <w:shd w:val="clear" w:color="auto" w:fill="F5F5F5"/>
          </w:tcPr>
          <w:p>
            <w:r>
              <w:rPr>
                <w:b/>
                <w:sz w:val="16"/>
              </w:rPr>
              <w:t>If secondary op required</w:t>
            </w:r>
          </w:p>
        </w:tc>
        <w:tc>
          <w:tcPr>
            <w:tcW w:type="dxa" w:w="6624"/>
            <w:shd w:val="clear" w:color="auto" w:fill="F5F5F5"/>
          </w:tcPr>
          <w:p>
            <w:r>
              <w:rPr>
                <w:sz w:val="16"/>
              </w:rPr>
              <w:t>Proposed operation: ________________  Cost impact: $______  Lead time: ______</w:t>
            </w:r>
          </w:p>
        </w:tc>
      </w:tr>
      <w:tr>
        <w:tc>
          <w:tcPr>
            <w:tcW w:type="dxa" w:w="3168"/>
            <w:shd w:val="clear" w:color="auto" w:fill="FFFFFF"/>
          </w:tcPr>
          <w:p>
            <w:r>
              <w:rPr>
                <w:b/>
                <w:sz w:val="16"/>
              </w:rPr>
              <w:t>ME sign-off</w:t>
            </w:r>
          </w:p>
        </w:tc>
        <w:tc>
          <w:tcPr>
            <w:tcW w:type="dxa" w:w="6624"/>
            <w:shd w:val="clear" w:color="auto" w:fill="FFFFFF"/>
          </w:tcPr>
          <w:p>
            <w:r>
              <w:rPr>
                <w:sz w:val="16"/>
              </w:rPr>
              <w:t>(sign when confirmed)</w:t>
            </w:r>
          </w:p>
        </w:tc>
      </w:tr>
      <w:tr>
        <w:tc>
          <w:tcPr>
            <w:tcW w:type="dxa" w:w="3168"/>
            <w:shd w:val="clear" w:color="auto" w:fill="F5F5F5"/>
          </w:tcPr>
          <w:p>
            <w:r>
              <w:rPr>
                <w:b/>
                <w:sz w:val="16"/>
              </w:rPr>
              <w:t>EE sign-off</w:t>
            </w:r>
          </w:p>
        </w:tc>
        <w:tc>
          <w:tcPr>
            <w:tcW w:type="dxa" w:w="6624"/>
            <w:shd w:val="clear" w:color="auto" w:fill="F5F5F5"/>
          </w:tcPr>
          <w:p>
            <w:r>
              <w:rPr>
                <w:sz w:val="16"/>
              </w:rPr>
              <w:t>(sign when confirmed)</w:t>
            </w:r>
          </w:p>
        </w:tc>
      </w:tr>
      <w:tr>
        <w:tc>
          <w:tcPr>
            <w:tcW w:type="dxa" w:w="3168"/>
            <w:shd w:val="clear" w:color="auto" w:fill="FFFFFF"/>
          </w:tcPr>
          <w:p>
            <w:r>
              <w:rPr>
                <w:b/>
                <w:sz w:val="16"/>
              </w:rPr>
              <w:t>Risk closed?</w:t>
            </w:r>
          </w:p>
        </w:tc>
        <w:tc>
          <w:tcPr>
            <w:tcW w:type="dxa" w:w="6624"/>
            <w:shd w:val="clear" w:color="auto" w:fill="FFFFFF"/>
          </w:tcPr>
          <w:p>
            <w:r>
              <w:rPr>
                <w:sz w:val="16"/>
              </w:rPr>
              <w:t>☐ YES — date: ________   ☐ NO — still open</w:t>
            </w:r>
          </w:p>
        </w:tc>
      </w:tr>
    </w:tbl>
    <w:p/>
    <w:p>
      <w:r>
        <w:rPr>
          <w:b/>
          <w:color w:val="1F497D"/>
          <w:sz w:val="24"/>
        </w:rPr>
        <w:t>10.  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576"/>
            <w:shd w:val="clear" w:color="auto" w:fill="1F497D"/>
          </w:tcPr>
          <w:p>
            <w:r>
              <w:rPr>
                <w:b/>
                <w:color w:val="FFFFFF"/>
                <w:sz w:val="16"/>
              </w:rPr>
              <w:t>Rev</w:t>
            </w:r>
          </w:p>
        </w:tc>
        <w:tc>
          <w:tcPr>
            <w:tcW w:type="dxa" w:w="1440"/>
            <w:shd w:val="clear" w:color="auto" w:fill="1F497D"/>
          </w:tcPr>
          <w:p>
            <w:r>
              <w:rPr>
                <w:b/>
                <w:color w:val="FFFFFF"/>
                <w:sz w:val="16"/>
              </w:rPr>
              <w:t>Date</w:t>
            </w:r>
          </w:p>
        </w:tc>
        <w:tc>
          <w:tcPr>
            <w:tcW w:type="dxa" w:w="7200"/>
            <w:shd w:val="clear" w:color="auto" w:fill="1F497D"/>
          </w:tcPr>
          <w:p>
            <w:r>
              <w:rPr>
                <w:b/>
                <w:color w:val="FFFFFF"/>
                <w:sz w:val="16"/>
              </w:rPr>
              <w:t>Changes</w:t>
            </w:r>
          </w:p>
        </w:tc>
        <w:tc>
          <w:tcPr>
            <w:tcW w:type="dxa" w:w="1296"/>
            <w:shd w:val="clear" w:color="auto" w:fill="1F497D"/>
          </w:tcPr>
          <w:p>
            <w:r>
              <w:rPr>
                <w:b/>
                <w:color w:val="FFFFFF"/>
                <w:sz w:val="16"/>
              </w:rPr>
              <w:t>Author</w:t>
            </w:r>
          </w:p>
        </w:tc>
      </w:tr>
      <w:tr>
        <w:tc>
          <w:tcPr>
            <w:tcW w:type="dxa" w:w="576"/>
            <w:shd w:val="clear" w:color="auto" w:fill="FFFFFF"/>
          </w:tcPr>
          <w:p>
            <w:r>
              <w:rPr>
                <w:b/>
                <w:sz w:val="16"/>
              </w:rPr>
              <w:t>A</w:t>
            </w:r>
          </w:p>
        </w:tc>
        <w:tc>
          <w:tcPr>
            <w:tcW w:type="dxa" w:w="1440"/>
            <w:shd w:val="clear" w:color="auto" w:fill="FFFFFF"/>
          </w:tcPr>
          <w:p>
            <w:r>
              <w:rPr>
                <w:sz w:val="16"/>
              </w:rPr>
              <w:t>2026-05-06</w:t>
            </w:r>
          </w:p>
        </w:tc>
        <w:tc>
          <w:tcPr>
            <w:tcW w:type="dxa" w:w="7200"/>
            <w:shd w:val="clear" w:color="auto" w:fill="FFFFFF"/>
          </w:tcPr>
          <w:p>
            <w:r>
              <w:rPr>
                <w:sz w:val="16"/>
              </w:rPr>
              <w:t>Initial release. Covers CAT-A (injection moulding + co-moulding), CAT-B (CFRP shell), CAT-C (PDMS bonding). SUP-M-07 and SUP-B-01 added as BLOCKING items for RISK-20 mitigation. §9 tracks RISK-20 mitigation status.</w:t>
            </w:r>
          </w:p>
        </w:tc>
        <w:tc>
          <w:tcPr>
            <w:tcW w:type="dxa" w:w="1296"/>
            <w:shd w:val="clear" w:color="auto" w:fill="FFFFFF"/>
          </w:tcPr>
          <w:p>
            <w:r>
              <w:rPr>
                <w:sz w:val="16"/>
              </w:rPr>
              <w:t>Claude/ME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