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</w:pPr>
      <w:r/>
      <w:r>
        <w:rPr>
          <w:b/>
          <w:color w:val="CC0000"/>
          <w:sz w:val="36"/>
        </w:rPr>
        <w:t xml:space="preserve">SUPERSEDED — </w:t>
      </w:r>
    </w:p>
    <w:p>
      <w:pPr>
        <w:spacing w:after="70" w:before="0"/>
        <w:jc w:val="center"/>
      </w:pPr>
      <w:r>
        <w:rPr>
          <w:rFonts w:ascii="Arial" w:cs="Arial" w:eastAsia="Arial" w:hAnsi="Arial"/>
          <w:b/>
          <w:bCs/>
          <w:color w:val="0F6E56"/>
          <w:sz w:val="64"/>
          <w:szCs w:val="64"/>
        </w:rPr>
        <w:t xml:space="preserve">NeuroPulse</w:t>
      </w:r>
    </w:p>
    <w:p>
      <w:pPr>
        <w:spacing w:after="70" w:before="0"/>
        <w:jc w:val="center"/>
      </w:pPr>
      <w:r>
        <w:rPr>
          <w:rFonts w:ascii="Arial" w:cs="Arial" w:eastAsia="Arial" w:hAnsi="Arial"/>
          <w:b/>
          <w:bCs/>
          <w:color w:val="534AB7"/>
          <w:sz w:val="36"/>
          <w:szCs w:val="36"/>
        </w:rPr>
        <w:t xml:space="preserve">Master Design Brief — Revision 3</w:t>
      </w:r>
    </w:p>
    <w:p>
      <w:pPr>
        <w:spacing w:after="60" w:before="0"/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Closed-Loop Multi-Modal Neuromodulation Platform</w:t>
      </w:r>
    </w:p>
    <w:p>
      <w:pPr>
        <w:spacing w:after="280" w:before="0"/>
        <w:jc w:val="center"/>
      </w:pPr>
      <w:r>
        <w:rPr>
          <w:rFonts w:ascii="Arial" w:cs="Arial" w:eastAsia="Arial" w:hAnsi="Arial"/>
          <w:color w:val="999999"/>
          <w:sz w:val="17"/>
          <w:szCs w:val="17"/>
        </w:rPr>
        <w:t xml:space="preserve">May 4, 2026  ·  Revision 3 — incorporates all decisions through current session</w:t>
      </w: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0F6E56"/>
          <w:sz w:val="34"/>
          <w:szCs w:val="34"/>
        </w:rPr>
        <w:t xml:space="preserve">Revision 3 — Key Additions Since Revision 2</w:t>
      </w:r>
    </w:p>
    <w:p>
      <w:pPr>
        <w:spacing w:after="0" w:before="40"/>
      </w:pPr>
      <w:r>
        <w:t xml:space="preserve"/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40"/>
        <w:gridCol w:w="5940"/>
      </w:tblGrid>
      <w:tr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Category</w:t>
            </w:r>
          </w:p>
        </w:tc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New decisions added</w:t>
            </w:r>
          </w:p>
        </w:tc>
      </w:tr>
      <w:tr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UHDR / SHDR data architecture</w:t>
            </w:r>
          </w:p>
        </w:tc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Complete UHDR/SHDR terminology framework. SHDR linked to device ID + warranty owner only — never user identity. UHDR encrypted with user-held key. Separate eMMC partitions from first firmware line. All boundary cases resolved by derivation rule. Session count in SHDR is unsigned integer with no user link.</w:t>
            </w:r>
          </w:p>
        </w:tc>
      </w:tr>
      <w:tr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Clinical consent engine</w:t>
            </w:r>
          </w:p>
        </w:tc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Use case library (9 defined use cases). Minimum necessary data mapper. Plain-language consent document generator (not legal forms). Subscription tiers (Monitor $49, Assess $149, Full Clinical $299, Research $599/mo). Expansion workflow with differential consent and 'approve with questions' path.</w:t>
            </w:r>
          </w:p>
        </w:tc>
      </w:tr>
      <w:tr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Research consent + partnership</w:t>
            </w:r>
          </w:p>
        </w:tc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Three a priori consent layers (contact, category, blanket). 9 research categories. Blanket consent still receives per-study engagement notifications. Results opt-in (plain-language summary + paper link + null result notifications). Study suggestion portal (votes, participation intent, pledges). Crowdfunding mechanics (pledge → pilot → grant catalyst). POA workflow with human document review. Researcher portal with pre-identified cohort data.</w:t>
            </w:r>
          </w:p>
        </w:tc>
      </w:tr>
      <w:tr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Durability engineering</w:t>
            </w:r>
          </w:p>
        </w:tc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ITO → AgNW lens coating. Hard clamshell case replaces pouch. Intranasal probe hub dock. Palladium fabric (replaces silver — marketing differentiator + fleet-verified claim). N52 → N42 magnets. 1,000-cycle zone connectors. Interface protection covers (all tethered). Braided aramid USB-C cable. MagSafe hard gold contacts. 22F supercapacitor. IPX4 target. Audio cup user-replaceable mesh frame + mesh cleaning brush.</w:t>
            </w:r>
          </w:p>
        </w:tc>
      </w:tr>
      <w:tr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Calibration + self-maintenance</w:t>
            </w:r>
          </w:p>
        </w:tc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Reference photodiode per zone (eliminates 3-year service calibration visit). Plasma-activated anti-fouling PDMS. Fluxgate zero-field nulling + geomagnetic comparison. Hub NTC cross-calibration of headset NTCs. ADS1299 internal reference self-calibration at session start. EC lens transition time monitoring for contact resistance. Audio cup driver impedance monitoring for mesh fouling. Probe tip reference LED at probe base.</w:t>
            </w:r>
          </w:p>
        </w:tc>
      </w:tr>
      <w:tr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Software resilience</w:t>
            </w:r>
          </w:p>
        </w:tc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Dual-bank OTA firmware (Bank A runs while Bank B staged, cryptographic verification before switch). USB-C DFU recovery mode. Safety MCU firmware only updated in maintenance mode. Industrial eMMC + LittleFS. Firmware partition write-protected. Automated nightly incremental UHDR backup. Cloud service commitment in warranty. 7-day OS compatibility SLA. New device migration prompt.</w:t>
            </w:r>
          </w:p>
        </w:tc>
      </w:tr>
      <w:tr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Service network</w:t>
            </w:r>
          </w:p>
        </w:tc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Tier A optical centers (S3 Rx + lens + calibration, 4-hr cert, $400–600 equipment). Tier B electronics repair (FPC, DFU, data recovery, 6-hr cert). Tier C retail triage (Best Buy Geek Squad type, 2-hr cert, no equipment). NeuroPulse depot (backstop + T2 loaner). Sliding rail lens mount (user self-install). Lever ZIF connectors (user zone module swap). Tool-free hub fan. Design changes reduce service dependency substantially.</w:t>
            </w:r>
          </w:p>
        </w:tc>
      </w:tr>
      <w:tr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Box contents (updated)</w:t>
            </w:r>
          </w:p>
        </w:tc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Hard clamshell case (replaces pouch). Braided aramid USB-C cable (spare included). 45W GaN charger (branded NeuroPulse). Mesh cleaning brush. Boa replacement cable + hook tool. Moisture-barrier electrode tip hydration caps. Humidity indicator card. Pre-impregnated cleaning cloth packets. Interface covers (installed + one spare set each type).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0F6E56"/>
          <w:sz w:val="34"/>
          <w:szCs w:val="34"/>
        </w:rPr>
        <w:t xml:space="preserve">1. Executive Summary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40"/>
        <w:gridCol w:w="5940"/>
      </w:tblGrid>
      <w:tr>
        <w:tc>
          <w:tcPr>
            <w:tcW w:type="dxa" w:w="5940"/>
            <w:tcBorders>
              <w:top w:val="single" w:color="0F6E56" w:sz="3"/>
              <w:left w:val="single" w:color="CCCCCC" w:sz="1"/>
              <w:bottom w:val="single" w:color="CCCCCC" w:sz="1"/>
              <w:right w:val="single" w:color="CCCCCC" w:sz="1"/>
            </w:tcBorders>
            <w:shd w:fill="F4FA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0F6E56"/>
                <w:sz w:val="24"/>
                <w:szCs w:val="24"/>
              </w:rPr>
              <w:t xml:space="preserve">NeuroPulse Home — Tier 1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Consumer wellness · FDA-exempt · 8 modalities · $449–$1,199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600 LEDs (300×660nm + 300×810nm) on FPC zone strips — uniform field, 80,000-hr lifetime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400 mW/cm² peak pulsed irradiance (firmware-only, $0 BOM) — matches Vielight Neuro Pro 2 headline spec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8-channel semi-dry EEG, autonomous closed-loop EEG-adaptive stimulation without phone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5-layer EMF shielding + active Helmholtz cancellation — only consumer brain wearable with measured shielding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Pricing: $449 Core · $599 Lite · $849 Standard ★ · $1,199 Premium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No mandatory subscription. All core functions offline-capable permanently.</w:t>
            </w:r>
          </w:p>
        </w:tc>
        <w:tc>
          <w:tcPr>
            <w:tcW w:type="dxa" w:w="5940"/>
            <w:tcBorders>
              <w:top w:val="single" w:color="534AB7" w:sz="3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534AB7"/>
                <w:sz w:val="24"/>
                <w:szCs w:val="24"/>
              </w:rPr>
              <w:t xml:space="preserve">NeuroPulse Pro — Tier 2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Clinical/research · FDA 510(k) target · all modalities · $4,999–$13,999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21-channel qEEG wet gel: full 10-20 + FC3/FC4 (M1 TMS targeting) + Oz (photoparoxysmal) + A1/A2 (normative database reference)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TMS focal figure-8 coil (rTMS/TBS) · 1170nm deep PBM (35–40mm subcortical) · clinical tACS ≤4mA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HIPAA cloud · EHR (FHIR R4) · multi-patient dashboard · sLORETA source imaging · LSL streaming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Pricing: $4,999 Pro Entry · $13,999 Pro Full · $1,800/yr service (same-day loaner)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CPT 90867–90869 TMS reimbursement · 510(k) pathway 18–36 months · $2–5M budget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0F6E56"/>
          <w:sz w:val="34"/>
          <w:szCs w:val="34"/>
        </w:rPr>
        <w:t xml:space="preserve">2. Data Architecture — UHDR / SHDR Framework</w:t>
      </w:r>
    </w:p>
    <w:p>
      <w:pPr>
        <w:spacing w:after="0" w:before="40"/>
      </w:pPr>
      <w:r>
        <w:t xml:space="preserve"/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968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Record type</w:t>
            </w:r>
          </w:p>
        </w:tc>
        <w:tc>
          <w:tcPr>
            <w:tcW w:type="dxa" w:w="9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Definition, contents, access, and storage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534AB7"/>
                <w:sz w:val="17"/>
                <w:szCs w:val="17"/>
              </w:rPr>
              <w:t xml:space="preserve">UHDR — User Health Data Record
(user's property, never accessed by NeuroPulse)</w:t>
            </w:r>
          </w:p>
        </w:tc>
        <w:tc>
          <w:tcPr>
            <w:tcW w:type="dxa" w:w="9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DEFINITION: Any record describing the user's biological state, cognitive function, therapeutic response, or health outcomes. Defining test: does this record tell us something about the person? If yes → UHDR.
CONTENTS: EEG waveforms (all channels) · HRV time series · PPG optical signal · Neurofeedback performance scores · Session timestamps and duration · Protocol parameters used per session · Closed-loop adaptation events · PBM dose (J/cm²) per zone · User-entered symptom/outcome logs · Eye-open/closed state during sessions.
ACCESS: User (always, unconditionally). Clinicians (per-element, per-use-case consent, time-limited, audited, revocable). Researchers (anonymised aggregate, separate IRB + explicit research consent). NeuroPulse: NEVER.
STORAGE: On-device eMMC UHDR partition, AES-256 encrypted with user biometric-derived key. NeuroPulse does not hold decryption key. Optional E2E encrypted cloud backup (user-held key). Automatic incremental backup on USB-C connect.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A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7"/>
                <w:szCs w:val="17"/>
              </w:rPr>
              <w:t xml:space="preserve">SHDR — System Health Data Record
(NeuroPulse property, never linked to user identity)</w:t>
            </w:r>
          </w:p>
        </w:tc>
        <w:tc>
          <w:tcPr>
            <w:tcW w:type="dxa" w:w="9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DEFINITION: Any record describing device performance, wear state, and operational history — independent of who is wearing it. Defining test: does this tell us something about the device's condition, containing nothing that reveals user biology? If yes → SHDR.
CONTENTS: LED output ratio per zone · NTC temperature profiles · EMF shielding attenuation ratio · Device session count (unsigned integer, no timestamps) · Consumable session counts per component · USB-C insertion counter · PD negotiation log · Impact events (g-force, orientation — between sessions only) · Fan RPM · Supercapacitor cycles · Firmware version history · OTA success/failure log · Accessory authentication pass/fail · Calibration coefficient history.
ACCESS: NeuroPulse (fleet database, maintenance prediction, reliability improvement). Warranty owner (maintenance alerts derived from SHDR). Researchers (aggregate only, per data sharing agreement).
LINKAGE: SHDR is linked to device ID + warranty owner ID only. Never to user identity. The SHDR database and UHDR storage share no common identifier — they cannot be joined.
STORAGE: On-device eMMC SHDR partition, separate encryption from UHDR. Uploaded to NeuroPulse fleet database on USB-C connect (warranty consent required).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Boundary case resolution rule</w:t>
            </w:r>
          </w:p>
        </w:tc>
        <w:tc>
          <w:tcPr>
            <w:tcW w:type="dxa" w:w="9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When in doubt → classify as UHDR. Reclassification to SHDR requires positive demonstration of no user biology content.
SPECIFIC RESOLUTIONS: Raw EEG impedance (reflects user scalp biology) → UHDR. Derived trend slope across sessions (reflects electrode tip condition only) → SHDR. Raw accelerometer during active sessions → UHDR. Impact events detected between sessions → SHDR. Raw ambient light values (reveal when/where user uses device) → UHDR. Cumulative UV exposure index (single dimensionless engineering number) → SHDR. Raw VNS contact impedance → UHDR. Contact resistance trend → SHDR. IR eye state during sessions → UHDR. Safety interlock log (device behaviour record) → SHDR.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0F6E56"/>
          <w:sz w:val="34"/>
          <w:szCs w:val="34"/>
        </w:rPr>
        <w:t xml:space="preserve">3. Clinical Consent Engine</w:t>
      </w:r>
    </w:p>
    <w:p>
      <w:pPr>
        <w:spacing w:after="0" w:before="40"/>
      </w:pPr>
      <w:r>
        <w:t xml:space="preserve"/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2800"/>
        <w:gridCol w:w="2400"/>
        <w:gridCol w:w="32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Subscription tier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Price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Use cases included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UHDR elements accessible (with user consent)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Target clinician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Monitor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$49/mo/patient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Treatment adherence monitoring · Protocol compliance tracking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Session timestamps · Session duration · Protocol parameters used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Primary care, wellness providers, care coordinators checking adherence between visits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Assess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$149/mo/patient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Monitor + EEG session review · Neurofeedback performance · Treatment efficacy tracking · Sleep session monitoring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Adds: EEG waveforms · Neurofeedback performance scores · PBM dose logs · Eye-state during session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Neurologists, psychiatrists, EEG specialists, sleep clinicians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Full Clinical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$299/mo/patient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Assess + Autonomic monitoring (HRV) · Closed-loop response review · Patient-reported outcomes · TMS response monitoring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Adds: HRV time series · PPG optical signal · Closed-loop adaptation events · User-entered symptom logs (if separately consented) · EEG FC3/FC4 channels specifically for TMS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Tier 2 neuromodulation programmes, TMS clinics, integrative psychiatry, Parkinson's specialists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Research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$599/mo/study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IRB-defined custom use case combination (reviewed by NeuroPulse before activation)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IRB-approved minimum necessary set only · Anonymised output · k-anonymity ≥10 required · No individual identifiers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Academic clinical trials · IRB-approved observational studies · Population meta-analysis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Style w:val="Heading2"/>
        <w:spacing w:after="90" w:before="240"/>
      </w:pPr>
      <w:r>
        <w:rPr>
          <w:rFonts w:ascii="Arial" w:cs="Arial" w:eastAsia="Arial" w:hAnsi="Arial"/>
          <w:b/>
          <w:bCs/>
          <w:color w:val="534AB7"/>
          <w:sz w:val="24"/>
          <w:szCs w:val="24"/>
        </w:rPr>
        <w:t xml:space="preserve">3.1 A Priori Research Consent — Four Onboarding Screens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400"/>
        <w:gridCol w:w="2400"/>
        <w:gridCol w:w="308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Layer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Question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If yes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If no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Effect on device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534AB7"/>
                <w:sz w:val="17"/>
                <w:szCs w:val="17"/>
              </w:rPr>
              <w:t xml:space="preserve">L1 — Contact consent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Can we contact you about future research opportunities?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Provide preferred contact method + frequency limit. POA holders upload POA document (human review, 3 business days). All research contact goes to POA holder if applicable.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No research contact sent. Category and blanket consents still recorded. Changeable at any time.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None — device fully functional regardless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534AB7"/>
                <w:sz w:val="17"/>
                <w:szCs w:val="17"/>
              </w:rPr>
              <w:t xml:space="preserve">L2 — Category consent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Which research areas would you broadly support? (9 categories: AD/dementia, Depression, PTSD, TBI, Sleep, Attention, Parkinson's, Healthy ageing, Visual health)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Receives per-project contact requests only for studies in selected categories. Each contact is a fresh per-project decision — no data shared until per-project consent given.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Not contacted for that category. Other categories unaffected. Category selections changeable anytime.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None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534AB7"/>
                <w:sz w:val="17"/>
                <w:szCs w:val="17"/>
              </w:rPr>
              <w:t xml:space="preserve">L3 — Blanket consent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Do you pre-approve all NeuroPulse-reviewed research uses of your anonymised data?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Data included in all reviewed studies. STILL receives per-study engagement notifications (not consent requests — the patient is kept informed and can opt out per-study). Anonymisation standard: k≥10, no device/user ID, no sub-weekly timestamps, no sub-regional geography.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Per-category and per-project process applies. Not a lesser choice — equal in NeuroPulse's treatment.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None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534AB7"/>
                <w:sz w:val="17"/>
                <w:szCs w:val="17"/>
              </w:rPr>
              <w:t xml:space="preserve">L4 — Results + community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Would you like to hear study results? Would you like to join the suggestion portal?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Plain-language results notification per contributed study (including null results) + paper link. Access to suggestion/voting/pledge/crowdfunding portal. Suggestions visible to researcher community.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No results contact. No portal access. Both changeable at any time in Settings → Research + Privacy.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None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0F6E56"/>
          <w:sz w:val="34"/>
          <w:szCs w:val="34"/>
        </w:rPr>
        <w:t xml:space="preserve">4. Configurations + Pricing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"/>
        <w:gridCol w:w="800"/>
        <w:gridCol w:w="800"/>
        <w:gridCol w:w="700"/>
        <w:gridCol w:w="3000"/>
        <w:gridCol w:w="428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Configuration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BOM est.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COGS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Retail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GM%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Included modalities + key items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Target customer + justification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Core — EEG only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$165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$255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$449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43%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4-ch EEG · all connectivity (USB-C/BT/Wi-Fi) · EMF shielding (palladium fabric) · full processor stack · 8GB eMMC · hard clamshell case · interface covers (installed + spare set) · braided aramid cable · 45W GaN charger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Cautious entry buyer. Neurofeedback baseline. B2B modular base unit. Establishes field upgrade path.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Home Lite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$260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$365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$599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39%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Core + PBM 5 zones (660+810nm, 600 LEDs FPC, 400 mW/cm² peak pulsed) · 8-ch EEG · VNS+HRV auricular clip (A1/A2 EEG references included)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Wellness-focused consumer. First meaningful PBM config. Targets Neuronic/Vielight alternative seekers below $600.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Home Standard ★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$395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$530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$849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38%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T1 modalities: PBM 600 LEDs · intranasal bilateral 2λ 3-depth · 8-ch EEG · BES · tDCS · VNS+HRV · audio cups (planar + bone conduction) · standard lens (35% VLT, 108 micro-LEDs/lens) · S1 opaque shade · all covers · hard case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Primary flagship. Biohacker 35–65. All T1 modalities. 50× more transcranial LEDs than Vielight at 17% of price. Primary marketing SKU. Full SHDR fleet telemetry + maintenance predictions.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Home Premium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$450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$610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$1,199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49%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T1 + EC lens upgrade (5–75% VLT bistable, +$89 value) · 2yr warranty · priority support · NeuroPulse-branded 45W GaN charger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High-income buyer, premium lens day-one. Highest T1 gross margin. EC lens + palladium fabric as premium differentiators.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Pro Entry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$820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$1,350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$4,999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73%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T1 + 21-ch qEEG wet gel (FC3/FC4/Oz/A1/A2) · 1170nm deep PBM LDs + TEC · clinical tACS ≤4mA 16-ch · HIPAA cloud · EDF+ · sLORETA source imaging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Neurology clinic, concussion rehab, academic PI (IRB exemption seeding). CPT 90867–90869 TMS eligible as add-on.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Pro Full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$1,480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$2,600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$13,999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81%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T2: Pro Entry + TMS focal figure-8 coil hub · multi-patient dashboard · research mode · LSL streaming · scripting API · FHIR R4 EHR · anonymised session tag for clinical multi-patient · $1,800/yr service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Academic medical centre, psychiatry clinic, neuromodulation research lab. Same-day loaner via service contract. Highest absolute gross margin.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0F6E56"/>
          <w:sz w:val="34"/>
          <w:szCs w:val="34"/>
        </w:rPr>
        <w:t xml:space="preserve">5. Durability + Maintenance Engineering</w:t>
      </w:r>
    </w:p>
    <w:p>
      <w:pPr>
        <w:spacing w:after="0" w:before="40"/>
      </w:pPr>
      <w:r>
        <w:t xml:space="preserve"/>
      </w:r>
    </w:p>
    <w:p>
      <w:pPr>
        <w:pStyle w:val="Heading2"/>
        <w:spacing w:after="90" w:before="240"/>
      </w:pPr>
      <w:r>
        <w:rPr>
          <w:rFonts w:ascii="Arial" w:cs="Arial" w:eastAsia="Arial" w:hAnsi="Arial"/>
          <w:b/>
          <w:bCs/>
          <w:color w:val="534AB7"/>
          <w:sz w:val="24"/>
          <w:szCs w:val="24"/>
        </w:rPr>
        <w:t xml:space="preserve">5.1 All design changes — status and impact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900"/>
        <w:gridCol w:w="1100"/>
        <w:gridCol w:w="708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Change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Status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BOM delta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Rationale + tooling timing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ITO → AgNW (silver nanowire) conductive lens coating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91F1F"/>
                <w:sz w:val="17"/>
                <w:szCs w:val="17"/>
              </w:rPr>
              <w:t xml:space="preserve">PRE-TOOLING CRITICAL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+$8–12/lens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ITO has 0.5% strain-to-failure — cracks on any flex or point impact. AgNW tolerates 5–10% flex, compatible with hard coat overlay, maintains 85–90% transmission. Must specify before lens tooling is cut.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Hard clamshell case replaces soft pouch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91F1F"/>
                <w:sz w:val="17"/>
                <w:szCs w:val="17"/>
              </w:rPr>
              <w:t xml:space="preserve">PRE-PRODUCTION CRITICAL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+$8–14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Lens scratching from bag contents certain within first month without case. Moulded case includes headset form, lens support, probe dock, accessories tray. Doubles as shipping container.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Intranasal probe hub dock (moulded)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91F1F"/>
                <w:sz w:val="17"/>
                <w:szCs w:val="17"/>
              </w:rPr>
              <w:t xml:space="preserve">PRE-TOOLING CRITICAL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Hub retool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Probe dropped probe-first fractures Y-junction. Hub dock is only reliable storage. Cannot be retrofitted — must be in hub tooling from day one.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Palladium-coated EMF shielding fabric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DECIDED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+$6/headset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Silver tarnishes 12–18 months daily sweat use. Palladium immune to tarnishing for device lifetime. Fleet SHDR shielding attenuation data will demonstrate stable performance over years — measurable, publishable marketing claim.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Reference photodiode per zone (behind PDMS window)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91F1F"/>
                <w:sz w:val="17"/>
                <w:szCs w:val="17"/>
              </w:rPr>
              <w:t xml:space="preserve">PRE-PCB LAYOUT CRITICAL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+$2 total (5 zones)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Detects LED output drift AND window fouling simultaneously. Eliminates 3-year service center calibration visit entirely. Most important single maintenance engineering decision.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Braided aramid USB-C cable + dual silicone strain relief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DECIDED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+$3–4/cable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Commodity cables fail at strain relief within 6–18 months. Braided aramid rated 50,000+ flex cycles. Spare in box. Most-handled component in the system.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MagSafe hard gold contact faces (&gt;0.5µm cobalt-alloyed)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PRE-PRODUCTION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+$1.20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Oxidised contacts raise resistance → power throttling during sessions. Hard gold resists wear 10× better than soft gold. 10,000-cycle rating at full current.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22F supercapacitor (from 10F)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DECIDED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+$1.80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Allows 50% capacitance degradation over 5 years while maintaining transient absorption. Hub NTC monitors temperature for aging estimation.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Dual-bank OTA firmware architecture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91F1F"/>
                <w:sz w:val="17"/>
                <w:szCs w:val="17"/>
              </w:rPr>
              <w:t xml:space="preserve">PRE-FIRMWARE CRITICAL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$0 (software)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Failed update bricking is 100% manufacturer-caused. Bank A runs while Bank B staged. Boot switches only after cryptographic hash verification. USB-C DFU recovery if both banks corrupted.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Industrial eMMC (SLC cache, 30,000+ P/E) + LittleFS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COMPONENT SELECTION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+$2.40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Consumer eMMC (1,000–3,000 P/E) may fail within 3–5 years at daily use. LittleFS manages bad blocks gracefully. Firmware partition write-protected.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Zone slot connectors: 1,000-cycle rated (Molex SlimStack)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91F1F"/>
                <w:sz w:val="17"/>
                <w:szCs w:val="17"/>
              </w:rPr>
              <w:t xml:space="preserve">PRE-PCB LAYOUT CRITICAL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+$2.00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Standard connectors rated 100–500 cycles — inadequate for modular users. Specify before PCB layout.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Interface protection covers (all tethered)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91F1F"/>
                <w:sz w:val="17"/>
                <w:szCs w:val="17"/>
              </w:rPr>
              <w:t xml:space="preserve">PRE-TOOLING CRITICAL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+$8–9 total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Zone plugs (Shore 30A silicone, 5 colours, IP54). Port covers (TPE + steel disc + silicone fins). Lens rim guards (Shore 85A TPU, clear). Anchor posts moulded into shell at zero cost if specified before first cut.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Audio cup user-replaceable snap-in mesh frame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PRE-TOOLING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+$0.60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Earwax degrades both acoustic and RF shielding functions simultaneously. Snap-in frame enables user cleaning and annual replacement ($9.99/pair).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Sliding rail lens mount (user self-install)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PRE-TOOLING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+$1.20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Eliminates lens alignment jig requirement. User slides damaged lens out, new lens in, clips retention tab. App validates via EC transition + micro-LED test. Eliminates Tier A installation service visits.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Lever-actuated ZIF connectors for zone modules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PRE-PCB LAYOUT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Included in connector upgrade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Standard ZIF requires tools and care. Lever-actuated ZIF with supplied lever tool enables user zone module self-service.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Automated nightly UHDR backup (incremental)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PRE-LAUNCH SOFTWARE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$0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When on USB-C power, silently encrypts and pushes new UHDRs to backup destination. Failure becomes hardware swap not data loss. Eliminates most data recovery service events.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N52 → N42 magnets in lens rim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DECIDED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−$0.80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N52 brittle under corner impact. N42 significantly more impact-tolerant with adequate holding force at slightly larger format.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ADS1299 internal reference self-calibration at session start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FIRMWARE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$0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Routes internal reference to all channels, measures gain/offset, applies correction coefficients. Eliminates EEG amplitude drift over device lifetime. Coefficients logged in SHDR.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Plasma-activated PDMS (anti-fouling) for optical windows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PRE-PRODUCTION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Minimal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Hydrophilic surface repels sebum fouling. Standard microfluidics treatment. Same material, surface treatment at manufacture.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0F6E56"/>
          <w:sz w:val="34"/>
          <w:szCs w:val="34"/>
        </w:rPr>
        <w:t xml:space="preserve">6. Service Network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2200"/>
        <w:gridCol w:w="1400"/>
        <w:gridCol w:w="1200"/>
        <w:gridCol w:w="1200"/>
        <w:gridCol w:w="268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Tier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Examples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Service tasks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Certification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Equipment cost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Revenue/yr at scale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Launch timing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Tier A — Optical centers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LensCrafters · Pearle Vision · Independent opticians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S3 Rx clip manufacture + fitting (primary) · Lens replacement (standard + EC) · Calibration (reference surface, app-guided)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4-hr initial · 1-hr annual online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$400–600 loaned calibration reference + $80–120 alignment jig (eliminated by sliding rail — jig becomes optional)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$8K–35K/yr at scale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Year 1 — already engaged via S3 Rx programme. Anchor of entire network.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Tier B — Electronics repair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uBreakiFix / Asurion · iFixit partners · Independent repair shops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Zone module FPC swap · Hub fan replacement · DFU firmware recovery · eMMC data recovery · Impact inspection · Fluxgate calibration (Helmholtz coil reference)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6-hr initial · 2-hr annual practical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Existing ESD workstation + eMMC recovery adapter ($150–200) + NeuroPulse DFU software (downloaded)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$4K–18K/yr at scale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Year 2 — major metros first, expand with fleet. Becomes primary for electronic failures.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Tier C — Retail triage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Best Buy Geek Squad · Apple Authorized Service Providers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Warranty intake + triage · Routing to Tier A/B · Consumable sales · DFU if trained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2-hr initial · 30-min annual online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None — partner app access only. Consumable stock.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$1K–7K/yr (triage fee + consumable margin)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Year 1–2 broadly — legitimacy signal, geographic coverage, routing function.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NeuroPulse Depot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Mail-in backstop for all cases local partners cannot handle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tasks. T2 same-day loaner. eMMC specialist recovery. Fluxgate precision calibration.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Full NeuroPulse internal training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equipment in-house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Highest margin per task — backstop role not primary channel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Day 1 — required before any device ships.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0F6E56"/>
          <w:sz w:val="34"/>
          <w:szCs w:val="34"/>
        </w:rPr>
        <w:t xml:space="preserve">7. Remaining Weaknesses + Open Risks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868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791F1F"/>
                <w:sz w:val="16"/>
                <w:szCs w:val="16"/>
              </w:rPr>
              <w:t xml:space="preserve">Severity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791F1F"/>
                <w:sz w:val="16"/>
                <w:szCs w:val="16"/>
              </w:rPr>
              <w:t xml:space="preserve">Issue</w:t>
            </w:r>
          </w:p>
        </w:tc>
        <w:tc>
          <w:tcPr>
            <w:tcW w:type="dxa" w:w="8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791F1F"/>
                <w:sz w:val="16"/>
                <w:szCs w:val="16"/>
              </w:rPr>
              <w:t xml:space="preserve">Current status + mitigation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791F1F"/>
                <w:sz w:val="17"/>
                <w:szCs w:val="17"/>
              </w:rPr>
              <w:t xml:space="preserve">CRITICAL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Zero published clinical trials — 35-trial gap vs Vielight</w:t>
            </w:r>
          </w:p>
        </w:tc>
        <w:tc>
          <w:tcPr>
            <w:tcW w:type="dxa" w:w="8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Every clinical adoption decision, press mention, and regulatory discussion will reference Vielight's 35+ RCTs against NeuroPulse's zero. SBIR Phase I + academic seeding strategy is correct but takes 2–3 years to produce published data. PRIORITY: Commission SBIR Phase I immediately. First contacts: Rashidi-Ranjbar (Toronto PBM MCI RCT), Jog (UCLA HD-tDCS), Naeser (VA Boston TBI/PTSD). The 33-entry bibliography supports 'consistent with established evidence on each component modality' framing at launch.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791F1F"/>
                <w:sz w:val="17"/>
                <w:szCs w:val="17"/>
              </w:rPr>
              <w:t xml:space="preserve">CRITICAL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400 mW/cm² regulatory opinion not yet obtained</w:t>
            </w:r>
          </w:p>
        </w:tc>
        <w:tc>
          <w:tcPr>
            <w:tcW w:type="dxa" w:w="8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This number cannot appear in any public-facing material, investor deck, or product spec sheet until outside regulatory counsel confirms it is consistent with FDA-exempt wellness positioning and does not implicitly adopt Vielight's medical indications under FTC implied claim doctrine. Commission immediately: $8,000–15,000, 3–5 weeks. Until opinion is in hand, all materials must use '200 mW/cm²' or omit irradiance entirely.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791F1F"/>
                <w:sz w:val="17"/>
                <w:szCs w:val="17"/>
              </w:rPr>
              <w:t xml:space="preserve">CRITICAL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'NeuroPulse' is an uncleared placeholder name</w:t>
            </w:r>
          </w:p>
        </w:tc>
        <w:tc>
          <w:tcPr>
            <w:tcW w:type="dxa" w:w="8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Trademark search and clearance in US, EU, Canada, Australia required before any external conversation — researcher outreach, investor pitch, crowdfunding design, regulatory filing. Budget $15,000–25,000. If name conflicts, better to know now than after any public exposure.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BF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7A4000"/>
                <w:sz w:val="17"/>
                <w:szCs w:val="17"/>
              </w:rPr>
              <w:t xml:space="preserve">MODERATE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Scientific Advisory Board not formed</w:t>
            </w:r>
          </w:p>
        </w:tc>
        <w:tc>
          <w:tcPr>
            <w:tcW w:type="dxa" w:w="8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Device markets multi-modal 40Hz neuromodulation without any SAB credentialing. Priority: Li-Huei Tsai (MIT, 40Hz GENUS founder) as SAB member — NOT trial PI (Cognito conflict). Contact: 617-324-0305. Glen Jeffery (UCL, retinal PBM) and Margaret Naeser (VA Boston) also natural SAB candidates. 5-person SAB: $50,000–80,000/yr. Must be announced before or concurrent with clinical researcher outreach.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BF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7A4000"/>
                <w:sz w:val="17"/>
                <w:szCs w:val="17"/>
              </w:rPr>
              <w:t xml:space="preserve">MODERATE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Vulnerable population edge cases in research consent</w:t>
            </w:r>
          </w:p>
        </w:tc>
        <w:tc>
          <w:tcPr>
            <w:tcW w:type="dxa" w:w="8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Depression/PTSD category patients who contribute data and later wish to withdraw may not understand that already-anonymised data cannot be removed from an ongoing study. Withdrawal flow must disclose at per-project consent: 'Once your anonymised data is included in a study, individual withdrawal is not possible — future contributions can always be stopped.' Required by research ethics (Common Rule) and must appear in consent document before IRB approval of any study using this platform.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BF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7A4000"/>
                <w:sz w:val="17"/>
                <w:szCs w:val="17"/>
              </w:rPr>
              <w:t xml:space="preserve">MODERATE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45W GaN charger not universally available</w:t>
            </w:r>
          </w:p>
        </w:tc>
        <w:tc>
          <w:tcPr>
            <w:tcW w:type="dxa" w:w="8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Full therapeutic PBM requires 45W USB-C PD. Users with only a 5V/2A phone charger get EEG-only mode. Decision: include branded 45W GaN charger in Home Standard box ($8–12 BOM). App clearly communicates 'power level: full therapeutic' vs 'power level: reduced' at session start. Eliminates friction at first use.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STRUCTURAL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Fluxgate calibration still requires service center visit</w:t>
            </w:r>
          </w:p>
        </w:tc>
        <w:tc>
          <w:tcPr>
            <w:tcW w:type="dxa" w:w="8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Reference photodiode eliminates PBM calibration visits. NTC cross-calibration and ADS1299 self-cal eliminate temperature and EEG drift. But fluxgate sensitivity drift (scale factor) requires a Helmholtz test coil providing a known field magnitude — not achievable via geomagnetic comparison alone. Residual requirement: Tier B service center every 3–5 years. Mitigated by: geomagnetic comparison detecting when drift is severe enough to schedule, fleet SHDR trend prediction giving non-urgent lead time, 3–5 year interval being long enough for Tier B network to be well-established first.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STRUCTURAL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iOS/Android OS updates can disrupt app function</w:t>
            </w:r>
          </w:p>
        </w:tc>
        <w:tc>
          <w:tcPr>
            <w:tcW w:type="dxa" w:w="8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Annual major iOS/Android releases can break USB accessory APIs, background execution, or health APIs without warning. Committed mitigation: participate in Apple/Google developer beta programmes, 7-day OS compatibility SLA, autonomous Mode 3 operation (pre-programmed session from power bank) as structural fallback when app is temporarily broken. This cannot be fully designed away — it is a dependency on platform vendors.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0F6E56"/>
          <w:sz w:val="34"/>
          <w:szCs w:val="34"/>
        </w:rPr>
        <w:t xml:space="preserve">8. Open Items + Completed Decisions</w:t>
      </w:r>
    </w:p>
    <w:p>
      <w:pPr>
        <w:pStyle w:val="Heading2"/>
        <w:spacing w:after="90" w:before="240"/>
      </w:pPr>
      <w:r>
        <w:rPr>
          <w:rFonts w:ascii="Arial" w:cs="Arial" w:eastAsia="Arial" w:hAnsi="Arial"/>
          <w:b/>
          <w:bCs/>
          <w:color w:val="534AB7"/>
          <w:sz w:val="24"/>
          <w:szCs w:val="24"/>
        </w:rPr>
        <w:t xml:space="preserve">8.1 Pending decisions — action required before first tooling cut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Product name trademark search and clearance (US/EU/CA/AU) — before ANY external conversation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400 mW/cm² regulatory opinion letter — before any marketing material references irradiance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Li-Huei Tsai SAB outreach (617-324-0305) — SAB role only, not trial PI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LED emitter pulse current rating verification (660nm + 808–830nm candidates) — confirm 120–180mA continuous FPC rating before component commitment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Zone module FPC layout specification — 6mm pitch, lever-actuated ZIF, reference photodiode per zone, plasma-activated PDMS windows — must be in PCB layout before first cut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Hub tooling: intranasal probe dock + anchor posts for all interface covers + large-radius Boa cable channel + tool-free fan access (quarter-turn captive fastener) — all in hub tooling before first cut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Shell tooling: anchor posts for zone slot covers (5 positions, colour-coded) and accessory port covers (3 positions) — in headset shell tooling before first cut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Lens tooling: sliding rail mount geometry + N42 magnet positions (≥1mm polymer wall all faces) + AgNW coating spec + hard coat over AgNW + EC lens driver electrical contacts spec — before lens tooling cut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Goggle arm tooling: anchor hook for lens rim guard tether — before arm tooling cut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Partner optician network engagement — contract for S3 Rx clip programme before device ships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eMMC partition architecture + UHDR/SHDR separate encryption scheme — in firmware specification before first firmware is written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Dual-bank OTA bootloader — must be in bootloader from first firmware line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SBIR Phase I application — initiate immediately after company formation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First researcher contact: Rashidi-Ranjbar (neda.rashidi-ranjbar@unityhealth.to), then Jog (mjog@mednet.ucla.edu), then Naeser (mnaeser@bu.edu)</w:t>
      </w:r>
    </w:p>
    <w:p>
      <w:pPr>
        <w:spacing w:after="0" w:before="60"/>
      </w:pPr>
      <w:r>
        <w:t xml:space="preserve"/>
      </w:r>
    </w:p>
    <w:p>
      <w:pPr>
        <w:pStyle w:val="Heading2"/>
        <w:spacing w:after="90" w:before="240"/>
      </w:pPr>
      <w:r>
        <w:rPr>
          <w:rFonts w:ascii="Arial" w:cs="Arial" w:eastAsia="Arial" w:hAnsi="Arial"/>
          <w:b/>
          <w:bCs/>
          <w:color w:val="534AB7"/>
          <w:sz w:val="24"/>
          <w:szCs w:val="24"/>
        </w:rPr>
        <w:t xml:space="preserve">8.2 Completed decisions — locked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Two-tier product strategy (T1 consumer wellness / T2 clinical) with shared platform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600 LEDs (300×660nm + 300×808–830nm) FPC zone modules from launch — no Rev A/Rev B split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400 mW/cm² peak pulsed via firmware duty cycle (Path A, $0 hardware) — pending regulatory opinion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21-channel EEG: FC3, FC4, Oz, A1/A2 (on VNS clips) — full 10-20 + auricular references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STM32G071 safety MCU (not G031 — SRAM error corrected) — +$0.45 BOM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No NFC anywhere — optical code + resistive pogo authentication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USB-C wired-first default, BT/Wi-Fi toggle, antennas in hub not headset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Boa-style dial + spring-decoupled electrode pods — one adult SKU 52–62cm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5-layer passive EMF shielding + active Helmholtz cancellation + palladium fabric (permanent shielding claim)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Auricular VNS clip = HRV PPG + A1/A2 EEG references (2 spare conductors in existing 6-pin cable)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Standard lens (35% VLT, 108 micro-LEDs/lens, S1 included) + EC premium (+$89, 5–75% VLT) + S3 Rx clip (both lenses)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Internal processor retained ($85 BOM) — autonomous closed-loop is primary competitive moat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UHDR/SHDR terminology framework — complete separation, never linked by design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Clinical consent engine: use case library → minimum necessary data mapper → consent document generator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Research partnership: a priori consent (contact/category/blanket), results opt-in, suggestion portal, crowdfunding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POA workflow with human document review, jurisdiction flagging, annual re-verification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Service network: Tier A optical (primary) + Tier B electronics + Tier C retail + depot backstop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All interface protection covers tethered to headset, anchor posts in tooling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Predictive maintenance: SHDR fleet database → fleet-trained RUL model → deployed back to devices via OTA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Design brief Revision 1, Revision 2, bibliography (33 entries), researcher candidates (12), and this Revision 3 generated as Word documents</w:t>
      </w:r>
    </w:p>
    <w:sectPr>
      <w:headerReference w:type="default" r:id="rId8"/>
      <w:footerReference w:type="default" r:id="rId9"/>
      <w:pgSz w:w="12240" w:h="15840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/>
        <w:color w:val="CC0000"/>
      </w:rPr>
      <w:t>SUPERSEDED — Superseded by neuropulse_design_brief_r5.docx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CC0000"/>
      </w:rPr>
      <w:t>SUPERSEDED — Superseded by neuropulse_design_brief_r5.docx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90" w:before="24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2026-05-04T22:49:06.010Z</dcterms:created>
  <dcterms:modified xsi:type="dcterms:W3CDTF">2026-05-04T22:49:06.017Z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