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25 risks identified  |  3 CRITICAL  |  9 HIGH  |  9 MEDIUM  |  3 LOW  |  23 MITIGATED  |  2 OPEN (RISK-03, RISK-20)</w:t>
        <w:br/>
        <w:t>All CRITICAL and HIGH items must be resolved before FPC layout release.</w:t>
        <w:br/>
        <w:t>RISK-18 to RISK-25: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mould.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Co-moulded silicone gasket may delaminate from zone module body</w:t>
            </w:r>
          </w:p>
        </w:tc>
        <w:tc>
          <w:tcPr>
            <w:tcW w:type="dxa" w:w="1072"/>
            <w:shd w:val="clear" w:color="auto" w:fill="FFFFFF"/>
          </w:tcPr>
          <w:p>
            <w:r>
              <w:rPr>
                <w:b w:val="0"/>
                <w:sz w:val="18"/>
              </w:rPr>
              <w:t>The RISK-16 Option A gasket is co-moulded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co-mould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Moulded CFRP typically achieves Ra 1.6–3.2 µm depending on mould tool finish and release agent. Ra ≤ 1.6 µm on CFRP requires either: a precision-polished mould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moulded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co-moulded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NeuroPulse's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NeuroPulse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moulded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mould requires 4 simultaneous co-moulded features — omission risk before first-cut</w:t>
            </w:r>
          </w:p>
        </w:tc>
        <w:tc>
          <w:tcPr>
            <w:tcW w:type="dxa" w:w="1072"/>
            <w:shd w:val="clear" w:color="auto" w:fill="FFFFFF"/>
          </w:tcPr>
          <w:p>
            <w:r>
              <w:rPr>
                <w:b w:val="0"/>
                <w:sz w:val="18"/>
              </w:rPr>
              <w:t>The zone module injection mould must now incorporate four distinct co-moulded or moulded-in features, each specified in a different document and driven by a different risk mitigation: (1) Braille abbreviation + raised numeral on module face (RISK-15 Layer 3, ISO 17049:2013); (2) Co-moulded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mould retool is required. Retool cost: $20,000–60,000 per mould, 8–16 week lead time, programme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moulded features (F-01 through F-08). 12-item mould design review checklist in §5. All features traceable to risk register. G1-05 gate in NP-COORD-001 requires sign-off before steel cut.</w:t>
            </w:r>
          </w:p>
        </w:tc>
        <w:tc>
          <w:tcPr>
            <w:tcW w:type="dxa" w:w="1072"/>
            <w:shd w:val="clear" w:color="auto" w:fill="FFFFFF"/>
          </w:tcPr>
          <w:p>
            <w:r>
              <w:rPr>
                <w:b w:val="0"/>
                <w:sz w:val="18"/>
              </w:rPr>
              <w:t>Mechanical Eng / Programme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NeuroPulse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r>
        <w:tc>
          <w:tcPr>
            <w:tcW w:w="792" w:type="dxa"/>
          </w:tcPr>
          <w:p>
            <w:r>
              <w:rPr>
                <w:sz w:val="16"/>
              </w:rPr>
              <w:t xml:space="preserve">RISK-25</w:t>
            </w:r>
          </w:p>
        </w:tc>
        <w:tc>
          <w:tcPr>
            <w:tcW w:w="1007" w:type="dxa"/>
            <w:shd w:val="clear" w:color="auto" w:fill="E2EFDA"/>
          </w:tcPr>
          <w:p>
            <w:r>
              <w:rPr>
                <w:b/>
              </w:rPr>
              <w:t>LOW</w:t>
              <w:br/>
              <w:t>(MITIGATED)</w:t>
            </w:r>
          </w:p>
        </w:tc>
        <w:tc>
          <w:tcPr>
            <w:tcW w:w="864" w:type="dxa"/>
          </w:tcPr>
          <w:p>
            <w:r>
              <w:t>Cervical VNS cardiac reflex — bradycardia or asystole from vagal stimulation at carotid sheath proximity</w:t>
            </w:r>
          </w:p>
        </w:tc>
        <w:tc>
          <w:tcPr>
            <w:tcW w:w="1152" w:type="dxa"/>
          </w:tcPr>
          <w:p>
            <w:r>
              <w:t>Carotid sinus proximity; parasympathetic activation; current spreading to baroreceptors</w:t>
            </w:r>
          </w:p>
        </w:tc>
        <w:tc>
          <w:tcPr>
            <w:tcW w:w="1007" w:type="dxa"/>
          </w:tcPr>
          <w:p>
            <w:r>
              <w:t>Bradycardia, hypotension, vasovagal syncope, or (in extreme cases) asystole during stimulation session</w:t>
            </w:r>
          </w:p>
        </w:tc>
        <w:tc>
          <w:tcPr>
            <w:tcW w:w="2736" w:type="dxa"/>
          </w:tcPr>
          <w:p>
            <w:r>
              <w:t>Safety MCU dual-processor cardiac interlock (NP-FW-CVNS-001 Rev A)</w:t>
            </w:r>
          </w:p>
        </w:tc>
        <w:tc>
          <w:tcPr>
            <w:tcW w:w="792" w:type="dxa"/>
          </w:tcPr>
          <w:p>
            <w:r>
              <w:t>Firmware / Safety Engineering</w:t>
            </w:r>
          </w:p>
        </w:tc>
        <w:tc>
          <w:tcPr>
            <w:tcW w:w="1440" w:type="dxa"/>
          </w:tcPr>
          <w:p>
            <w:r>
              <w:t>NP-FW-CVNS-001 Rev A</w:t>
              <w:br/>
              <w:t>FAI-CV01, FAI-CV02, FAI-CV03</w:t>
            </w:r>
          </w:p>
        </w:tc>
        <w:tc>
          <w:tcPr>
            <w:tcW w:w="1872" w:type="dxa"/>
            <w:shd w:val="clear" w:color="auto" w:fill="92D050"/>
          </w:tcPr>
          <w:p>
            <w:r>
              <w:t>MITIGATED</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r>
        <w:rPr>
          <w:b/>
          <w:color w:val="1F497D"/>
          <w:sz w:val="20"/>
        </w:rPr>
        <w:t>RISK-25  |  LOW (MITIGATED)  |  Cervical VNS Cardiac Reflex</w:t>
      </w:r>
    </w:p>
    <w:p>
      <w:pPr/>
    </w:p>
    <w:p>
      <w:pPr/>
      <w:r>
        <w:rPr>
          <w:b w:val="0"/>
          <w:sz w:val="20"/>
        </w:rPr>
        <w:t>Modality: Cervical VNS (T2 accessory)</w:t>
      </w:r>
    </w:p>
    <w:p>
      <w:pPr/>
      <w:r>
        <w:rPr>
          <w:b w:val="0"/>
          <w:sz w:val="20"/>
        </w:rPr>
        <w:t>Failure mode: Stimulation near carotid sheath triggers baroreceptor reflex → bradycardia, hypotension, or asystole</w:t>
      </w:r>
    </w:p>
    <w:p>
      <w:pPr/>
      <w:r>
        <w:rPr>
          <w:b w:val="0"/>
          <w:sz w:val="20"/>
        </w:rPr>
        <w:t>Root cause: Vagal trunk stimulation at cervical level has proximity to carotid sinus and baroreceptor afferents; current spreading could activate parasympathetic tone</w:t>
      </w:r>
    </w:p>
    <w:p>
      <w:pPr/>
      <w:r>
        <w:rPr>
          <w:b w:val="0"/>
          <w:sz w:val="20"/>
        </w:rPr>
        <w:t>Initial severity: CRITICAL (potential asystole) × P1 (rare but known in invasive VNS literature)</w:t>
      </w:r>
    </w:p>
    <w:p>
      <w:pPr/>
      <w:r>
        <w:rPr>
          <w:b w:val="0"/>
          <w:sz w:val="20"/>
        </w:rPr>
        <w:t>Residual severity after mitigation: LOW</w:t>
      </w:r>
    </w:p>
    <w:p>
      <w:pPr/>
    </w:p>
    <w:p>
      <w:pPr/>
      <w:r>
        <w:rPr>
          <w:b/>
          <w:sz w:val="20"/>
        </w:rPr>
        <w:t>Mitigation — NP-FW-CVNS-001 Rev A — Safety MCU cardiac interlock (MITIGATED):</w:t>
      </w:r>
    </w:p>
    <w:p>
      <w:pPr>
        <w:pStyle w:val="ListBullet"/>
      </w:pPr>
      <w:r>
        <w:rPr>
          <w:b w:val="0"/>
          <w:sz w:val="20"/>
        </w:rPr>
        <w:t>Safety MCU (STM32G071) owns CVNS_ENABLE_L/R GPIO independently of main processor</w:t>
      </w:r>
    </w:p>
    <w:p>
      <w:pPr>
        <w:pStyle w:val="ListBullet"/>
      </w:pPr>
      <w:r>
        <w:rPr>
          <w:b w:val="0"/>
          <w:sz w:val="20"/>
        </w:rPr>
        <w:t>Pre-stimulation baseline HR established from PPG R-peak detection (main processor) + cross-validated by Safety MCU GPIO timer (must agree within 5 BPM before enable granted)</w:t>
      </w:r>
    </w:p>
    <w:p>
      <w:pPr>
        <w:pStyle w:val="ListBullet"/>
      </w:pPr>
      <w:r>
        <w:rPr>
          <w:b w:val="0"/>
          <w:sz w:val="20"/>
        </w:rPr>
        <w:t>HR change &gt;15 BPM within 5-second rolling window → TIM6 ISR asserts GPIO LOW within &lt;5.1ms worst-case (&lt;100ms spec)</w:t>
      </w:r>
    </w:p>
    <w:p>
      <w:pPr>
        <w:pStyle w:val="ListBullet"/>
      </w:pPr>
      <w:r>
        <w:rPr>
          <w:b w:val="0"/>
          <w:sz w:val="20"/>
        </w:rPr>
        <w:t>Re-enable requires: 30s lockout elapsed + explicit app user confirmation + repeat impedance check + baseline re-established</w:t>
      </w:r>
    </w:p>
    <w:p>
      <w:pPr>
        <w:pStyle w:val="ListBullet"/>
      </w:pPr>
      <w:r>
        <w:rPr>
          <w:b w:val="0"/>
          <w:sz w:val="20"/>
        </w:rPr>
        <w:t>Safety MCU cannot be overridden by main processor crash or app command</w:t>
      </w:r>
    </w:p>
    <w:p>
      <w:pPr>
        <w:pStyle w:val="ListBullet"/>
      </w:pPr>
      <w:r>
        <w:rPr>
          <w:b w:val="0"/>
          <w:sz w:val="20"/>
        </w:rPr>
        <w:t>Additionally: per-session impedance check blocks enable if electrode contact not confirmed</w:t>
      </w:r>
    </w:p>
    <w:p>
      <w:pPr/>
    </w:p>
    <w:p>
      <w:pPr/>
      <w:r>
        <w:rPr>
          <w:b w:val="0"/>
          <w:sz w:val="20"/>
        </w:rPr>
        <w:t>Residual risk justification: Dual-processor architecture with independent cardiac monitoring provides safety backstop comparable to predicate device (electroCore gammaCore). Predicate operates at ≤24mA; NeuroPulse operates at ≤2mA (&gt;10× lower current). Residual risk ACCEPTABLE per NP-RM-001 acceptability matrix.</w:t>
      </w:r>
    </w:p>
    <w:p>
      <w:pPr/>
    </w:p>
    <w:p>
      <w:pPr/>
      <w:r>
        <w:rPr>
          <w:b/>
          <w:sz w:val="20"/>
        </w:rPr>
        <w:t>FAI verification:</w:t>
      </w:r>
    </w:p>
    <w:p>
      <w:pPr>
        <w:pStyle w:val="ListBullet"/>
      </w:pPr>
      <w:r>
        <w:rPr>
          <w:b w:val="0"/>
          <w:sz w:val="20"/>
        </w:rPr>
        <w:t>FAI-CV01: Electrode placement accuracy (anatomical phantom bench) — PENDING (T2 prototype required)</w:t>
      </w:r>
    </w:p>
    <w:p>
      <w:pPr>
        <w:pStyle w:val="ListBullet"/>
      </w:pPr>
      <w:r>
        <w:rPr>
          <w:b w:val="0"/>
          <w:sz w:val="20"/>
        </w:rPr>
        <w:t>FAI-CV02: Cardiac interlock timing &lt;100ms (oscilloscope bench with R-peak signal generator) — SOFTWARE CONSTANTS PASS; HARDWARE BENCH PENDING (T2 prototype required)</w:t>
      </w:r>
    </w:p>
    <w:p>
      <w:pPr>
        <w:pStyle w:val="ListBullet"/>
      </w:pPr>
      <w:r>
        <w:rPr>
          <w:b w:val="0"/>
          <w:sz w:val="20"/>
        </w:rPr>
        <w:t>FAI-CV03: Tolerability in 3 healthy adults — PENDING (IRB approval required)</w:t>
      </w:r>
    </w:p>
    <w:p>
      <w:pPr/>
      <w:r>
        <w:rPr>
          <w:b w:val="0"/>
          <w:sz w:val="20"/>
        </w:rPr>
        <w:t>Document reference: NP-FW-CVNS-001 Rev A (firmware/cervical_vns/)</w:t>
      </w:r>
    </w:p>
    <w:p>
      <w:pP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p>
      <w:pPr/>
    </w:p>
    <w:p>
      <w:pPr/>
    </w:p>
    <w:p>
      <w:pPr/>
      <w:r>
        <w:rPr>
          <w:b/>
          <w:color w:val="003366"/>
          <w:sz w:val="26"/>
        </w:rPr>
        <w:t>REVISION HISTORY</w:t>
      </w:r>
    </w:p>
    <w:p>
      <w:pP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20"/>
              </w:rPr>
              <w:t>Revision</w:t>
            </w:r>
          </w:p>
        </w:tc>
        <w:tc>
          <w:tcPr>
            <w:tcW w:type="dxa" w:w="2412"/>
          </w:tcPr>
          <w:p>
            <w:r>
              <w:rPr>
                <w:b/>
                <w:sz w:val="20"/>
              </w:rPr>
              <w:t>Date</w:t>
            </w:r>
          </w:p>
        </w:tc>
        <w:tc>
          <w:tcPr>
            <w:tcW w:type="dxa" w:w="2412"/>
          </w:tcPr>
          <w:p>
            <w:r>
              <w:rPr>
                <w:b/>
                <w:sz w:val="20"/>
              </w:rPr>
              <w:t>Author</w:t>
            </w:r>
          </w:p>
        </w:tc>
        <w:tc>
          <w:tcPr>
            <w:tcW w:type="dxa" w:w="2412"/>
          </w:tcPr>
          <w:p>
            <w:r>
              <w:rPr>
                <w:b/>
                <w:sz w:val="20"/>
              </w:rPr>
              <w:t>Description</w:t>
            </w:r>
          </w:p>
        </w:tc>
      </w:tr>
      <w:tr>
        <w:tc>
          <w:tcPr>
            <w:tcW w:type="dxa" w:w="2412"/>
          </w:tcPr>
          <w:p>
            <w:r>
              <w:rPr>
                <w:sz w:val="20"/>
              </w:rPr>
              <w:t>Rev A</w:t>
            </w:r>
          </w:p>
        </w:tc>
        <w:tc>
          <w:tcPr>
            <w:tcW w:type="dxa" w:w="2412"/>
          </w:tcPr>
          <w:p>
            <w:r>
              <w:rPr>
                <w:sz w:val="20"/>
              </w:rPr>
              <w:t>2026-05-06</w:t>
            </w:r>
          </w:p>
        </w:tc>
        <w:tc>
          <w:tcPr>
            <w:tcW w:type="dxa" w:w="2412"/>
          </w:tcPr>
          <w:p>
            <w:r>
              <w:rPr>
                <w:sz w:val="20"/>
              </w:rPr>
              <w:t>NeuroPulse Engineering</w:t>
            </w:r>
          </w:p>
        </w:tc>
        <w:tc>
          <w:tcPr>
            <w:tcW w:type="dxa" w:w="2412"/>
          </w:tcPr>
          <w:p>
            <w:r>
              <w:rPr>
                <w:sz w:val="20"/>
              </w:rPr>
              <w:t>Initial issue. 24 risks (RISK-01 through RISK-24). 3 CRITICAL, 9 HIGH, 9 MEDIUM, 2 LOW. 22 MITIGATED, 2 OPEN (RISK-03, RISK-20).</w:t>
            </w:r>
          </w:p>
        </w:tc>
      </w:tr>
      <w:tr>
        <w:tc>
          <w:tcPr>
            <w:tcW w:type="dxa" w:w="2412"/>
          </w:tcPr>
          <w:p>
            <w:r>
              <w:rPr>
                <w:sz w:val="20"/>
              </w:rPr>
              <w:t>Rev B</w:t>
            </w:r>
          </w:p>
        </w:tc>
        <w:tc>
          <w:tcPr>
            <w:tcW w:type="dxa" w:w="2412"/>
          </w:tcPr>
          <w:p>
            <w:r>
              <w:rPr>
                <w:sz w:val="20"/>
              </w:rPr>
              <w:t>2026-05-16</w:t>
            </w:r>
          </w:p>
        </w:tc>
        <w:tc>
          <w:tcPr>
            <w:tcW w:type="dxa" w:w="2412"/>
          </w:tcPr>
          <w:p>
            <w:r>
              <w:rPr>
                <w:sz w:val="20"/>
              </w:rPr>
              <w:t>NeuroPulse Engineering</w:t>
            </w:r>
          </w:p>
        </w:tc>
        <w:tc>
          <w:tcPr>
            <w:tcW w:type="dxa" w:w="2412"/>
          </w:tcPr>
          <w:p>
            <w:r>
              <w:rPr>
                <w:sz w:val="20"/>
              </w:rPr>
              <w:t>RISK-25 added — Cervical VNS cardiac reflex. MITIGATED by Safety MCU dual-processor cardiac interlock (NP-FW-CVNS-001 Rev A). Hardware FAI (FAI-CV01, FAI-CV02, FAI-CV03) pending T2 prototype. Total: 25 risks, 23 MITIGATED, 2 OPEN (RISK-03, RISK-20).</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