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  <w:r>
        <w:t xml:space="preserve"/>
      </w:r>
    </w:p>
    <w:p>
      <w:pPr>
        <w:spacing w:after="70" w:before="0"/>
        <w:jc w:val="center"/>
      </w:pPr>
      <w:r>
        <w:rPr>
          <w:rFonts w:ascii="Arial" w:cs="Arial" w:eastAsia="Arial" w:hAnsi="Arial"/>
          <w:b/>
          <w:bCs/>
          <w:color w:val="0F6E56"/>
          <w:sz w:val="64"/>
          <w:szCs w:val="64"/>
        </w:rPr>
        <w:t xml:space="preserve">NeuroPulse</w:t>
      </w:r>
    </w:p>
    <w:p>
      <w:pPr>
        <w:spacing w:after="70" w:before="0"/>
        <w:jc w:val="center"/>
      </w:pPr>
      <w:r>
        <w:rPr>
          <w:rFonts w:ascii="Arial" w:cs="Arial" w:eastAsia="Arial" w:hAnsi="Arial"/>
          <w:b/>
          <w:bCs/>
          <w:color w:val="534AB7"/>
          <w:sz w:val="36"/>
          <w:szCs w:val="36"/>
        </w:rPr>
        <w:t>Master Design Brief — Revision 4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Closed-Loop Multi-Modal Neuromodulation Platform</w:t>
      </w:r>
    </w:p>
    <w:p>
      <w:pPr>
        <w:spacing w:after="280" w:before="0"/>
        <w:jc w:val="center"/>
      </w:pPr>
      <w:r>
        <w:rPr>
          <w:rFonts w:ascii="Arial" w:cs="Arial" w:eastAsia="Arial" w:hAnsi="Arial"/>
          <w:color w:val="999999"/>
          <w:sz w:val="17"/>
          <w:szCs w:val="17"/>
        </w:rPr>
        <w:t>May 4, 2026  ·  May 7, 2026  ·  Revision 4 — zone module engineering package complete; 24-risk register; dual-PD, five-layer keying, gasket, eject lever, PDMS qualification, EEG routing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Revision 3 — Key Additions Since Revision 2</w:t>
      </w:r>
    </w:p>
    <w:p>
      <w:pPr>
        <w:spacing w:after="0" w:before="40"/>
      </w:pPr>
      <w:r>
        <w:t xml:space="preserve"/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40"/>
        <w:gridCol w:w="5940"/>
      </w:tblGrid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Category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New decisions added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UHDR / SHDR data architecture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Complete UHDR/SHDR terminology framework. SHDR linked to device ID + warranty owner only — never user identity. UHDR encrypted with user-held key. Separate eMMC partitions from first firmware line. All boundary cases resolved by derivation rule. Session count in SHDR is unsigned integer with no user link.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Clinical consent engine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Use case library (9 defined use cases). Minimum necessary data mapper. Plain-language consent document generator (not legal forms). Subscription tiers (Monitor $49, Assess $149, Full Clinical $299, Research $599/mo). Expansion workflow with differential consent and 'approve with questions' path.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Research consent + partnership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Three a priori consent layers (contact, category, blanket). 9 research categories. Blanket consent still receives per-study engagement notifications. Results opt-in (plain-language summary + paper link + null result notifications). Study suggestion portal (votes, participation intent, pledges). Crowdfunding mechanics (pledge → pilot → grant catalyst). POA workflow with human document review. Researcher portal with pre-identified cohort data.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Durability engineering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ITO → AgNW lens coating. Hard clamshell case replaces pouch. Intranasal probe hub dock. Palladium fabric (replaces silver — marketing differentiator + fleet-verified claim). N52 → N42 magnets. 1,000-cycle zone connectors. Interface protection covers (all tethered). Braided aramid USB-C cable. MagSafe hard gold contacts. 22F supercapacitor. IPX4 target. Audio cup user-replaceable mesh frame + mesh cleaning brush.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Calibration + self-maintenance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Reference photodiode per zone (eliminates 3-year service calibration visit). Plasma-activated anti-fouling PDMS. Fluxgate zero-field nulling + geomagnetic comparison. Hub NTC cross-calibration of headset NTCs. ADS1299 internal reference self-calibration at session start. EC lens transition time monitoring for contact resistance. Audio cup driver impedance monitoring for mesh fouling. Probe tip reference LED at probe base.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Software resilience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Dual-bank OTA firmware (Bank A runs while Bank B staged, cryptographic verification before switch). USB-C DFU recovery mode. Safety MCU firmware only updated in maintenance mode. Industrial eMMC + LittleFS. Firmware partition write-protected. Automated nightly incremental UHDR backup. Cloud service commitment in warranty. 7-day OS compatibility SLA. New device migration prompt.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Service network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Tier A optical centers (S3 Rx + lens + calibration, 4-hr cert, $400–600 equipment). Tier B electronics repair (FPC, DFU, data recovery, 6-hr cert). Tier C retail triage (Best Buy Geek Squad type, 2-hr cert, no equipment). NeuroPulse depot (backstop + T2 loaner). Sliding rail lens mount (user self-install). Lever ZIF connectors (user zone module swap). Tool-free hub fan. Design changes reduce service dependency substantially.</w:t>
            </w:r>
          </w:p>
        </w:tc>
      </w:tr>
      <w:tr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Box contents (updated)</w:t>
            </w:r>
          </w:p>
        </w:tc>
        <w:tc>
          <w:tcPr>
            <w:tcW w:type="dxa" w:w="59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Hard clamshell case (replaces pouch). Braided aramid USB-C cable (spare included). 45W GaN charger (branded NeuroPulse). Mesh cleaning brush. Boa replacement cable + hook tool. Moisture-barrier electrode tip hydration caps. Humidity indicator card. Pre-impregnated cleaning cloth packets. Interface covers (installed + one spare set each type).</w:t>
            </w:r>
          </w:p>
        </w:tc>
      </w:tr>
      <w:tr>
        <w:tc>
          <w:tcPr>
            <w:shd w:val="clear" w:color="auto" w:fill="EBF3FB"/>
          </w:tcPr>
          <w:p>
            <w:r>
              <w:rPr>
                <w:b/>
                <w:sz w:val="18"/>
              </w:rPr>
              <w:t xml:space="preserve">Zone module engineering</w:t>
            </w:r>
          </w:p>
        </w:tc>
        <w:tc>
          <w:tcPr>
            <w:shd w:val="clear" w:color="auto" w:fill="EBF3FB"/>
          </w:tcPr>
          <w:p>
            <w:r>
              <w:rPr>
                <w:sz w:val="18"/>
              </w:rPr>
              <w:t xml:space="preserve">Dual photodiode PD1/PD2 (RISK-14 Option B). Five-layer zone keying — mechanical key + ZONE_ID resistor + braille/numeral + tactile dots + bone conduction audio (RISK-15). Self-sealing co-moulded silicone gasket, no user RTV (RISK-16). Sliding eject lever 3:1 MA ≤1N force (RISK-22). Multi-FPC bundle separation ≥2mm / EEG ≥15mm (RISK-17). EEG cable routing channel moulded into outer CFRP surface (RISK-21). PDMS SiO₂ interlayer bonding + 200-cycle IEC 60068-2-14 thermal cycling qualification BLOCKING before production (RISK-04). 24-risk register: 22 MITIGATED, 2 OPEN (RISK-03 regulatory opinion; RISK-20 CFRP Ra confirmation — both external). New documents: NP-HW-FPC-001, NP-PROC-FPC-001, NP-DRV-SHELL-001, NP-FAI-ZM-001, NP-COORD-001, NP-TOOL-ZM-001, NP-PROC-SUP-001.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1. Executive Summary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40"/>
        <w:gridCol w:w="5940"/>
      </w:tblGrid>
      <w:tr>
        <w:tc>
          <w:tcPr>
            <w:tcW w:type="dxa" w:w="5940"/>
            <w:tcBorders>
              <w:top w:val="single" w:color="0F6E56" w:sz="3"/>
              <w:left w:val="single" w:color="CCCCCC" w:sz="1"/>
              <w:bottom w:val="single" w:color="CCCCCC" w:sz="1"/>
              <w:right w:val="single" w:color="CCCCCC" w:sz="1"/>
            </w:tcBorders>
            <w:shd w:fill="F4FA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F6E56"/>
                <w:sz w:val="24"/>
                <w:szCs w:val="24"/>
              </w:rPr>
              <w:t xml:space="preserve">NeuroPulse Home — Tier 1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Consumer wellness · FDA-exempt · 8 modalities · $449–$1,199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600 LEDs (300×660nm + 300×810nm) on FPC zone strips — uniform field, 80,000-hr lifetime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400 mW/cm² peak pulsed irradiance (firmware-only, $0 BOM) — matches Vielight Neuro Pro 2 headline spec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8-channel semi-dry EEG, autonomous closed-loop EEG-adaptive stimulation without phone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5-layer EMF shielding + active Helmholtz cancellation — only consumer brain wearable with measured shielding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Pricing: $449 Core · $599 Lite · $849 Standard ★ · $1,199 Premium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No mandatory subscription. All core functions offline-capable permanently.</w:t>
            </w:r>
          </w:p>
        </w:tc>
        <w:tc>
          <w:tcPr>
            <w:tcW w:type="dxa" w:w="5940"/>
            <w:tcBorders>
              <w:top w:val="single" w:color="534AB7" w:sz="3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534AB7"/>
                <w:sz w:val="24"/>
                <w:szCs w:val="24"/>
              </w:rPr>
              <w:t xml:space="preserve">NeuroPulse Pro — Tier 2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555555"/>
                <w:sz w:val="17"/>
                <w:szCs w:val="17"/>
              </w:rPr>
              <w:t xml:space="preserve">Clinical/research · FDA 510(k) target · all modalities · $4,999–$13,999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21-channel qEEG wet gel: full 10-20 + FC3/FC4 (M1 TMS targeting) + Oz (photoparoxysmal) + A1/A2 (normative database reference)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TMS focal figure-8 coil (rTMS/TBS) · 1170nm deep PBM (35–40mm subcortical) · clinical tACS ≤4mA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HIPAA cloud · EHR (FHIR R4) · multi-patient dashboard · sLORETA source imaging · LSL streaming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Pricing: $4,999 Pro Entry · $13,999 Pro Full · $1,800/yr service (same-day loaner)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5" w:before="35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CPT 90867–90869 TMS reimbursement · 510(k) pathway 18–36 months · $2–5M budget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2. Data Architecture — UHDR / SHDR Framework</w:t>
      </w:r>
    </w:p>
    <w:p>
      <w:pPr>
        <w:spacing w:after="0" w:before="40"/>
      </w:pPr>
      <w:r>
        <w:t xml:space="preserve"/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6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Record type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Definition, contents, access, and storage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4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UHDR — User Health Data Record
(user's property, never accessed by NeuroPulse)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DEFINITION: Any record describing the user's biological state, cognitive function, therapeutic response, or health outcomes. Defining test: does this record tell us something about the person? If yes → UHDR.
CONTENTS: EEG waveforms (all channels) · HRV time series · PPG optical signal · Neurofeedback performance scores · Session timestamps and duration · Protocol parameters used per session · Closed-loop adaptation events · PBM dose (J/cm²) per zone · User-entered symptom/outcome logs · Eye-open/closed state during sessions.
ACCESS: User (always, unconditionally). Clinicians (per-element, per-use-case consent, time-limited, audited, revocable). Researchers (anonymised aggregate, separate IRB + explicit research consent). NeuroPulse: NEVER.
STORAGE: On-device eMMC UHDR partition, AES-256 encrypted with user biometric-derived key. NeuroPulse does not hold decryption key. Optional E2E encrypted cloud backup (user-held key). Automatic incremental backup on USB-C connect.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A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7"/>
                <w:szCs w:val="17"/>
              </w:rPr>
              <w:t xml:space="preserve">SHDR — System Health Data Record
(NeuroPulse property, never linked to user identity)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DEFINITION: Any record describing device performance, wear state, and operational history — independent of who is wearing it. Defining test: does this tell us something about the device's condition, containing nothing that reveals user biology? If yes → SHDR.
CONTENTS: LED output ratio per zone · NTC temperature profiles · EMF shielding attenuation ratio · Device session count (unsigned integer, no timestamps) · Consumable session counts per component · USB-C insertion counter · PD negotiation log · Impact events (g-force, orientation — between sessions only) · Fan RPM · Supercapacitor cycles · Firmware version history · OTA success/failure log · Accessory authentication pass/fail · Calibration coefficient history.
ACCESS: NeuroPulse (fleet database, maintenance prediction, reliability improvement). Warranty owner (maintenance alerts derived from SHDR). Researchers (aggregate only, per data sharing agreement).
LINKAGE: SHDR is linked to device ID + warranty owner ID only. Never to user identity. The SHDR database and UHDR storage share no common identifier — they cannot be joined.
STORAGE: On-device eMMC SHDR partition, separate encryption from UHDR. Uploaded to NeuroPulse fleet database on USB-C connect (warranty consent required).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Boundary case resolution rule</w:t>
            </w:r>
          </w:p>
        </w:tc>
        <w:tc>
          <w:tcPr>
            <w:tcW w:type="dxa" w:w="9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When in doubt → classify as UHDR. Reclassification to SHDR requires positive demonstration of no user biology content.
SPECIFIC RESOLUTIONS: Raw EEG impedance (reflects user scalp biology) → UHDR. Derived trend slope across sessions (reflects electrode tip condition only) → SHDR. Raw accelerometer during active sessions → UHDR. Impact events detected between sessions → SHDR. Raw ambient light values (reveal when/where user uses device) → UHDR. Cumulative UV exposure index (single dimensionless engineering number) → SHDR. Raw VNS contact impedance → UHDR. Contact resistance trend → SHDR. IR eye state during sessions → UHDR. Safety interlock log (device behaviour record) → SHDR.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3. Clinical Consent Engine</w:t>
      </w:r>
    </w:p>
    <w:p>
      <w:pPr>
        <w:spacing w:after="0" w:before="40"/>
      </w:pPr>
      <w:r>
        <w:t xml:space="preserve"/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800"/>
        <w:gridCol w:w="2400"/>
        <w:gridCol w:w="32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Subscription tier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Price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Use cases included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UHDR elements accessible (with user consent)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Target clinician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Monitor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$49/mo/patient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Treatment adherence monitoring · Protocol compliance tracking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Session timestamps · Session duration · Protocol parameters used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Primary care, wellness providers, care coordinators checking adherence between visits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Assess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$149/mo/patient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Monitor + EEG session review · Neurofeedback performance · Treatment efficacy tracking · Sleep session monitoring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Adds: EEG waveforms · Neurofeedback performance scores · PBM dose logs · Eye-state during session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Neurologists, psychiatrists, EEG specialists, sleep clinicians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Full Clinical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$299/mo/patient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Assess + Autonomic monitoring (HRV) · Closed-loop response review · Patient-reported outcomes · TMS response monitoring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Adds: HRV time series · PPG optical signal · Closed-loop adaptation events · User-entered symptom logs (if separately consented) · EEG FC3/FC4 channels specifically for TMS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Tier 2 neuromodulation programmes, TMS clinics, integrative psychiatry, Parkinson's specialists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Research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$599/mo/study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IRB-defined custom use case combination (reviewed by NeuroPulse before activation)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IRB-approved minimum necessary set only · Anonymised output · k-anonymity ≥10 required · No individual identifiers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Academic clinical trials · IRB-approved observational studies · Population meta-analysis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3.1 A Priori Research Consent — Four Onboarding Screens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2400"/>
        <w:gridCol w:w="30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Question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If yes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If no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Effect on device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L1 — Contact consent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Can we contact you about future research opportunities?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Provide preferred contact method + frequency limit. POA holders upload POA document (human review, 3 business days). All research contact goes to POA holder if applicable.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 research contact sent. Category and blanket consents still recorded. Changeable at any time.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 — device fully functional regardless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L2 — Category consent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Which research areas would you broadly support? (9 categories: AD/dementia, Depression, PTSD, TBI, Sleep, Attention, Parkinson's, Healthy ageing, Visual health)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Receives per-project contact requests only for studies in selected categories. Each contact is a fresh per-project decision — no data shared until per-project consent given.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Not contacted for that category. Other categories unaffected. Category selections changeable anytime.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L3 — Blanket consent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Do you pre-approve all NeuroPulse-reviewed research uses of your anonymised data?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Data included in all reviewed studies. STILL receives per-study engagement notifications (not consent requests — the patient is kept informed and can opt out per-study). Anonymisation standard: k≥10, no device/user ID, no sub-weekly timestamps, no sub-regional geography.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Per-category and per-project process applies. Not a lesser choice — equal in NeuroPulse's treatment.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534AB7"/>
                <w:sz w:val="17"/>
                <w:szCs w:val="17"/>
              </w:rPr>
              <w:t xml:space="preserve">L4 — Results + community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Would you like to hear study results? Would you like to join the suggestion portal?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Plain-language results notification per contributed study (including null results) + paper link. Access to suggestion/voting/pledge/crowdfunding portal. Suggestions visible to researcher community.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 results contact. No portal access. Both changeable at any time in Settings → Research + Privacy.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4. Configurations + Pricing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800"/>
        <w:gridCol w:w="800"/>
        <w:gridCol w:w="700"/>
        <w:gridCol w:w="3000"/>
        <w:gridCol w:w="428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Configuration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BOM est.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COGS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Retail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GM%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Included modalities + key items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Target customer + justification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Core — EEG only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$165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$255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$449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43%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4-ch EEG · all connectivity (USB-C/BT/Wi-Fi) · EMF shielding (palladium fabric) · full processor stack · 8GB eMMC · hard clamshell case · interface covers (installed + spare set) · braided aramid cable · 45W GaN charger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Cautious entry buyer. Neurofeedback baseline. B2B modular base unit. Establishes field upgrade path.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Home Lite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$260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$365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$599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39%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Core + PBM 5 zones (660+810nm, 600 LEDs FPC, 400 mW/cm² peak pulsed) · 8-ch EEG · VNS+HRV auricular clip (A1/A2 EEG references included)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Wellness-focused consumer. First meaningful PBM config. Targets Neuronic/Vielight alternative seekers below $600.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Home Standard ★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$395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$530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$849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38%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modalities: PBM 600 LEDs · intranasal bilateral 2λ 3-depth · 8-ch EEG · BES · tDCS · VNS+HRV · audio cups (planar + bone conduction) · standard lens (35% VLT, 108 micro-LEDs/lens) · S1 opaque shade · all covers · hard case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BF5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Primary flagship. Biohacker 35–65. All T1 modalities. 50× more transcranial LEDs than Vielight at 17% of price. Primary marketing SKU. Full SHDR fleet telemetry + maintenance predictions.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Home Premium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$610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$1,199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49%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+ EC lens upgrade (5–75% VLT bistable, +$89 value) · 2yr warranty · priority support · NeuroPulse-branded 45W GaN charger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High-income buyer, premium lens day-one. Highest T1 gross margin. EC lens + palladium fabric as premium differentiators.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Pro Entry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$820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$1,350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$4,999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73%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T1 + 21-ch qEEG wet gel (FC3/FC4/Oz/A1/A2) · 1170nm deep PBM LDs + TEC · clinical tACS ≤4mA 16-ch · HIPAA cloud · EDF+ · sLORETA source imaging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Neurology clinic, concussion rehab, academic PI (IRB exemption seeding). CPT 90867–90869 TMS eligible as add-on.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Pro Full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$1,480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$2,600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$13,999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81%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T2: Pro Entry + TMS focal figure-8 coil hub · multi-patient dashboard · research mode · LSL streaming · scripting API · FHIR R4 EHR · anonymised session tag for clinical multi-patient · $1,800/yr service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Academic medical centre, psychiatry clinic, neuromodulation research lab. Same-day loaner via service contract. Highest absolute gross margin.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5. Durability + Maintenance Engineering</w:t>
      </w:r>
    </w:p>
    <w:p>
      <w:pPr>
        <w:spacing w:after="0" w:before="40"/>
      </w:pPr>
      <w:r>
        <w:t xml:space="preserve"/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5.1 All design changes — status and impact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1100"/>
        <w:gridCol w:w="708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Change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BOM delta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Rationale + tooling timing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ITO → AgNW (silver nanowire) conductive lens coating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PRE-TOOLING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+$8–12/lens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ITO has 0.5% strain-to-failure — cracks on any flex or point impact. AgNW tolerates 5–10% flex, compatible with hard coat overlay, maintains 85–90% transmission. Must specify before lens tooling is cut.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Hard clamshell case replaces soft pouch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PRE-PRODUCTION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+$8–14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Lens scratching from bag contents certain within first month without case. Moulded case includes headset form, lens support, probe dock, accessories tray. Doubles as shipping container.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Intranasal probe hub dock (moulded)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PRE-TOOLING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Hub retool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Probe dropped probe-first fractures Y-junction. Hub dock is only reliable storage. Cannot be retrofitted — must be in hub tooling from day one.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Palladium-coated EMF shielding fabric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+$6/headset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Silver tarnishes 12–18 months daily sweat use. Palladium immune to tarnishing for device lifetime. Fleet SHDR shielding attenuation data will demonstrate stable performance over years — measurable, publishable marketing claim.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Reference photodiode per zone (behind PDMS window)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PRE-PCB LAYOUT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+$2 total (5 zones)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Detects LED output drift AND window fouling simultaneously. Eliminates 3-year service center calibration visit entirely. Most important single maintenance engineering decision.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Braided aramid USB-C cable + dual silicone strain relief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+$3–4/cable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Commodity cables fail at strain relief within 6–18 months. Braided aramid rated 50,000+ flex cycles. Spare in box. Most-handled component in the system.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MagSafe hard gold contact faces (&gt;0.5µm cobalt-alloyed)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PRE-PRODUCTION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+$1.20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Oxidised contacts raise resistance → power throttling during sessions. Hard gold resists wear 10× better than soft gold. 10,000-cycle rating at full current.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22F supercapacitor (from 10F)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+$1.80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Allows 50% capacitance degradation over 5 years while maintaining transient absorption. Hub NTC monitors temperature for aging estimation.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Dual-bank OTA firmware architecture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PRE-FIRMWARE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$0 (software)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Failed update bricking is 100% manufacturer-caused. Bank A runs while Bank B staged. Boot switches only after cryptographic hash verification. USB-C DFU recovery if both banks corrupted.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Industrial eMMC (SLC cache, 30,000+ P/E) + LittleFS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COMPONENT SELECTION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+$2.40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Consumer eMMC (1,000–3,000 P/E) may fail within 3–5 years at daily use. LittleFS manages bad blocks gracefully. Firmware partition write-protected.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Zone slot connectors: 1,000-cycle rated (Molex SlimStack)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PRE-PCB LAYOUT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+$2.00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Standard connectors rated 100–500 cycles — inadequate for modular users. Specify before PCB layout.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Interface protection covers (all tethered)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91F1F"/>
                <w:sz w:val="17"/>
                <w:szCs w:val="17"/>
              </w:rPr>
              <w:t xml:space="preserve">PRE-TOOLING CRITICAL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+$8–9 total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Zone plugs (Shore 30A silicone, 5 colours, IP54). Port covers (TPE + steel disc + silicone fins). Lens rim guards (Shore 85A TPU, clear). Anchor posts moulded into shell at zero cost if specified before first cut.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Audio cup user-replaceable snap-in mesh frame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PRE-TOOLING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+$0.60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Earwax degrades both acoustic and RF shielding functions simultaneously. Snap-in frame enables user cleaning and annual replacement ($9.99/pair).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Sliding rail lens mount (user self-install)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PRE-TOOLING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+$1.20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Eliminates lens alignment jig requirement. User slides damaged lens out, new lens in, clips retention tab. App validates via EC transition + micro-LED test. Eliminates Tier A installation service visits.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Lever-actuated ZIF connectors for zone modules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PRE-PCB LAYOUT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Included in connector upgrade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Standard ZIF requires tools and care. Lever-actuated ZIF with supplied lever tool enables user zone module self-service.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Automated nightly UHDR backup (incremental)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PRE-LAUNCH SOFTWARE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When on USB-C power, silently encrypts and pushes new UHDRs to backup destination. Failure becomes hardware swap not data loss. Eliminates most data recovery service events.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N52 → N42 magnets in lens rim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DECIDED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−$0.80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N52 brittle under corner impact. N42 significantly more impact-tolerant with adequate holding force at slightly larger format.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ADS1299 internal reference self-calibration at session start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FIRMWARE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$0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Routes internal reference to all channels, measures gain/offset, applies correction coefficients. Eliminates EEG amplitude drift over device lifetime. Coefficients logged in SHDR.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Plasma-activated PDMS (anti-fouling) for optical windows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PRE-PRODUCTION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Minimal</w:t>
            </w:r>
          </w:p>
        </w:tc>
        <w:tc>
          <w:tcPr>
            <w:tcW w:type="dxa" w:w="7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Hydrophilic surface repels sebum fouling. Standard microfluidics treatment. Same material, surface treatment at manufacture.</w:t>
            </w:r>
          </w:p>
        </w:tc>
      </w:tr>
      <w:tr>
        <w:tc>
          <w:tcPr/>
          <w:p>
            <w:r>
              <w:rPr>
                <w:b/>
                <w:sz w:val="18"/>
              </w:rPr>
              <w:t xml:space="preserve">Second scalp-side photodiode PD2 per zone (RISK-14 Option B)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PRE-TOOLING CRITICAL</w:t>
            </w:r>
          </w:p>
        </w:tc>
        <w:tc>
          <w:tcPr/>
          <w:p>
            <w:r>
              <w:rPr>
                <w:sz w:val="18"/>
              </w:rPr>
              <w:t xml:space="preserve">+$0.75–1.50/headset total</w:t>
            </w:r>
          </w:p>
        </w:tc>
        <w:tc>
          <w:tcPr/>
          <w:p>
            <w:r>
              <w:rPr>
                <w:sz w:val="18"/>
              </w:rPr>
              <w:t xml:space="preserve">Co-located on scalp-facing PDMS surface (pin 19 = PD2_CATHODE). PD1/PD2 ratio in firmware isolates PDMS fouling (PD1↓, PD2 stable) from LED aging (both↓ proportional). Eliminates service ambiguity single-PD could not resolve. T1 and T2 use identical zone module mould — firmware flag only.</w:t>
            </w:r>
          </w:p>
        </w:tc>
      </w:tr>
      <w:tr>
        <w:tc>
          <w:tcPr/>
          <w:p>
            <w:r>
              <w:rPr>
                <w:b/>
                <w:sz w:val="18"/>
              </w:rPr>
              <w:t xml:space="preserve">Five-layer zone module keying (RISK-15)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PRE-TOOLING CRITICAL</w:t>
            </w:r>
          </w:p>
        </w:tc>
        <w:tc>
          <w:tcPr/>
          <w:p>
            <w:r>
              <w:rPr>
                <w:sz w:val="18"/>
              </w:rPr>
              <w:t xml:space="preserve">Included in tooling</w:t>
            </w:r>
          </w:p>
        </w:tc>
        <w:tc>
          <w:tcPr/>
          <w:p>
            <w:r>
              <w:rPr>
                <w:sz w:val="18"/>
              </w:rPr>
              <w:t xml:space="preserve">Layer 1: asymmetric mechanical key per zone (physically prevents mis-insertion). Layer 2: ZONE_ID resistor (ZM-01=10kΩ → ZM-05=220kΩ, 1%, pin 18; Hub ADC reads before ENABLE). Layer 3: ISO 17049 braille zone abbreviation + raised numeral on module body. Layer 4: N tactile dots on shell adjacent to each zone slot. Layer 5: bone conduction audio confirms zone name on insertion. Covers colour-blind AND blind users. ZONE_ID firmware: 3×ADC at 100ms, ≥2/3 pass required (RISK-18 debounce).</w:t>
            </w:r>
          </w:p>
        </w:tc>
      </w:tr>
      <w:tr>
        <w:tc>
          <w:tcPr/>
          <w:p>
            <w:r>
              <w:rPr>
                <w:b/>
                <w:sz w:val="18"/>
              </w:rPr>
              <w:t xml:space="preserve">Self-sealing co-moulded silicone gasket per zone module (RISK-16 Option A)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PRE-TOOLING CRITICAL</w:t>
            </w:r>
          </w:p>
        </w:tc>
        <w:tc>
          <w:tcPr/>
          <w:p>
            <w:r>
              <w:rPr>
                <w:sz w:val="18"/>
              </w:rPr>
              <w:t xml:space="preserve">+$0.30–0.60/module</w:t>
            </w:r>
          </w:p>
        </w:tc>
        <w:tc>
          <w:tcPr/>
          <w:p>
            <w:r>
              <w:rPr>
                <w:sz w:val="18"/>
              </w:rPr>
              <w:t xml:space="preserve">Shore 40–50A UV-stable medical-grade silicone (ISO 10993-5), D-section 2.5mm × 2.0mm, co-moulded with mechanical retention groove + silicone primer. Provides IPX4 seal at zone module interface with no user RTV or re-sealing. 20% compression (0.4mm deflection) when seated. FAI-IPX-02 BLOCKING: IPX4 must pass after 10 field swap cycles before production.</w:t>
            </w:r>
          </w:p>
        </w:tc>
      </w:tr>
      <w:tr>
        <w:tc>
          <w:tcPr/>
          <w:p>
            <w:r>
              <w:rPr>
                <w:b/>
                <w:sz w:val="18"/>
              </w:rPr>
              <w:t xml:space="preserve">Zone module sliding eject lever (RISK-22 Option A)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PRE-TOOLING CRITICAL</w:t>
            </w:r>
          </w:p>
        </w:tc>
        <w:tc>
          <w:tcPr/>
          <w:p>
            <w:r>
              <w:rPr>
                <w:sz w:val="18"/>
              </w:rPr>
              <w:t xml:space="preserve">+$0.40/module</w:t>
            </w:r>
          </w:p>
        </w:tc>
        <w:tc>
          <w:tcPr/>
          <w:p>
            <w:r>
              <w:rPr>
                <w:sz w:val="18"/>
              </w:rPr>
              <w:t xml:space="preserve">10–12mm lever arm, 3:1 mechanical advantage, reduces extraction force from 2–4 N to ≤1 N at lever tip. Recessed flush when closed; snap-fit detent (0.3–0.5 N release) prevents accidental ejection. 316SS hinge pin press-fit into moulded boss. FAI-A15 HFE test: 5 subjects with Parkinson's (Hoehn &amp; Yahr II–III) or post-stroke weakness; ≤10 s extraction, ≤2 attempts.</w:t>
            </w:r>
          </w:p>
        </w:tc>
      </w:tr>
      <w:tr>
        <w:tc>
          <w:tcPr/>
          <w:p>
            <w:r>
              <w:rPr>
                <w:b/>
                <w:sz w:val="18"/>
              </w:rPr>
              <w:t xml:space="preserve">Multi-FPC bundle management inside shell (RISK-17)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PRE-TOOLING CRITICAL</w:t>
            </w:r>
          </w:p>
        </w:tc>
        <w:tc>
          <w:tcPr/>
          <w:p>
            <w:r>
              <w:rPr>
                <w:sz w:val="18"/>
              </w:rPr>
              <w:t xml:space="preserve">$0 (routing discipline)</w:t>
            </w:r>
          </w:p>
        </w:tc>
        <w:tc>
          <w:tcPr/>
          <w:p>
            <w:r>
              <w:rPr>
                <w:sz w:val="18"/>
              </w:rPr>
              <w:t xml:space="preserve">≥2mm separation between adjacent zone module FPCs (DRC-16). ≥15mm separation between FPC bundle and EEG electrode cables, or grounded 35µm Al foil barrier (DRC-18). 3 anchor bosses per FPC at ≥80mm intervals. All 5 Hub ZIF connectors on same PCB edge. Specified in NP-DRV-SHELL-001 §2.3.</w:t>
            </w:r>
          </w:p>
        </w:tc>
      </w:tr>
      <w:tr>
        <w:tc>
          <w:tcPr/>
          <w:p>
            <w:r>
              <w:rPr>
                <w:b/>
                <w:sz w:val="18"/>
              </w:rPr>
              <w:t xml:space="preserve">EEG electrode cable routing channel in shell (RISK-21)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PRE-TOOLING CRITICAL</w:t>
            </w:r>
          </w:p>
        </w:tc>
        <w:tc>
          <w:tcPr/>
          <w:p>
            <w:r>
              <w:rPr>
                <w:sz w:val="18"/>
              </w:rPr>
              <w:t xml:space="preserve">$0 (tooling)</w:t>
            </w:r>
          </w:p>
        </w:tc>
        <w:tc>
          <w:tcPr/>
          <w:p>
            <w:r>
              <w:rPr>
                <w:sz w:val="18"/>
              </w:rPr>
              <w:t xml:space="preserve">Dedicated 8×5mm moulded channel on outer CFRP inner surface, opposite side from FPC bundle. Provides ≥15mm separation from zone module FPCs. 3 snap-in cable retention clips at 80mm intervals. Must be in shell tooling spec before first cut. Specified in NP-DRV-SHELL-001 §2.4. OI-09: ME to produce routing diagram before G2 gate.</w:t>
            </w:r>
          </w:p>
        </w:tc>
      </w:tr>
      <w:tr>
        <w:tc>
          <w:tcPr/>
          <w:p>
            <w:r>
              <w:rPr>
                <w:b/>
                <w:sz w:val="18"/>
              </w:rPr>
              <w:t xml:space="preserve">PDMS–PI SiO₂ interlayer bonding process (RISK-04)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PRE-TOOLING CRITICAL</w:t>
            </w:r>
          </w:p>
        </w:tc>
        <w:tc>
          <w:tcPr/>
          <w:p>
            <w:r>
              <w:rPr>
                <w:sz w:val="18"/>
              </w:rPr>
              <w:t xml:space="preserve">Process cost (CAT-C supplier)</w:t>
            </w:r>
          </w:p>
        </w:tc>
        <w:tc>
          <w:tcPr/>
          <w:p>
            <w:r>
              <w:rPr>
                <w:sz w:val="18"/>
              </w:rPr>
              <w:t xml:space="preserve">75 nm RF magnetron sputtered SiO₂ on PI coverlay + O₂ plasma activation (100 W / 30 sccm / 60 s) of both surfaces. Bond within 10 min of plasma. Cure 120°C / 2 hr / 50 g/cm². Achieves 174–860 N/m peel force (vs 7–12 N/m without interlayer). 200-cycle IEC 60068-2-14 thermal cycling qualification (−10°C/+65°C) BLOCKING before any production FPCs. Batch peel ≥150 N/m per lot. NP-FAI-ZM-001 §3e.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6. Service Network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200"/>
        <w:gridCol w:w="1400"/>
        <w:gridCol w:w="1200"/>
        <w:gridCol w:w="1200"/>
        <w:gridCol w:w="268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Examples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Service tasks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Certification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Equipment cost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Revenue/yr at scale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F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A4030"/>
                <w:sz w:val="16"/>
                <w:szCs w:val="16"/>
              </w:rPr>
              <w:t xml:space="preserve">Launch timing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Tier A — Optical centers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LensCrafters · Pearle Vision · Independent opticians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S3 Rx clip manufacture + fitting (primary) · Lens replacement (standard + EC) · Calibration (reference surface, app-guided)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4-hr initial · 1-hr annual online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$400–600 loaned calibration reference + $80–120 alignment jig (eliminated by sliding rail — jig becomes optional)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$8K–35K/yr at scale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Year 1 — already engaged via S3 Rx programme. Anchor of entire network.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Tier B — Electronics repair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uBreakiFix / Asurion · iFixit partners · Independent repair shops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Zone module FPC swap · Hub fan replacement · DFU firmware recovery · eMMC data recovery · Impact inspection · Fluxgate calibration (Helmholtz coil reference)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6-hr initial · 2-hr annual practical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Existing ESD workstation + eMMC recovery adapter ($150–200) + NeuroPulse DFU software (downloaded)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$4K–18K/yr at scale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Year 2 — major metros first, expand with fleet. Becomes primary for electronic failures.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Tier C — Retail triage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Best Buy Geek Squad · Apple Authorized Service Providers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Warranty intake + triage · Routing to Tier A/B · Consumable sales · DFU if trained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2-hr initial · 30-min annual online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None — partner app access only. Consumable stock.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$1K–7K/yr (triage fee + consumable margin)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Year 1–2 broadly — legitimacy signal, geographic coverage, routing function.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NeuroPulse Depot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Mail-in backstop for all cases local partners cannot handle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tasks. T2 same-day loaner. eMMC specialist recovery. Fluxgate precision calibration.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Full NeuroPulse internal training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All equipment in-house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Highest margin per task — backstop role not primary channel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Day 1 — required before any device ships.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7. Remaining Weaknesses + Open Risks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868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6"/>
                <w:szCs w:val="16"/>
              </w:rPr>
              <w:t xml:space="preserve">Severity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6"/>
                <w:szCs w:val="16"/>
              </w:rPr>
              <w:t xml:space="preserve">Issue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65"/>
              <w:left w:type="dxa" w:w="90"/>
              <w:bottom w:type="dxa" w:w="65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6"/>
                <w:szCs w:val="16"/>
              </w:rPr>
              <w:t xml:space="preserve">Current status + mitigation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7"/>
                <w:szCs w:val="17"/>
              </w:rPr>
              <w:t xml:space="preserve">CRITICAL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Zero published clinical trials — 35-trial gap vs Vielight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Every clinical adoption decision, press mention, and regulatory discussion will reference Vielight's 35+ RCTs against NeuroPulse's zero. SBIR Phase I + academic seeding strategy is correct but takes 2–3 years to produce published data. PRIORITY: Commission SBIR Phase I immediately. First contacts: Rashidi-Ranjbar (Toronto PBM MCI RCT), Jog (UCLA HD-tDCS), Naeser (VA Boston TBI/PTSD). The 33-entry bibliography supports 'consistent with established evidence on each component modality' framing at launch.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7"/>
                <w:szCs w:val="17"/>
              </w:rPr>
              <w:t xml:space="preserve">CRITICAL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400 mW/cm² regulatory opinion not yet obtained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This number cannot appear in any public-facing material, investor deck, or product spec sheet until outside regulatory counsel confirms it is consistent with FDA-exempt wellness positioning and does not implicitly adopt Vielight's medical indications under FTC implied claim doctrine. Commission immediately: $8,000–15,000, 3–5 weeks. Until opinion is in hand, all materials must use '200 mW/cm²' or omit irradiance entirely.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17"/>
                <w:szCs w:val="17"/>
              </w:rPr>
              <w:t xml:space="preserve">CRITICAL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'NeuroPulse' is an uncleared placeholder name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Trademark search and clearance in US, EU, Canada, Australia required before any external conversation — researcher outreach, investor pitch, crowdfunding design, regulatory filing. Budget $15,000–25,000. If name conflicts, better to know now than after any public exposure.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F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A4000"/>
                <w:sz w:val="17"/>
                <w:szCs w:val="17"/>
              </w:rPr>
              <w:t xml:space="preserve">MODERATE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Scientific Advisory Board not formed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Device markets multi-modal 40Hz neuromodulation without any SAB credentialing. Priority: Li-Huei Tsai (MIT, 40Hz GENUS founder) as SAB member — NOT trial PI (Cognito conflict). Contact: 617-324-0305. Glen Jeffery (UCL, retinal PBM) and Margaret Naeser (VA Boston) also natural SAB candidates. 5-person SAB: $50,000–80,000/yr. Must be announced before or concurrent with clinical researcher outreach.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F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A4000"/>
                <w:sz w:val="17"/>
                <w:szCs w:val="17"/>
              </w:rPr>
              <w:t xml:space="preserve">MODERATE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Vulnerable population edge cases in research consent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Depression/PTSD category patients who contribute data and later wish to withdraw may not understand that already-anonymised data cannot be removed from an ongoing study. Withdrawal flow must disclose at per-project consent: 'Once your anonymised data is included in a study, individual withdrawal is not possible — future contributions can always be stopped.' Required by research ethics (Common Rule) and must appear in consent document before IRB approval of any study using this platform.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F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7A4000"/>
                <w:sz w:val="17"/>
                <w:szCs w:val="17"/>
              </w:rPr>
              <w:t xml:space="preserve">MODERATE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45W GaN charger not universally available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Full therapeutic PBM requires 45W USB-C PD. Users with only a 5V/2A phone charger get EEG-only mode. Decision: include branded 45W GaN charger in Home Standard box ($8–12 BOM). App clearly communicates 'power level: full therapeutic' vs 'power level: reduced' at session start. Eliminates friction at first use.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STRUCTURAL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Fluxgate calibration still requires service center visit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Reference photodiode eliminates PBM calibration visits. NTC cross-calibration and ADS1299 self-cal eliminate temperature and EEG drift. But fluxgate sensitivity drift (scale factor) requires a Helmholtz test coil providing a known field magnitude — not achievable via geomagnetic comparison alone. Residual requirement: Tier B service center every 3–5 years. Mitigated by: geomagnetic comparison detecting when drift is severe enough to schedule, fleet SHDR trend prediction giving non-urgent lead time, 3–5 year interval being long enough for Tier B network to be well-established first.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STRUCTURAL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7"/>
                <w:szCs w:val="17"/>
              </w:rPr>
              <w:t xml:space="preserve">iOS/Android OS updates can disrupt app function</w:t>
            </w:r>
          </w:p>
        </w:tc>
        <w:tc>
          <w:tcPr>
            <w:tcW w:type="dxa" w:w="8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Annual major iOS/Android releases can break USB accessory APIs, background execution, or health APIs without warning. Committed mitigation: participate in Apple/Google developer beta programmes, 7-day OS compatibility SLA, autonomous Mode 3 operation (pre-programmed session from power bank) as structural fallback when app is temporarily broken. This cannot be fully designed away — it is a dependency on platform vendors.</w:t>
            </w:r>
          </w:p>
        </w:tc>
      </w:tr>
      <w:tr>
        <w:tc>
          <w:tcPr>
            <w:shd w:val="clear" w:color="auto" w:fill="FCE4D6"/>
          </w:tcPr>
          <w:p>
            <w:r>
              <w:rPr>
                <w:b/>
                <w:sz w:val="18"/>
              </w:rPr>
              <w:t xml:space="preserve">HIGH (OPEN)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CFRP shell slot rim surface finish (Ra ≤ 1.6 µm) — RISK-20
Moulded CFRP typically achieves Ra 1.6–3.2 µm. Gasket seal (RISK-16) requires Ra ≤ 1.6 µm at slot rim. Gap between achievable and required finish is unconfirmed.</w:t>
            </w:r>
          </w:p>
        </w:tc>
        <w:tc>
          <w:tcPr>
            <w:shd w:val="clear" w:color="auto" w:fill="FCE4D6"/>
          </w:tcPr>
          <w:p>
            <w:r>
              <w:rPr>
                <w:sz w:val="18"/>
              </w:rPr>
              <w:t xml:space="preserve">BLOCKING — tooling cannot be released until CFRP tooling supplier provides written confirmation (letter + Ra measurement data from representative coupon) that Ra ≤ 1.6 µm is achievable. If Ra &gt; 1.6 µm: escalate to ME + EE; gasket geometry or shell design must be revised. Tracked in NP-PROC-SUP-001 SUP-M-07/SUP-B-01 and §9.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0F6E56"/>
          <w:sz w:val="34"/>
          <w:szCs w:val="34"/>
        </w:rPr>
        <w:t xml:space="preserve">8. Open Items + Completed Decisions</w:t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8.1 Pending decisions — action required before first tooling cut</w:t>
      </w:r>
    </w:p>
    <w:p>
      <w:pPr>
        <w:spacing w:after="0" w:before="60"/>
      </w:pPr>
      <w:r>
        <w:t xml:space="preserve"/>
      </w:r>
    </w:p>
    <w:p>
      <w:r>
        <w:rPr>
          <w:sz w:val="20"/>
        </w:rPr>
        <w:t>• LED emitter pulse current rating verification (660nm + 808–830nm at 120–180mA)</w:t>
      </w:r>
    </w:p>
    <w:p>
      <w:r>
        <w:rPr>
          <w:sz w:val="20"/>
        </w:rPr>
        <w:t>• SAB formation — Tsai outreach first (617-324-0305, SAB role only)</w:t>
      </w:r>
    </w:p>
    <w:p>
      <w:r>
        <w:rPr>
          <w:sz w:val="20"/>
        </w:rPr>
        <w:t>• First researcher contact: Rashidi-Ranjbar, then Jog, then Naeser</w:t>
      </w:r>
    </w:p>
    <w:p>
      <w:r>
        <w:rPr>
          <w:sz w:val="20"/>
        </w:rPr>
        <w:t>• SBIR Phase I application — initiate at company formation</w:t>
      </w:r>
    </w:p>
    <w:p>
      <w:r>
        <w:rPr>
          <w:sz w:val="20"/>
        </w:rPr>
        <w:t>• Partner optician network contract (S3 Rx programme)</w:t>
      </w:r>
    </w:p>
    <w:p>
      <w:r>
        <w:rPr>
          <w:sz w:val="20"/>
        </w:rPr>
        <w:t>• Dual-bank OTA bootloader — must be in bootloader from first firmware line</w:t>
      </w:r>
    </w:p>
    <w:p>
      <w:r>
        <w:rPr>
          <w:sz w:val="20"/>
        </w:rPr>
        <w:t>• eMMC partition architecture + UHDR/SHDR separate encryption — before first firmware line</w:t>
      </w:r>
    </w:p>
    <w:p>
      <w:r>
        <w:rPr>
          <w:sz w:val="20"/>
        </w:rPr>
        <w:t>• Goggle arm tooling: anchor hook for lens rim guard tether</w:t>
      </w:r>
    </w:p>
    <w:p>
      <w:r>
        <w:rPr>
          <w:sz w:val="20"/>
        </w:rPr>
        <w:t>• Lens tooling: sliding rail + N42 magnet positions (≥1mm polymer wall) + AgNW spec + hard coat + EC driver contacts</w:t>
      </w:r>
    </w:p>
    <w:p>
      <w:r>
        <w:rPr>
          <w:sz w:val="20"/>
        </w:rPr>
        <w:t>• Shell tooling: anchor posts (5 zone + 3 port positions, colour-coded) + EEG cable routing channel (§2.4)</w:t>
      </w:r>
    </w:p>
    <w:p>
      <w:r>
        <w:rPr>
          <w:sz w:val="20"/>
        </w:rPr>
        <w:t>• Hub tooling: intranasal probe dock + anchor posts for all interface covers + large-radius Boa cable channel + tool-free fan</w:t>
      </w:r>
    </w:p>
    <w:p>
      <w:r>
        <w:rPr>
          <w:sz w:val="20"/>
        </w:rPr>
        <w:t>• EEG cable routing path in shell CAD model (NP-DRV-SHELL-001 §2.4 OI-09 — required for DRC-18 verification)</w:t>
      </w:r>
    </w:p>
    <w:p>
      <w:r>
        <w:rPr>
          <w:sz w:val="20"/>
        </w:rPr>
        <w:t>• HFE formative study for sliding eject lever — 5 subjects with Parkinson's/post-stroke grip weakness (NP-FAI-ZM-001 FAI-A15, NP-TOOL-ZM-001 OI-4)</w:t>
      </w:r>
    </w:p>
    <w:p>
      <w:r>
        <w:rPr>
          <w:sz w:val="20"/>
        </w:rPr>
        <w:t>• ZONE_ID firmware debounce specification written into firmware requirements document (3×ADC at 100ms, ≥2/3 pass — RISK-18)</w:t>
      </w:r>
    </w:p>
    <w:p>
      <w:r>
        <w:rPr>
          <w:sz w:val="20"/>
        </w:rPr>
        <w:t>• Zone module mould design review — NP-TOOL-ZM-001 §5 checklist (all 8 features F-01 through F-08) signed off before steel cut</w:t>
      </w:r>
    </w:p>
    <w:p>
      <w:r>
        <w:rPr>
          <w:sz w:val="20"/>
        </w:rPr>
        <w:t>• Zone module FPC layout freeze — PD2 component position must be locked before mould aperture (F-04 in NP-TOOL-ZM-001) can be specified</w:t>
      </w:r>
    </w:p>
    <w:p>
      <w:r>
        <w:rPr>
          <w:sz w:val="20"/>
        </w:rPr>
        <w:t>• PDMS CAT-C supplier selection + IEC 60068-2-14 200-cycle thermal cycling qualification passed (RISK-04 — BLOCKING before any production FPCs built). NP-FAI-ZM-001 FAI-TC02 must be on file.</w:t>
      </w:r>
    </w:p>
    <w:p>
      <w:r>
        <w:rPr>
          <w:sz w:val="20"/>
        </w:rPr>
        <w:t>• CFRP shell slot rim Ra ≤ 1.6 µm — written confirmation from tooling supplier with Ra measurement data (RISK-20 — BLOCKING for tooling release). Supplier qualification item: NP-PROC-SUP-001 SUP-M-07.</w:t>
      </w:r>
    </w:p>
    <w:p>
      <w:r>
        <w:rPr>
          <w:sz w:val="20"/>
        </w:rPr>
        <w:t>• 400 mW/cm² regulatory opinion letter (RISK-03 — BLOCKING for all public material referencing irradiance)</w:t>
      </w:r>
    </w:p>
    <w:p>
      <w:r>
        <w:rPr>
          <w:sz w:val="20"/>
        </w:rPr>
        <w:t>• Product name trademark search and clearance (US/EU/CA/AU) — before ANY external conversation</w:t>
      </w:r>
    </w:p>
    <w:p>
      <w:pPr>
        <w:pStyle w:val="Heading2"/>
        <w:spacing w:after="90" w:before="240"/>
      </w:pPr>
      <w:r>
        <w:rPr>
          <w:rFonts w:ascii="Arial" w:cs="Arial" w:eastAsia="Arial" w:hAnsi="Arial"/>
          <w:b/>
          <w:bCs/>
          <w:color w:val="534AB7"/>
          <w:sz w:val="24"/>
          <w:szCs w:val="24"/>
        </w:rPr>
        <w:t xml:space="preserve">8.2 Completed decisions — locked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Two-tier product strategy (T1 consumer wellness / T2 clinical) with shared platform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600 LEDs (300×660nm + 300×808–830nm) FPC zone modules from launch — no Rev A/Rev B split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400 mW/cm² peak pulsed via firmware duty cycle (Path A, $0 hardware) — pending regulatory opinion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21-channel EEG: FC3, FC4, Oz, A1/A2 (on VNS clips) — full 10-20 + auricular references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STM32G071 safety MCU (not G031 — SRAM error corrected) — +$0.45 BOM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No NFC anywhere — optical code + resistive pogo authentication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USB-C wired-first default, BT/Wi-Fi toggle, antennas in hub not headset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Boa-style dial + spring-decoupled electrode pods — one adult SKU 52–62cm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5-layer passive EMF shielding + active Helmholtz cancellation + palladium fabric (permanent shielding claim)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Auricular VNS clip = HRV PPG + A1/A2 EEG references (2 spare conductors in existing 6-pin cable)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Standard lens (35% VLT, 108 micro-LEDs/lens, S1 included) + EC premium (+$89, 5–75% VLT) + S3 Rx clip (both lenses)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Internal processor retained ($85 BOM) — autonomous closed-loop is primary competitive moat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UHDR/SHDR terminology framework — complete separation, never linked by design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Clinical consent engine: use case library → minimum necessary data mapper → consent document generator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Research partnership: a priori consent (contact/category/blanket), results opt-in, suggestion portal, crowdfunding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POA workflow with human document review, jurisdiction flagging, annual re-verification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Service network: Tier A optical (primary) + Tier B electronics + Tier C retail + depot backstop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All interface protection covers tethered to headset, anchor posts in tooling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 xml:space="preserve">Predictive maintenance: SHDR fleet database → fleet-trained RUL model → deployed back to devices via OTA</w:t>
      </w:r>
    </w:p>
    <w:p>
      <w:r>
        <w:rPr>
          <w:sz w:val="20"/>
        </w:rPr>
        <w:t>• Engineering documentation package complete: NP-HW-FPC-001, NP-PROC-FPC-001, NP-DRV-SHELL-001, NP-FAI-ZM-001, NP-COORD-001, NP-TOOL-ZM-001, NP-PROC-SUP-001</w:t>
      </w:r>
    </w:p>
    <w:p>
      <w:r>
        <w:rPr>
          <w:sz w:val="20"/>
        </w:rPr>
        <w:t>• Risk register complete: 24 risks (RISK-01 through RISK-24); 22 MITIGATED; 2 OPEN (RISK-03 regulatory opinion; RISK-20 CFRP Ra — both external, pending supplier/counsel)</w:t>
      </w:r>
    </w:p>
    <w:p>
      <w:r>
        <w:rPr>
          <w:sz w:val="20"/>
        </w:rPr>
        <w:t>• Multi-FPC bundle management: ≥2mm inter-FPC separation; ≥15mm FPC-to-EEG cable; 3 anchor bosses per FPC; all 5 Hub ZIF connectors on same PCB edge (RISK-17)</w:t>
      </w:r>
    </w:p>
    <w:p>
      <w:r>
        <w:rPr>
          <w:sz w:val="20"/>
        </w:rPr>
        <w:t>• EEG cable routing: dedicated 8×5mm channel on outer CFRP surface, ≥15mm separation from FPC bundle (RISK-21)</w:t>
      </w:r>
    </w:p>
    <w:p>
      <w:r>
        <w:rPr>
          <w:sz w:val="20"/>
        </w:rPr>
        <w:t>• PDMS bonding process: SiO₂ 75nm interlayer + O₂ plasma, ≥150 N/m peel; 200-cycle IEC 60068-2-14 qualification BLOCKING before production (RISK-04)</w:t>
      </w:r>
    </w:p>
    <w:p>
      <w:r>
        <w:rPr>
          <w:sz w:val="20"/>
        </w:rPr>
        <w:t>• ZONE_ID firmware debounce: 3× ADC reads at 100ms intervals, ≥2/3 must pass before FAULT (RISK-18)</w:t>
      </w:r>
    </w:p>
    <w:p>
      <w:r>
        <w:rPr>
          <w:sz w:val="20"/>
        </w:rPr>
        <w:t>• Sliding eject lever (RISK-22 Option A): 10–12mm arm, 3:1 mechanical advantage, ≤1N extraction force; accessibility target Parkinson's Hoehn &amp; Yahr II–III</w:t>
      </w:r>
    </w:p>
    <w:p>
      <w:r>
        <w:rPr>
          <w:sz w:val="20"/>
        </w:rPr>
        <w:t>• Self-sealing gasket (RISK-16 Option A): co-moulded Shore 40–50A silicone, no user RTV, IPX4 rated after 10 field swap cycles</w:t>
      </w:r>
    </w:p>
    <w:p>
      <w:r>
        <w:rPr>
          <w:sz w:val="20"/>
        </w:rPr>
        <w:t>• Five-layer zone keying (RISK-15): mechanical key + ZONE_ID resistor + braille/numeral + tactile shell dots + bone conduction audio; works for colour-blind and blind users</w:t>
      </w:r>
    </w:p>
    <w:p>
      <w:r>
        <w:rPr>
          <w:sz w:val="20"/>
        </w:rPr>
        <w:t>• Dual photodiode (RISK-14 Option B): PD2 on scalp-facing PDMS surface; PD1/PD2 ratio separates fouling from LED aging; T1 and T2 use identical zone module mould</w:t>
      </w:r>
    </w:p>
    <w:p>
      <w:r>
        <w:rPr>
          <w:sz w:val="20"/>
        </w:rPr>
        <w:t>• FPC 20-pin pinout locked: pin 18 = ZONE_ID (ZM-01=10kΩ → ZM-05=220kΩ, 1% 0402); pin 19 = PD2_CATHODE (scalp-side reference photodiode)</w:t>
      </w:r>
    </w:p>
    <w:p>
      <w:pPr>
        <w:pStyle w:val="ListParagraph"/>
        <w:numPr>
          <w:ilvl w:val="0"/>
          <w:numId w:val="2"/>
        </w:numPr>
        <w:spacing w:after="35" w:before="35"/>
      </w:pPr>
      <w:r>
        <w:rPr>
          <w:rFonts w:ascii="Arial" w:cs="Arial" w:eastAsia="Arial" w:hAnsi="Arial"/>
          <w:color w:val="1A1A2E"/>
          <w:sz w:val="18"/>
          <w:szCs w:val="18"/>
        </w:rPr>
        <w:t>Design brief Revision 1, Revision 2, bibliography (33 entries), researcher candidates (12), Revision 3, and this Revision 4 generated as Word documents</w:t>
      </w:r>
    </w:p>
    <w:sectPr>
      <w:pgSz w:w="12240" w:h="158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9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2026-05-04T22:49:06.010Z</dcterms:created>
  <dcterms:modified xsi:type="dcterms:W3CDTF">2026-05-04T22:49:06.017Z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