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r>
        <w:t xml:space="preserve"/>
      </w:r>
    </w:p>
    <w:p>
      <w:pPr>
        <w:spacing w:after="80" w:before="0"/>
        <w:jc w:val="center"/>
      </w:pPr>
      <w:r>
        <w:rPr>
          <w:rFonts w:ascii="Arial" w:cs="Arial" w:eastAsia="Arial" w:hAnsi="Arial"/>
          <w:b/>
          <w:bCs/>
          <w:color w:val="0F6E56"/>
          <w:sz w:val="64"/>
          <w:szCs w:val="64"/>
        </w:rPr>
        <w:t xml:space="preserve">NeuroPulse</w:t>
      </w:r>
    </w:p>
    <w:p>
      <w:pPr>
        <w:spacing w:after="100" w:before="0"/>
        <w:jc w:val="center"/>
      </w:pPr>
      <w:r>
        <w:rPr>
          <w:rFonts w:ascii="Arial" w:cs="Arial" w:eastAsia="Arial" w:hAnsi="Arial"/>
          <w:b/>
          <w:bCs/>
          <w:color w:val="534AB7"/>
          <w:sz w:val="36"/>
          <w:szCs w:val="36"/>
        </w:rPr>
        <w:t xml:space="preserve">Clinical Evidence Bibliography</w:t>
      </w:r>
    </w:p>
    <w:p>
      <w:pPr>
        <w:spacing w:after="60" w:before="0"/>
        <w:jc w:val="center"/>
      </w:pPr>
      <w:r>
        <w:rPr>
          <w:rFonts w:ascii="Arial" w:cs="Arial" w:eastAsia="Arial" w:hAnsi="Arial"/>
          <w:i/>
          <w:iCs/>
          <w:color w:val="555555"/>
          <w:sz w:val="22"/>
          <w:szCs w:val="22"/>
        </w:rPr>
        <w:t xml:space="preserve">Supporting trials and reviews across all NeuroPulse modalities</w:t>
      </w:r>
    </w:p>
    <w:p>
      <w:pPr>
        <w:spacing w:after="300" w:before="0"/>
        <w:jc w:val="center"/>
      </w:pPr>
      <w:r>
        <w:rPr>
          <w:rFonts w:ascii="Arial" w:cs="Arial" w:eastAsia="Arial" w:hAnsi="Arial"/>
          <w:color w:val="888888"/>
          <w:sz w:val="18"/>
          <w:szCs w:val="18"/>
        </w:rPr>
        <w:t xml:space="preserve">Compiled: May 2, 2026 · 33 entries · 11 modality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2"/>
              <w:left w:val="none" w:color="FFFFFF" w:sz="0"/>
              <w:bottom w:val="single" w:color="0F6E56" w:sz="2"/>
              <w:right w:val="none" w:color="FFFFFF" w:sz="0"/>
            </w:tcBorders>
            <w:shd w:fill="F4F9F7" w:val="clear"/>
            <w:tcMar>
              <w:top w:type="dxa" w:w="100"/>
              <w:left w:type="dxa" w:w="160"/>
              <w:bottom w:type="dxa" w:w="100"/>
              <w:right w:type="dxa" w:w="160"/>
            </w:tcMar>
          </w:tcPr>
          <w:p>
            <w:r>
              <w:rPr>
                <w:rFonts w:ascii="Arial" w:cs="Arial" w:eastAsia="Arial" w:hAnsi="Arial"/>
                <w:b/>
                <w:bCs/>
                <w:color w:val="0F6E56"/>
                <w:sz w:val="22"/>
                <w:szCs w:val="22"/>
              </w:rPr>
              <w:t xml:space="preserve">Scope and use of this bibliography</w:t>
            </w:r>
          </w:p>
          <w:p>
            <w:pPr>
              <w:spacing w:after="0" w:before="60"/>
            </w:pPr>
            <w:r>
              <w:t xml:space="preserve"/>
            </w:r>
          </w:p>
          <w:p>
            <w:pPr>
              <w:spacing w:after="60" w:before="0"/>
            </w:pPr>
            <w:r>
              <w:rPr>
                <w:rFonts w:ascii="Arial" w:cs="Arial" w:eastAsia="Arial" w:hAnsi="Arial"/>
                <w:color w:val="1A1A2E"/>
                <w:sz w:val="19"/>
                <w:szCs w:val="19"/>
              </w:rPr>
              <w:t xml:space="preserve">This bibliography covers published and peer-reviewed clinical trials, meta-analyses, and systematic reviews whose results can be reasonably relied upon to support NeuroPulse's design rationale, safety claims, and efficacy positioning. Each entry is selected because its findings directly validate one or more of NeuroPulse's eight Tier 1 modalities or three additional Tier 2 modalities.</w:t>
            </w:r>
          </w:p>
          <w:p>
            <w:pPr>
              <w:spacing w:after="60" w:before="0"/>
            </w:pPr>
            <w:r>
              <w:rPr>
                <w:rFonts w:ascii="Arial" w:cs="Arial" w:eastAsia="Arial" w:hAnsi="Arial"/>
                <w:color w:val="1A1A2E"/>
                <w:sz w:val="19"/>
                <w:szCs w:val="19"/>
              </w:rPr>
              <w:t xml:space="preserve">These trials were conducted with other manufacturers' devices (primarily Vielight, standard neurostimulators, and validated clinical rTMS systems) at parameters closely matching NeuroPulse's specifications. They do not constitute NeuroPulse-specific clinical evidence — they constitute the body of existing evidence that NeuroPulse's design was built to be consistent with, and that can be cited in marketing, investor, and regulatory materials with appropriate attribution.</w:t>
            </w:r>
          </w:p>
          <w:p>
            <w:pPr>
              <w:spacing w:after="0" w:before="0"/>
            </w:pPr>
            <w:r>
              <w:rPr>
                <w:rFonts w:ascii="Arial" w:cs="Arial" w:eastAsia="Arial" w:hAnsi="Arial"/>
                <w:color w:val="1A1A2E"/>
                <w:sz w:val="19"/>
                <w:szCs w:val="19"/>
              </w:rPr>
              <w:t xml:space="preserve">Priority for NeuroPulse's own clinical programme: Tier 2 510(k) filing requires device-specific clinical data. The studies marked 'RCT' in the quality column represent the methodological standard to which NeuroPulse's own trials should aspire. The University of Toronto Vielight MCI RCT [5] is the closest design precedent for a NeuroPulse Tier 1 home-use PBM+EEG study.</w:t>
            </w:r>
          </w:p>
        </w:tc>
      </w:tr>
    </w:tbl>
    <w:p>
      <w:r>
        <w:br w:type="page"/>
      </w:r>
    </w:p>
    <w:p>
      <w:pPr>
        <w:pStyle w:val="Heading1"/>
        <w:spacing w:after="160" w:before="400"/>
      </w:pPr>
      <w:r>
        <w:rPr>
          <w:rFonts w:ascii="Arial" w:cs="Arial" w:eastAsia="Arial" w:hAnsi="Arial"/>
          <w:b/>
          <w:bCs/>
          <w:color w:val="0F6E56"/>
          <w:sz w:val="36"/>
          <w:szCs w:val="36"/>
        </w:rPr>
        <w:t xml:space="preserve">Modality sections</w:t>
      </w:r>
    </w:p>
    <w:p>
      <w:pPr>
        <w:spacing w:after="60" w:before="60"/>
      </w:pPr>
      <w:r>
        <w:rPr>
          <w:rFonts w:ascii="Arial" w:cs="Arial" w:eastAsia="Arial" w:hAnsi="Arial"/>
          <w:color w:val="1A1A2E"/>
          <w:sz w:val="20"/>
          <w:szCs w:val="20"/>
        </w:rPr>
        <w:t xml:space="preserve">A. Photobiomodulation — Transcranial  ·  B. Photobiomodulation — Retinal  ·  C. 40Hz Gamma Sensory Stimulation  ·  D. EEG Neurofeedback  ·  E. Brainwave Entrainment Stimulation (tACS)  ·  F. Cortical Priming Stimulation (tDCS)  ·  G. TMS/rTMS  ·  H. Vagus Nerve Stimulation  ·  I. Audio Entrainment  ·  J. HRV Biofeedback  ·  K. EMDR</w:t>
      </w:r>
    </w:p>
    <w:p>
      <w:pPr>
        <w:spacing w:after="0" w:before="80"/>
      </w:pPr>
      <w:r>
        <w:t xml:space="preserve"/>
      </w:r>
    </w:p>
    <w:p>
      <w:pPr>
        <w:pStyle w:val="Heading2"/>
        <w:spacing w:after="120" w:before="300"/>
      </w:pPr>
      <w:r>
        <w:rPr>
          <w:rFonts w:ascii="Arial" w:cs="Arial" w:eastAsia="Arial" w:hAnsi="Arial"/>
          <w:b/>
          <w:bCs/>
          <w:color w:val="534AB7"/>
          <w:sz w:val="26"/>
          <w:szCs w:val="26"/>
        </w:rPr>
        <w:t xml:space="preserve">A. Photobiomodulation — Transcranial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RCT · n=8 · pilot</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Chao LL. Effects of Home Photobiomodulation Treatments on Cognitive and Behavioral Function, Cerebral Perfusion, and Resting-State Functional Connectivity in Patients with Dementia: A Pilot Trial. Photobiomodul Photomed Laser Surg. 2019 Mar;37(3):133-141. doi: 10.1089/photob.2018.4555.</w:t>
            </w:r>
          </w:p>
          <w:p>
            <w:pPr>
              <w:spacing w:after="40" w:before="0"/>
            </w:pPr>
            <w:hyperlink w:history="1" r:id="rIdmzt6suziyi_7jhdbjoa6m">
              <w:r>
                <w:rPr>
                  <w:rStyle w:val="Hyperlink"/>
                  <w:rFonts w:ascii="Arial" w:cs="Arial" w:eastAsia="Arial" w:hAnsi="Arial"/>
                  <w:sz w:val="17"/>
                  <w:szCs w:val="17"/>
                </w:rPr>
                <w:t xml:space="preserve">https://pubmed.ncbi.nlm.nih.gov/31050950/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8 dementia patients randomized 12 weeks home PBM (Vielight Neuro Gamma, 810nm, 40Hz). PBM group: 4.8-point improvement in ADAS-cog vs 0.8-point decline in usual care. 22.8-point reduction in NPI behavioral symptoms vs 5.3-point worsening in controls. First report of functional connectivity improvements (parietal, DMN) following non-pharmacological intervention. No adverse effects.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Case series · n=5</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Saltmarche AE, Naeser MA, Ho KF, Hamblin MR, Lim L. Significant Improvement in Cognition in Mild to Moderately Severe Dementia Cases Treated with Transcranial Plus Intranasal Photobiomodulation: Case Series Report. Photomed Laser Surg. 2017 Aug;35(8):432-441. doi: 10.1089/pho.2016.4227.</w:t>
            </w:r>
          </w:p>
          <w:p>
            <w:pPr>
              <w:spacing w:after="40" w:before="0"/>
            </w:pPr>
            <w:hyperlink w:history="1" r:id="rIdznsqm1l_ggu4j6kcshcg5">
              <w:r>
                <w:rPr>
                  <w:rStyle w:val="Hyperlink"/>
                  <w:rFonts w:ascii="Arial" w:cs="Arial" w:eastAsia="Arial" w:hAnsi="Arial"/>
                  <w:sz w:val="17"/>
                  <w:szCs w:val="17"/>
                </w:rPr>
                <w:t xml:space="preserve">https://pubmed.ncbi.nlm.nih.gov/28186867/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5 patients with mild-to-moderate dementia, 12-week home PBM (Vielight Neuro Gamma, 810nm, 40Hz) then 4-week withdrawal. All patients showed significant cognitive improvement on MMSE, ADAS-cog, and NPI-ES at 12 weeks. Gains partially reversed during 4-week withdrawal and recovered when treatment resumed — establishing a dose-response relationship. Foundational Vielight study used by Harvard/BU collaboration.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Systematic review · 2023</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Lee TL, Ding Z, Chan AS. Can transcranial photobiomodulation improve cognitive function? A systematic review of human studies. Ageing Res Rev. 2023 Jan;83:101786. doi: 10.1016/j.arr.2022.101786.</w:t>
            </w:r>
          </w:p>
          <w:p>
            <w:pPr>
              <w:spacing w:after="40" w:before="0"/>
            </w:pPr>
            <w:hyperlink w:history="1" r:id="rIdgbtjdqsuxlg8atcehvfms">
              <w:r>
                <w:rPr>
                  <w:rStyle w:val="Hyperlink"/>
                  <w:rFonts w:ascii="Arial" w:cs="Arial" w:eastAsia="Arial" w:hAnsi="Arial"/>
                  <w:sz w:val="17"/>
                  <w:szCs w:val="17"/>
                </w:rPr>
                <w:t xml:space="preserve">https://pubmed.ncbi.nlm.nih.gov/36371017/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human tPBM studies. Majority show cognitive improvement across RCTs and open studies. Key wavelengths 808–850nm most studied. Pulsed (10Hz, 40Hz) outperforms CW. Identifies executive function, memory, and attention as most responsive domains. NeuroPulse relevance: validates 808–830nm wavelength choice and pulsed delivery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Open-protocol · n=11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Naeser MA, Zafonte R, Krengel MH, et al. Significant improvements in cognitive performance post-transcranial, red/near-infrared light-emitting diode treatments in chronic, mild traumatic brain injury: Open-protocol study. J Neurotrauma. 2014;31(11):1008-1017. doi: 10.1089/neu.2013.3244.</w:t>
            </w:r>
          </w:p>
          <w:p>
            <w:pPr>
              <w:spacing w:after="40" w:before="0"/>
            </w:pPr>
            <w:hyperlink w:history="1" r:id="rIdzi4-aqak6cj5oed-3a3ba">
              <w:r>
                <w:rPr>
                  <w:rStyle w:val="Hyperlink"/>
                  <w:rFonts w:ascii="Arial" w:cs="Arial" w:eastAsia="Arial" w:hAnsi="Arial"/>
                  <w:sz w:val="17"/>
                  <w:szCs w:val="17"/>
                </w:rPr>
                <w:t xml:space="preserve">https://pubmed.ncbi.nlm.nih.gov/24568233/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11 chronic mTBI patients, 18 LED sessions (870nm + 633nm, 22.2 mW/cm²). Significant improvements in executive function; reduced PTSD symptoms if present. Patients and families reported better social, interpersonal, and occupational functioning. Established transcranial LED PBM for TBI — foundational study for the indication. NeuroPulse relevance: supports TBI/concussion rehabilitation market.</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RCT · n=20 · 2025</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Rashidi-Ranjbar N, Churchill NW, et al. Transcranial Photobiomodulation (tPBM) for Mild Cognitive Impairment (MCI): Key Findings from a Pilot Randomized Clinical Trial (RCT). Alzheimers Dement. 2025;21(Suppl 7):e70861. doi: 10.1002/alz70861_108308.</w:t>
            </w:r>
          </w:p>
          <w:p>
            <w:pPr>
              <w:spacing w:after="40" w:before="0"/>
            </w:pPr>
            <w:hyperlink w:history="1" r:id="rIdg_4krklzhzcvlzctzgf3l">
              <w:r>
                <w:rPr>
                  <w:rStyle w:val="Hyperlink"/>
                  <w:rFonts w:ascii="Arial" w:cs="Arial" w:eastAsia="Arial" w:hAnsi="Arial"/>
                  <w:sz w:val="17"/>
                  <w:szCs w:val="17"/>
                </w:rPr>
                <w:t xml:space="preserve">https://pubmed.ncbi.nlm.nih.gov/40368044/</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20 MCI patients randomized, 6-week daily home tPBM (Vielight Neuro RX Gamma, 810nm, 40Hz). Active group: significant cognitive improvement (MMSE, TMT), increased DMN functional connectivity on fMRI, increased cerebral blood flow, improved metabolite ratios in posterior cingulate cortex. First MCI RCT with neuroimaging outcomes. Directly supports NeuroPulse's Alzheimer's prevention positioning.</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w:t>
            </w:r>
          </w:p>
          <w:p>
            <w:pPr>
              <w:spacing w:before="40"/>
            </w:pPr>
            <w:r>
              <w:rPr>
                <w:rFonts w:ascii="Arial" w:cs="Arial" w:eastAsia="Arial" w:hAnsi="Arial"/>
                <w:i/>
                <w:iCs/>
                <w:color w:val="888888"/>
                <w:sz w:val="16"/>
                <w:szCs w:val="16"/>
              </w:rPr>
              <w:t xml:space="preserve">RCT · n=76 · double-blind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Oliveira BB, Lemos EF, Knob NF, et al. Transcranial photobiomodulation increases cognition and serum BDNF levels in adults over 50 years: A randomized, double-blind, placebo-controlled trial. Neuroscience. 2024;(published online). doi: 10.1016/j.neuroscience.2024.04.001.</w:t>
            </w:r>
          </w:p>
          <w:p>
            <w:pPr>
              <w:spacing w:after="40" w:before="0"/>
            </w:pPr>
            <w:hyperlink w:history="1" r:id="rIdrutn_d52tf1y8jgzrxgvh">
              <w:r>
                <w:rPr>
                  <w:rStyle w:val="Hyperlink"/>
                  <w:rFonts w:ascii="Arial" w:cs="Arial" w:eastAsia="Arial" w:hAnsi="Arial"/>
                  <w:sz w:val="17"/>
                  <w:szCs w:val="17"/>
                </w:rPr>
                <w:t xml:space="preserve">https://www.sciencedirect.com/science/article/pii/S101113442400201X</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76 adults over 50 with MCI randomized, 24 sessions whole-head tPBM (RED + NIR LEDs, 2 months). Active group: significantly enhanced cognition AND elevated serum BDNF. First RCT showing dual-wavelength (red + NIR) whole-head tPBM improves cognition AND raises BDNF biomarker. No change in depression or anxiety scores — effect is specific to cognition. Validates NeuroPulse's dual-wavelength (660+810nm)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Transcranial + Intranasal</w:t>
            </w:r>
          </w:p>
          <w:p>
            <w:pPr>
              <w:spacing w:before="40"/>
            </w:pPr>
            <w:r>
              <w:rPr>
                <w:rFonts w:ascii="Arial" w:cs="Arial" w:eastAsia="Arial" w:hAnsi="Arial"/>
                <w:i/>
                <w:iCs/>
                <w:color w:val="888888"/>
                <w:sz w:val="16"/>
                <w:szCs w:val="16"/>
              </w:rPr>
              <w:t xml:space="preserve">RCT · sham-controlled · EEG</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Zomorrodi R, Loheswaran G, Pushparaj A, Lim L. Pulsed Near Infrared Transcranial and Intranasal Photobiomodulation Significantly Modulates Neural Oscillations: a pilot exploratory study. Sci Rep. 2019;9:6309. doi: 10.1038/s41598-019-42693-x.</w:t>
            </w:r>
          </w:p>
          <w:p>
            <w:pPr>
              <w:spacing w:after="40" w:before="0"/>
            </w:pPr>
            <w:hyperlink w:history="1" r:id="rIdboljo1naelhabnzqmn4qj">
              <w:r>
                <w:rPr>
                  <w:rStyle w:val="Hyperlink"/>
                  <w:rFonts w:ascii="Arial" w:cs="Arial" w:eastAsia="Arial" w:hAnsi="Arial"/>
                  <w:sz w:val="17"/>
                  <w:szCs w:val="17"/>
                </w:rPr>
                <w:t xml:space="preserve">https://www.nature.com/articles/s41598-019-42693-x</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Single-session 40Hz 810nm NIR PBM (Vielight Neuro Gamma) in a randomized sham-controlled design. Active PBM significantly increased gamma, alpha, and beta EEG power and decreased delta and theta compared to sham — demonstrating for the first time that PBM directly modulates neural oscillations. This established the mechanistic link between 40Hz pulsed PBM and gamma entrainment in humans, justifying NeuroPulse's EEG-adaptive PBM approach.</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B. Photobiomodulation — Retinal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RCT · n=26 · crossover · Nature Sci Rep 2021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Shinhmar H, Grewal M, Sivaprasad S, et al. Optically Improved Mitochondrial Function Redeems Aged Human Visual Decline. J Gerontol A Biol Sci Med Sci. 2020;75(9):e49-e52. doi: 10.1093/gerona/glaa155.</w:t>
            </w:r>
          </w:p>
          <w:p>
            <w:pPr>
              <w:spacing w:after="40" w:before="0"/>
            </w:pPr>
            <w:hyperlink w:history="1" r:id="rIdqofhcz0cbaigtgvm8vthy">
              <w:r>
                <w:rPr>
                  <w:rStyle w:val="Hyperlink"/>
                  <w:rFonts w:ascii="Arial" w:cs="Arial" w:eastAsia="Arial" w:hAnsi="Arial"/>
                  <w:sz w:val="17"/>
                  <w:szCs w:val="17"/>
                </w:rPr>
                <w:t xml:space="preserve">https://pubmed.ncbi.nlm.nih.gov/32556195/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Randomized controlled study, 670nm light (3 min, once). Single brief exposure significantly improved cone-mediated colour contrast sensitivity in participants aged 37-70 years for one week — restoring thresholds to levels of younger subjects. Demonstrates retinal mitochondrial reactivation via 660-670nm wavelength (NeuroPulse goggle wavelength). UCL Jeffery group — world's leading retinal PBM researchers.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Human + animal · UCL Jeffery</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Sivapathasuntharam C, Sivaprasad S, Hogg C, Jeffery G. Aging retinal function is improved by near infrared light (670 nm) that is associated with corrected mitochondrial decline. Neurobiol Aging. 2017 Apr;52:66-70. doi: 10.1016/j.neurobiolaging.2017.01.001.</w:t>
            </w:r>
          </w:p>
          <w:p>
            <w:pPr>
              <w:spacing w:after="40" w:before="0"/>
            </w:pPr>
            <w:hyperlink w:history="1" r:id="rIdzibwgdw_dfbbc1h30endp">
              <w:r>
                <w:rPr>
                  <w:rStyle w:val="Hyperlink"/>
                  <w:rFonts w:ascii="Arial" w:cs="Arial" w:eastAsia="Arial" w:hAnsi="Arial"/>
                  <w:sz w:val="17"/>
                  <w:szCs w:val="17"/>
                </w:rPr>
                <w:t xml:space="preserve">https://pubmed.ncbi.nlm.nih.gov/28129566/</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670nm light improves retinal function in aged subjects by correcting mitochondrial decline — enhancing membrane potentials and ATP production and reducing age-related inflammation. Establishes the mitochondrial mechanism specifically in retinal tissue. Since retinal ganglion cells are CNS neurons, this mechanistic finding supports NeuroPulse's visual goggle retinal PBM mode as genuine neuroprotection.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PBM Retinal</w:t>
            </w:r>
          </w:p>
          <w:p>
            <w:pPr>
              <w:spacing w:before="40"/>
            </w:pPr>
            <w:r>
              <w:rPr>
                <w:rFonts w:ascii="Arial" w:cs="Arial" w:eastAsia="Arial" w:hAnsi="Arial"/>
                <w:i/>
                <w:iCs/>
                <w:color w:val="888888"/>
                <w:sz w:val="16"/>
                <w:szCs w:val="16"/>
              </w:rPr>
              <w:t xml:space="preserve">Pilot RCT · n=42 · 12-month</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Grewal MK, Sivapathasuntharam C, Chandra S, et al. A Pilot Study Evaluating the Effects of 670 nm Photobiomodulation in Healthy Ageing and Age-Related Macular Degeneration. J Clin Med. 2020;9(4):1001. doi: 10.3390/jcm9041001.</w:t>
            </w:r>
          </w:p>
          <w:p>
            <w:pPr>
              <w:spacing w:after="40" w:before="0"/>
            </w:pPr>
            <w:hyperlink w:history="1" r:id="rId7_8fynvtpvubtjqmjyhsy">
              <w:r>
                <w:rPr>
                  <w:rStyle w:val="Hyperlink"/>
                  <w:rFonts w:ascii="Arial" w:cs="Arial" w:eastAsia="Arial" w:hAnsi="Arial"/>
                  <w:sz w:val="17"/>
                  <w:szCs w:val="17"/>
                </w:rPr>
                <w:t xml:space="preserve">https://pubmed.ncbi.nlm.nih.gov/32252424/</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31 AMD patients + 11 healthy older adults, daily 670nm light 12 months. In normal ageing (no AMD), significant improvement in scotopic thresholds (p=0.03). No significant change in intermediate AMD — suggesting preventive rather than therapeutic window. Key finding for NeuroPulse: daily retinal NIR in the goggle Mode F is most valuable before AMD develops, supporting the healthy ageing wellness market.</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C. 40 Hz Gamma Sensory Stimulation (GENUS / Photic Driving)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Visual Stimulation — 40Hz</w:t>
            </w:r>
          </w:p>
          <w:p>
            <w:pPr>
              <w:spacing w:before="40"/>
            </w:pPr>
            <w:r>
              <w:rPr>
                <w:rFonts w:ascii="Arial" w:cs="Arial" w:eastAsia="Arial" w:hAnsi="Arial"/>
                <w:i/>
                <w:iCs/>
                <w:color w:val="888888"/>
                <w:sz w:val="16"/>
                <w:szCs w:val="16"/>
              </w:rPr>
              <w:t xml:space="preserve">Animal study · Nature · foundational</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Iaccarino HF, Singer AC, Martorell AJ, et al. Gamma frequency entrainment attenuates amyloid load and modifies microglia. Nature. 2016;540(7632):230-235. doi: 10.1038/nature20587.</w:t>
            </w:r>
          </w:p>
          <w:p>
            <w:pPr>
              <w:spacing w:after="40" w:before="0"/>
            </w:pPr>
            <w:hyperlink w:history="1" r:id="rIdutgvnecrn6906j_nu2a3c">
              <w:r>
                <w:rPr>
                  <w:rStyle w:val="Hyperlink"/>
                  <w:rFonts w:ascii="Arial" w:cs="Arial" w:eastAsia="Arial" w:hAnsi="Arial"/>
                  <w:sz w:val="17"/>
                  <w:szCs w:val="17"/>
                </w:rPr>
                <w:t xml:space="preserve">https://www.nature.com/articles/nature20587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Foundational MIT Tsai lab study: 40Hz light flickering reduces amyloid-beta by 40-50% and modifies microglia in visual cortex of Alzheimer's mouse models. Established the entire 40Hz GENUS field. NeuroPulse relevance: the mechanistic justification for all 40Hz photic driving protocols in the gamma clarity preset. Phase III human trial now underway. This Nature paper is cited in virtually all subsequent GENUS research.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Visual + Auditory Stimulation — 40Hz</w:t>
            </w:r>
          </w:p>
          <w:p>
            <w:pPr>
              <w:spacing w:before="40"/>
            </w:pPr>
            <w:r>
              <w:rPr>
                <w:rFonts w:ascii="Arial" w:cs="Arial" w:eastAsia="Arial" w:hAnsi="Arial"/>
                <w:i/>
                <w:iCs/>
                <w:color w:val="888888"/>
                <w:sz w:val="16"/>
                <w:szCs w:val="16"/>
              </w:rPr>
              <w:t xml:space="preserve">Phase 2A RCT · n=15 AD · sham-controlled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He M, Cheng Y, Guo F, et al. Gamma frequency sensory stimulation in mild probable Alzheimer's dementia patients: Results of feasibility and pilot studies. PLoS One. 2022;17(12):e0278412. doi: 10.1371/journal.pone.0278412.</w:t>
            </w:r>
          </w:p>
          <w:p>
            <w:pPr>
              <w:spacing w:after="40" w:before="0"/>
            </w:pPr>
            <w:hyperlink w:history="1" r:id="rIdvt-0rlgivisxw5pkcest6">
              <w:r>
                <w:rPr>
                  <w:rStyle w:val="Hyperlink"/>
                  <w:rFonts w:ascii="Arial" w:cs="Arial" w:eastAsia="Arial" w:hAnsi="Arial"/>
                  <w:sz w:val="17"/>
                  <w:szCs w:val="17"/>
                </w:rPr>
                <w:t xml:space="preserve">https://journals.plos.org/plosone/article?id=10.1371/journal.pone.0278412</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Phase 1 (n=43 including MCI and healthy volunteers) + Phase 2A RCT (n=15 mild AD). 40Hz GENUS was safe and induced entrainment in hippocampus, amygdala, insula, and other subcortical structures. After 3 months daily: lesser ventricular dilation and hippocampal atrophy, increased DMN and visual network connectivity, better face-name association delayed recall, improved daily activity rhythmicity. First human RCT demonstrating structural brain preservation with 40Hz sensory stimulation.</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D. EEG Neurofeedback</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EEG Neurofeedback</w:t>
            </w:r>
          </w:p>
          <w:p>
            <w:pPr>
              <w:spacing w:before="40"/>
            </w:pPr>
            <w:r>
              <w:rPr>
                <w:rFonts w:ascii="Arial" w:cs="Arial" w:eastAsia="Arial" w:hAnsi="Arial"/>
                <w:i/>
                <w:iCs/>
                <w:color w:val="888888"/>
                <w:sz w:val="16"/>
                <w:szCs w:val="16"/>
              </w:rPr>
              <w:t xml:space="preserve">Meta-analysis · 14 RCTs · n=718</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Chiu HJ, Sun CK, Fan HY, et al. Surface electroencephalographic neurofeedback improves sustained attention in ADHD: a meta-analysis of randomized controlled trials. Child Adolesc Psychiatry Ment Health. 2022;16(1):100. doi: 10.1186/s13034-022-00543-1.</w:t>
            </w:r>
          </w:p>
          <w:p>
            <w:pPr>
              <w:spacing w:after="40" w:before="0"/>
            </w:pPr>
            <w:hyperlink w:history="1" r:id="rIdwom2hj7j1q0ijuqofhgjr">
              <w:r>
                <w:rPr>
                  <w:rStyle w:val="Hyperlink"/>
                  <w:rFonts w:ascii="Arial" w:cs="Arial" w:eastAsia="Arial" w:hAnsi="Arial"/>
                  <w:sz w:val="17"/>
                  <w:szCs w:val="17"/>
                </w:rPr>
                <w:t xml:space="preserve">https://pubmed.ncbi.nlm.nih.gov/36522661/</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14 RCTs (n=718), EEG neurofeedback vs comparators for ADHD. Significant improvement in sustained attention (p&lt;0.01). Beta enhancement most effective. Effect maintained through follow-up. NeuroPulse relevance: establishes EEG neurofeedback efficacy for attention — the mechanism behind the NeuroPulse 8-channel neurofeedback system's most prominent consumer claim (Focus).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EEG Neurofeedback</w:t>
            </w:r>
          </w:p>
          <w:p>
            <w:pPr>
              <w:spacing w:before="40"/>
            </w:pPr>
            <w:r>
              <w:rPr>
                <w:rFonts w:ascii="Arial" w:cs="Arial" w:eastAsia="Arial" w:hAnsi="Arial"/>
                <w:i/>
                <w:iCs/>
                <w:color w:val="888888"/>
                <w:sz w:val="16"/>
                <w:szCs w:val="16"/>
              </w:rPr>
              <w:t xml:space="preserve">Meta-analysis · 21 RCTs · n=1261</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Chiu HJ, et al. Factors influencing therapeutic effectiveness of electroencephalogram-based neurofeedback against core symptoms of ADHD: a systematic review and meta-analysis. Child Adolesc Psychiatry Ment Health. 2022;16(1):103. doi: 10.1186/s13034-022-00542-2.</w:t>
            </w:r>
          </w:p>
          <w:p>
            <w:pPr>
              <w:spacing w:after="40" w:before="0"/>
            </w:pPr>
            <w:hyperlink w:history="1" r:id="rIdca2kq9dy7ctuzvydebxpz">
              <w:r>
                <w:rPr>
                  <w:rStyle w:val="Hyperlink"/>
                  <w:rFonts w:ascii="Arial" w:cs="Arial" w:eastAsia="Arial" w:hAnsi="Arial"/>
                  <w:sz w:val="17"/>
                  <w:szCs w:val="17"/>
                </w:rPr>
                <w:t xml:space="preserve">https://pmc.ncbi.nlm.nih.gov/articles/PMC9762555/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21 RCTs (n=1261). EEG neurofeedback significantly superior to comparators for inattention, hyperactivity/impulsivity, and global ADHD symptoms from both parent and teacher assessment (all p&lt;0.05). Dose-response relationship: more sessions = better outcomes. Active comparators (not sham) needed for rigorous interpretation. NeuroPulse relevance: largest meta-analysis supporting EEG neurofeedback for ADHD, the most prevalent neurofeedback indication.</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E. Brainwave Entrainment Stimulation (tACS)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 — Theta</w:t>
            </w:r>
          </w:p>
          <w:p>
            <w:pPr>
              <w:spacing w:before="40"/>
            </w:pPr>
            <w:r>
              <w:rPr>
                <w:rFonts w:ascii="Arial" w:cs="Arial" w:eastAsia="Arial" w:hAnsi="Arial"/>
                <w:i/>
                <w:iCs/>
                <w:color w:val="888888"/>
                <w:sz w:val="16"/>
                <w:szCs w:val="16"/>
              </w:rPr>
              <w:t xml:space="preserve">RCT · n=28 · sham-controlled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Debnath R, Elyamany O, Iffland JR, et al. Theta transcranial alternating current stimulation over the prefrontal cortex enhances theta power and working memory performance. Front Psychiatry. 2025;15:1493675. doi: 10.3389/fpsyt.2024.1493675.</w:t>
            </w:r>
          </w:p>
          <w:p>
            <w:pPr>
              <w:spacing w:after="40" w:before="0"/>
            </w:pPr>
            <w:hyperlink w:history="1" r:id="rIdoibjcognhns28sv7rhutx">
              <w:r>
                <w:rPr>
                  <w:rStyle w:val="Hyperlink"/>
                  <w:rFonts w:ascii="Arial" w:cs="Arial" w:eastAsia="Arial" w:hAnsi="Arial"/>
                  <w:sz w:val="17"/>
                  <w:szCs w:val="17"/>
                </w:rPr>
                <w:t xml:space="preserve">https://www.ncbi.nlm.nih.gov/pmc/articles/PMC11772280/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28 healthy participants, 5Hz tACS vs sham over left DLPFC. Active tACS significantly improved reaction time in high working memory load trials only. Post-stimulation EEG showed significant increase in 5Hz theta power at stimulation site. Demonstrates DLPFC theta tACS both entrains the target oscillation AND improves the corresponding cognitive function — mechanistic validation of the approach.</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w:t>
            </w:r>
          </w:p>
          <w:p>
            <w:pPr>
              <w:spacing w:before="40"/>
            </w:pPr>
            <w:r>
              <w:rPr>
                <w:rFonts w:ascii="Arial" w:cs="Arial" w:eastAsia="Arial" w:hAnsi="Arial"/>
                <w:i/>
                <w:iCs/>
                <w:color w:val="888888"/>
                <w:sz w:val="16"/>
                <w:szCs w:val="16"/>
              </w:rPr>
              <w:t xml:space="preserve">Systematic review · 2020</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Rufener KS, Zaehle T. Systematic review on the modulation of cognitive performance with transcranial alternating current stimulation: Frequency-specific effects. Front Hum Neurosci. 2020;14:600454. doi: 10.3389/fnhum.2020.600454.</w:t>
            </w:r>
          </w:p>
          <w:p>
            <w:pPr>
              <w:spacing w:after="40" w:before="0"/>
            </w:pPr>
            <w:hyperlink w:history="1" r:id="rIdyxbcmohiq964fjhvzhjau">
              <w:r>
                <w:rPr>
                  <w:rStyle w:val="Hyperlink"/>
                  <w:rFonts w:ascii="Arial" w:cs="Arial" w:eastAsia="Arial" w:hAnsi="Arial"/>
                  <w:sz w:val="17"/>
                  <w:szCs w:val="17"/>
                </w:rPr>
                <w:t xml:space="preserve">https://www.ncbi.nlm.nih.gov/pmc/articles/PMC7761592/</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frequency-specific tACS cognitive effects. Theta-tACS: beneficial for working memory, executive functions, and declarative memory. Gamma-tACS: enhanced auditory and visual perception. Alpha/gamma-tACS: attention improvements (less consistent). Key result for NeuroPulse: frequency specificity is real and predicts cognitive domain — justifying the NeuroPulse preset library's frequency-to-function mapping.</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tACS / Binaural Beats</w:t>
            </w:r>
          </w:p>
          <w:p>
            <w:pPr>
              <w:spacing w:before="40"/>
            </w:pPr>
            <w:r>
              <w:rPr>
                <w:rFonts w:ascii="Arial" w:cs="Arial" w:eastAsia="Arial" w:hAnsi="Arial"/>
                <w:i/>
                <w:iCs/>
                <w:color w:val="888888"/>
                <w:sz w:val="16"/>
                <w:szCs w:val="16"/>
              </w:rPr>
              <w:t xml:space="preserve">RCT · n=31 · 5-arm · placebo-controlled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Rakhshan V, Hassani-Abharian P, Joghataei M, et al. Effects of the Alpha, Beta, and Gamma Binaural Beat Brain Stimulation and Short-Term Training on Working Memory: A Within-Subject Randomized Placebo-Controlled Clinical Trial. Biomed Res Int. 2022;2022:8588272. doi: 10.1155/2022/8588272.</w:t>
            </w:r>
          </w:p>
          <w:p>
            <w:pPr>
              <w:spacing w:after="40" w:before="0"/>
            </w:pPr>
            <w:hyperlink w:history="1" r:id="rIdl_de90plgrxsq1rxmactr">
              <w:r>
                <w:rPr>
                  <w:rStyle w:val="Hyperlink"/>
                  <w:rFonts w:ascii="Arial" w:cs="Arial" w:eastAsia="Arial" w:hAnsi="Arial"/>
                  <w:sz w:val="17"/>
                  <w:szCs w:val="17"/>
                </w:rPr>
                <w:t xml:space="preserve">https://www.ncbi.nlm.nih.gov/pmc/articles/PMC9153928/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31 healthy subjects, 5-arm crossover RCT (10Hz, 16Hz, 40Hz binaural beats vs pure tone and silence). 8-minute alpha-band (10Hz) entrainment produced slight enhancement in visuospatial working memory. Short-term training improved cognitive parameters across all groups. Frequency specificity confirmed. NeuroPulse relevance: directly validates the NeuroPulse audio entrainment module's 10Hz alpha protocol for memory support.</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F. Cortical Priming Stimulation (tDCS)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Depression</w:t>
            </w:r>
          </w:p>
          <w:p>
            <w:pPr>
              <w:spacing w:before="40"/>
            </w:pPr>
            <w:r>
              <w:rPr>
                <w:rFonts w:ascii="Arial" w:cs="Arial" w:eastAsia="Arial" w:hAnsi="Arial"/>
                <w:i/>
                <w:iCs/>
                <w:color w:val="888888"/>
                <w:sz w:val="16"/>
                <w:szCs w:val="16"/>
              </w:rPr>
              <w:t xml:space="preserve">Meta-analysis · 2024</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Wang J, Yao X, Ji Y, Li H. Cognitive potency and safety of tDCS treatment for major depressive disorder: a systematic review and meta-analysis. Front Hum Neurosci. 2024;18:1458295. doi: 10.3389/fnhum.2024.1458295.</w:t>
            </w:r>
          </w:p>
          <w:p>
            <w:pPr>
              <w:spacing w:after="40" w:before="0"/>
            </w:pPr>
            <w:hyperlink w:history="1" r:id="rIdmrdgmgmmmcxpo6phh3myo">
              <w:r>
                <w:rPr>
                  <w:rStyle w:val="Hyperlink"/>
                  <w:rFonts w:ascii="Arial" w:cs="Arial" w:eastAsia="Arial" w:hAnsi="Arial"/>
                  <w:sz w:val="17"/>
                  <w:szCs w:val="17"/>
                </w:rPr>
                <w:t xml:space="preserve">https://www.ncbi.nlm.nih.gov/pmc/articles/PMC11439710/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and meta-analysis, tDCS in MDD. Well-established antidepressant benefits confirmed. Additionally: tDCS improves cognitive function in MDD patients (attention, memory, executive function) beyond symptom reduction. DLPFC anodal tDCS is the standard effective protocol. NeuroPulse relevance: tDCS is effective for both depression AND the cognitive deficits that accompany it — two conditions in the primary target demographic.</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[19]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Transdiagnostic</w:t>
            </w:r>
          </w:p>
          <w:p>
            <w:pPr>
              <w:spacing w:before="40"/>
            </w:pPr>
            <w:r>
              <w:rPr>
                <w:rFonts w:ascii="Arial" w:cs="Arial" w:eastAsia="Arial" w:hAnsi="Arial"/>
                <w:i/>
                <w:iCs/>
                <w:color w:val="888888"/>
                <w:sz w:val="16"/>
                <w:szCs w:val="16"/>
              </w:rPr>
              <w:t xml:space="preserve">Meta-analysis · 56 RCTs</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Zheng EZ, Wong NML, Yang ASY, Lee TMC. Evaluating the effects of tDCS on depressive and anxiety symptoms from a transdiagnostic perspective: a systematic review and meta-analysis of randomized controlled trials. Transl Psychiatry. 2024;14:289. doi: 10.1038/s41398-024-03003-w.</w:t>
            </w:r>
          </w:p>
          <w:p>
            <w:pPr>
              <w:spacing w:after="40" w:before="0"/>
            </w:pPr>
            <w:hyperlink w:history="1" r:id="rIdn3u9tvvtvdwdrbpefqyfk">
              <w:r>
                <w:rPr>
                  <w:rStyle w:val="Hyperlink"/>
                  <w:rFonts w:ascii="Arial" w:cs="Arial" w:eastAsia="Arial" w:hAnsi="Arial"/>
                  <w:sz w:val="17"/>
                  <w:szCs w:val="17"/>
                </w:rPr>
                <w:t xml:space="preserve">https://www.ncbi.nlm.nih.gov/pmc/articles/PMC11258305/</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56 RCTs of repeated tDCS sessions with parallel design, transdiagnostic depression and anxiety. tDCS significantly reduced both depressive and anxiety symptoms across diverse clinical conditions. Medium effect size. Findings extend tDCS benefit beyond MDD to anxiety disorders, cancer patients, chronic pain — broadening the indication landscape for NeuroPulse's tDCS module.</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HD-tDCS Depression</w:t>
            </w:r>
          </w:p>
          <w:p>
            <w:pPr>
              <w:spacing w:before="40"/>
            </w:pPr>
            <w:r>
              <w:rPr>
                <w:rFonts w:ascii="Arial" w:cs="Arial" w:eastAsia="Arial" w:hAnsi="Arial"/>
                <w:i/>
                <w:iCs/>
                <w:color w:val="888888"/>
                <w:sz w:val="16"/>
                <w:szCs w:val="16"/>
              </w:rPr>
              <w:t xml:space="preserve">RCT · n=71 · UCLA · JAMA Network Open 2025</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Jog MA, Norris V, Pfeiffer P, et al. Personalized High-Definition Transcranial Direct Current Stimulation for the Treatment of Depression. JAMA Netw Open. 2025;8(9):e2531189. doi: 10.1001/jamanetworkopen.2025.31189.</w:t>
            </w:r>
          </w:p>
          <w:p>
            <w:pPr>
              <w:spacing w:after="40" w:before="0"/>
            </w:pPr>
            <w:hyperlink w:history="1" r:id="rId6mcefe2xc9mbvzpwcjrkm">
              <w:r>
                <w:rPr>
                  <w:rStyle w:val="Hyperlink"/>
                  <w:rFonts w:ascii="Arial" w:cs="Arial" w:eastAsia="Arial" w:hAnsi="Arial"/>
                  <w:sz w:val="17"/>
                  <w:szCs w:val="17"/>
                </w:rPr>
                <w:t xml:space="preserve">https://www.ncbi.nlm.nih.gov/pmc/articles/PMC12426800/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71 participants with moderate-severe depression, 12 consecutive days personalized left DLPFC HD-tDCS vs sham. Active HD-tDCS produced statistically significant mood improvement. HD-tDCS provides more focal targeting than conventional tDCS. This trial directly validates NeuroPulse Pro's HD-tDCS pattern capability, and confirms the DLPFC targeting rationale used in NeuroPulse's cortical priming stimulation protocols.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tDCS + TMS Combined</w:t>
            </w:r>
          </w:p>
          <w:p>
            <w:pPr>
              <w:spacing w:before="40"/>
            </w:pPr>
            <w:r>
              <w:rPr>
                <w:rFonts w:ascii="Arial" w:cs="Arial" w:eastAsia="Arial" w:hAnsi="Arial"/>
                <w:i/>
                <w:iCs/>
                <w:color w:val="888888"/>
                <w:sz w:val="16"/>
                <w:szCs w:val="16"/>
              </w:rPr>
              <w:t xml:space="preserve">RCT · n=240 · 4-arm · JAMA Network Open</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Ji S, Guo Y, Liu Y, et al. Transcranial Direct Current Stimulation Combined With Repetitive Transcranial Magnetic Stimulation for Depression: A Randomized Clinical Trial. JAMA Netw Open. 2024;7(11):e2440888. doi: 10.1001/jamanetworkopen.2024.40888.</w:t>
            </w:r>
          </w:p>
          <w:p>
            <w:pPr>
              <w:spacing w:after="40" w:before="0"/>
            </w:pPr>
            <w:hyperlink w:history="1" r:id="rId4qwio_137kycpeam61cjk">
              <w:r>
                <w:rPr>
                  <w:rStyle w:val="Hyperlink"/>
                  <w:rFonts w:ascii="Arial" w:cs="Arial" w:eastAsia="Arial" w:hAnsi="Arial"/>
                  <w:sz w:val="17"/>
                  <w:szCs w:val="17"/>
                </w:rPr>
                <w:t xml:space="preserve">https://www.ncbi.nlm.nih.gov/pmc/articles/PMC11561687/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240 depression patients, 4-arm RCT: tDCS+rTMS vs each alone vs double-sham. Active tDCS + active rTMS produced significantly greater HDRS-24 reduction than either alone or sham after 2 weeks. Combination was more effective with comparable safety. Directly validates NeuroPulse Pro's most important combination protocol: tDCS priming followed by TMS amplifies neuroplasticity beyond either modality alone.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G. Transcranial Magnetic Stimulation (TMS/rTMS)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TMS — Depression</w:t>
            </w:r>
          </w:p>
          <w:p>
            <w:pPr>
              <w:spacing w:before="40"/>
            </w:pPr>
            <w:r>
              <w:rPr>
                <w:rFonts w:ascii="Arial" w:cs="Arial" w:eastAsia="Arial" w:hAnsi="Arial"/>
                <w:i/>
                <w:iCs/>
                <w:color w:val="888888"/>
                <w:sz w:val="16"/>
                <w:szCs w:val="16"/>
              </w:rPr>
              <w:t xml:space="preserve">FDA pivotal RCT · n=301 · multisite</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O'Reardon JP, Solvason HB, Janicak PG, et al. Efficacy and safety of transcranial magnetic stimulation in the acute treatment of major depression: a multisite randomized controlled trial. Biol Psychiatry. 2007;62(11):1208-1216. doi: 10.1016/j.biopsych.2007.01.018.</w:t>
            </w:r>
          </w:p>
          <w:p>
            <w:pPr>
              <w:spacing w:after="40" w:before="0"/>
            </w:pPr>
            <w:hyperlink w:history="1" r:id="rIdmi9ezco3lyyjtw7-bly9x">
              <w:r>
                <w:rPr>
                  <w:rStyle w:val="Hyperlink"/>
                  <w:rFonts w:ascii="Arial" w:cs="Arial" w:eastAsia="Arial" w:hAnsi="Arial"/>
                  <w:sz w:val="17"/>
                  <w:szCs w:val="17"/>
                </w:rPr>
                <w:t xml:space="preserve">https://pubmed.ncbi.nlm.nih.gov/17573044/</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301 medication-free patients with treatment-resistant MDD, randomized 10Hz left DLPFC TMS vs sham, 4-6 weeks. Primary endpoint (MADRS) narrowly missed significance (p=0.057) but secondary HDRS measures showed significant improvement. This was the FDA pivotal trial leading to first TMS clearance for depression in 2008. Establishes the predicate for NeuroPulse Pro's TMS module regulatory pathway — cleared for the same indication.</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TMS — Depression</w:t>
            </w:r>
          </w:p>
          <w:p>
            <w:pPr>
              <w:spacing w:before="40"/>
            </w:pPr>
            <w:r>
              <w:rPr>
                <w:rFonts w:ascii="Arial" w:cs="Arial" w:eastAsia="Arial" w:hAnsi="Arial"/>
                <w:i/>
                <w:iCs/>
                <w:color w:val="888888"/>
                <w:sz w:val="16"/>
                <w:szCs w:val="16"/>
              </w:rPr>
              <w:t xml:space="preserve">Consensus · Clinical TMS Society</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McClintock SM, Reti IM, Carpenter LL, et al. Consensus Recommendations for the Clinical Application of Repetitive Transcranial Magnetic Stimulation (rTMS) in the Treatment of Depression. J Clin Psychiatry. 2018;79(1):16cs10905. doi: 10.4088/JCP.16cs10905.</w:t>
            </w:r>
          </w:p>
          <w:p>
            <w:pPr>
              <w:spacing w:after="40" w:before="0"/>
            </w:pPr>
            <w:hyperlink w:history="1" r:id="rId7h8i1zkt5t_jx5dzonfem">
              <w:r>
                <w:rPr>
                  <w:rStyle w:val="Hyperlink"/>
                  <w:rFonts w:ascii="Arial" w:cs="Arial" w:eastAsia="Arial" w:hAnsi="Arial"/>
                  <w:sz w:val="17"/>
                  <w:szCs w:val="17"/>
                </w:rPr>
                <w:t xml:space="preserve">https://pubmed.ncbi.nlm.nih.gov/28541649/</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Expert consensus recommendations from the Clinical TMS Society. Response rates: 50-55% with full treatment course; remission 30-35%. rTMS demonstrates efficacy across multiple depression presentations including treatment-resistant cases. Maintenance protocols recommended. NeuroPulse relevance: establishes that TMS Tier 2 clinical market is large (&gt;1M patients eligible in US) and reimbursable (CPT 90867-90869).</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H. Vagus Nerve Stimulation (Transcutaneous Auricular — taVNS)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[24]</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Scoping Review</w:t>
            </w:r>
          </w:p>
          <w:p>
            <w:pPr>
              <w:spacing w:before="40"/>
            </w:pPr>
            <w:r>
              <w:rPr>
                <w:rFonts w:ascii="Arial" w:cs="Arial" w:eastAsia="Arial" w:hAnsi="Arial"/>
                <w:i/>
                <w:iCs/>
                <w:color w:val="888888"/>
                <w:sz w:val="16"/>
                <w:szCs w:val="16"/>
              </w:rPr>
              <w:t xml:space="preserve">Scoping review · n=3231 · 109 studies</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Redgrave J, Day D, Leung H, et al. Clinical application of transcutaneous auricular vagus nerve stimulation: a scoping review. Disabil Rehabil. 2024;46(25):5730-5760. doi: 10.1080/09638288.2024.2313123.</w:t>
            </w:r>
          </w:p>
          <w:p>
            <w:pPr>
              <w:spacing w:after="40" w:before="0"/>
            </w:pPr>
            <w:hyperlink w:history="1" r:id="rIdzdel12e6tobspyaw5z8c_">
              <w:r>
                <w:rPr>
                  <w:rStyle w:val="Hyperlink"/>
                  <w:rFonts w:ascii="Arial" w:cs="Arial" w:eastAsia="Arial" w:hAnsi="Arial"/>
                  <w:sz w:val="17"/>
                  <w:szCs w:val="17"/>
                </w:rPr>
                <w:t xml:space="preserve">https://www.tandfonline.com/doi/full/10.1080/09638288.2024.2313123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109 studies (2214 active taVNS, 1017 sham taVNS participants) across 21 clinical populations. taVNS shows therapeutic effect across depression, epilepsy, stroke, tinnitus, chronic pain, cognition, and cardiac disorders. Key parameters: 1-4 mA, 20-25 Hz, 200-500µs pulse width most used. NeuroPulse relevance: comprehensive evidence map showing auricular VNS at NeuroPulse's specified parameters (1-25Hz, ≤2mA) is the clinically validated approach across multiple indications.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[25]</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Epilepsy</w:t>
            </w:r>
          </w:p>
          <w:p>
            <w:pPr>
              <w:spacing w:before="40"/>
            </w:pPr>
            <w:r>
              <w:rPr>
                <w:rFonts w:ascii="Arial" w:cs="Arial" w:eastAsia="Arial" w:hAnsi="Arial"/>
                <w:i/>
                <w:iCs/>
                <w:color w:val="888888"/>
                <w:sz w:val="16"/>
                <w:szCs w:val="16"/>
              </w:rPr>
              <w:t xml:space="preserve">RCT · n=150 · double-blind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Shu Y, Zhang J, Huang Y, et al. Transcutaneous auricular vagus nerve stimulation for treatment of drug-resistant epilepsy: a randomized, double-blind clinical trial. Seizure. 2023. doi: 10.1016/j.seizure.2023.01.002.</w:t>
            </w:r>
          </w:p>
          <w:p>
            <w:pPr>
              <w:spacing w:after="40" w:before="0"/>
            </w:pPr>
            <w:hyperlink w:history="1" r:id="rIdjusbx48-hnmpshzxju5be">
              <w:r>
                <w:rPr>
                  <w:rStyle w:val="Hyperlink"/>
                  <w:rFonts w:ascii="Arial" w:cs="Arial" w:eastAsia="Arial" w:hAnsi="Arial"/>
                  <w:sz w:val="17"/>
                  <w:szCs w:val="17"/>
                </w:rPr>
                <w:t xml:space="preserve">https://www.sciencedirect.com/science/article/pii/S1878747923000223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150 drug-resistant epilepsy patients randomized taVNS vs sham, 20 weeks. At 20 weeks: responder rate (&gt;50% seizure reduction) significantly higher in active group. Active group showed significant relative reduction in seizure frequency vs control. Anxiety and depression scales also improved. Largest taVNS RCT in epilepsy. Validates NeuroPulse's auricular VNS safety profile and clinical efficacy.</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[26]</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taVNS — Depression</w:t>
            </w:r>
          </w:p>
          <w:p>
            <w:pPr>
              <w:spacing w:before="40"/>
            </w:pPr>
            <w:r>
              <w:rPr>
                <w:rFonts w:ascii="Arial" w:cs="Arial" w:eastAsia="Arial" w:hAnsi="Arial"/>
                <w:i/>
                <w:iCs/>
                <w:color w:val="888888"/>
                <w:sz w:val="16"/>
                <w:szCs w:val="16"/>
              </w:rPr>
              <w:t xml:space="preserve">Open label pilot</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Austelle CW, O'Leary GH, Thompson S, et al. Accelerated Transcutaneous Auricular Vagus Nerve Stimulation for Inpatient Depression and Anxiety: The iWAVE Open Label Pilot Trial. Neuromodulation. 2025. doi: 10.1016/j.neurom.2025.01.007.</w:t>
            </w:r>
          </w:p>
          <w:p>
            <w:pPr>
              <w:spacing w:after="40" w:before="0"/>
            </w:pPr>
            <w:hyperlink w:history="1" r:id="rIdfb6zp9-u45gbt7rxrg1yp">
              <w:r>
                <w:rPr>
                  <w:rStyle w:val="Hyperlink"/>
                  <w:rFonts w:ascii="Arial" w:cs="Arial" w:eastAsia="Arial" w:hAnsi="Arial"/>
                  <w:sz w:val="17"/>
                  <w:szCs w:val="17"/>
                </w:rPr>
                <w:t xml:space="preserve">https://www.neuromodulationjournal.org/article/S1094-7159(25)00032-7/fulltext</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Open-label pilot, accelerated taVNS for inpatient MDD/anxiety. taVNS modulates DMN functional connectivity in MDD, with connectivity changes correlated with antidepressant response. Establishes that taVNS affects the same neural circuits (DMN) targeted by NeuroPulse's PBM and tACS protocols — validating the combined multi-modal approach targeting convergent circuits.</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I. Neural Audio Entrainment (Binaural Beats / Isochronic Tones)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[27]</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Audio Entrainment</w:t>
            </w:r>
          </w:p>
          <w:p>
            <w:pPr>
              <w:spacing w:before="40"/>
            </w:pPr>
            <w:r>
              <w:rPr>
                <w:rFonts w:ascii="Arial" w:cs="Arial" w:eastAsia="Arial" w:hAnsi="Arial"/>
                <w:i/>
                <w:iCs/>
                <w:color w:val="888888"/>
                <w:sz w:val="16"/>
                <w:szCs w:val="16"/>
              </w:rPr>
              <w:t xml:space="preserve">Systematic review · 2023 · PLoS One</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Ingendoh RM, Posny ES, Heine A. Binaural beats to entrain the brain? A systematic review of the effects of binaural beat stimulation on brain oscillatory activity, and the implications for psychological research and intervention. PLoS One. 2023;18(5):e0286023. doi: 10.1371/journal.pone.0286023.</w:t>
            </w:r>
          </w:p>
          <w:p>
            <w:pPr>
              <w:spacing w:after="40" w:before="0"/>
            </w:pPr>
            <w:hyperlink w:history="1" r:id="rIdm2wjj4ayzbo5gpbd9sitr">
              <w:r>
                <w:rPr>
                  <w:rStyle w:val="Hyperlink"/>
                  <w:rFonts w:ascii="Arial" w:cs="Arial" w:eastAsia="Arial" w:hAnsi="Arial"/>
                  <w:sz w:val="17"/>
                  <w:szCs w:val="17"/>
                </w:rPr>
                <w:t xml:space="preserve">https://www.ncbi.nlm.nih.gov/pmc/articles/PMC10198548/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of binaural beat effects on EEG oscillatory activity. Confirms binaural beats can entrain brain oscillations, with theta (4-7Hz) most consistently producing relaxation response and alpha (10Hz) improving mild visuospatial cognition. Effect requires &gt;20 min exposure. Only 60% of participants show measurable entrainment — motivating NeuroPulse's EEG-adaptive closed-loop approach (adjusting to individual responses in real time rather than fixed protocols).</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[28]</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Audio Entrainment</w:t>
            </w:r>
          </w:p>
          <w:p>
            <w:pPr>
              <w:spacing w:before="40"/>
            </w:pPr>
            <w:r>
              <w:rPr>
                <w:rFonts w:ascii="Arial" w:cs="Arial" w:eastAsia="Arial" w:hAnsi="Arial"/>
                <w:i/>
                <w:iCs/>
                <w:color w:val="888888"/>
                <w:sz w:val="16"/>
                <w:szCs w:val="16"/>
              </w:rPr>
              <w:t xml:space="preserve">Meta-analysis · 2019</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Garcia-Argibay M, Santed MA, Reales JM. Efficacy of binaural auditory beats in cognition, anxiety, and pain perception: A meta-analysis. Psychol Res. 2019;83(2):357-372. doi: 10.1007/s00426-017-0959-2.</w:t>
            </w:r>
          </w:p>
          <w:p>
            <w:pPr>
              <w:spacing w:after="40" w:before="0"/>
            </w:pPr>
            <w:hyperlink w:history="1" r:id="rIdv-jvz_jyho7oa3kvkhpqm">
              <w:r>
                <w:rPr>
                  <w:rStyle w:val="Hyperlink"/>
                  <w:rFonts w:ascii="Arial" w:cs="Arial" w:eastAsia="Arial" w:hAnsi="Arial"/>
                  <w:sz w:val="17"/>
                  <w:szCs w:val="17"/>
                </w:rPr>
                <w:t xml:space="preserve">https://pubmed.ncbi.nlm.nih.gov/29333630/</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binaural beat effects on cognition, anxiety, and pain. Significant positive effects on anxiety and pain. Moderate effects on attention and memory. Frequency matters: theta for relaxation/anxiety, beta for alertness, gamma for attention and memory. NeuroPulse relevance: confirms audio entrainment as a genuine complement to PBM and BES in multi-modal protocols — not merely adjunctive.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J. HRV Biofeedback (Auricular Clip — Heart Coherence)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[29]</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HRV Biofeedback</w:t>
            </w:r>
          </w:p>
          <w:p>
            <w:pPr>
              <w:spacing w:before="40"/>
            </w:pPr>
            <w:r>
              <w:rPr>
                <w:rFonts w:ascii="Arial" w:cs="Arial" w:eastAsia="Arial" w:hAnsi="Arial"/>
                <w:i/>
                <w:iCs/>
                <w:color w:val="888888"/>
                <w:sz w:val="16"/>
                <w:szCs w:val="16"/>
              </w:rPr>
              <w:t xml:space="preserve">Meta-analysis · 14 RCTs · n=794 · Sci Rep</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Pizzoli SFM, Marzorati C, Gatti D, et al. A meta-analysis on heart rate variability biofeedback and depressive symptoms. Sci Rep. 2021;11(1):6650. doi: 10.1038/s41598-021-86149-7.</w:t>
            </w:r>
          </w:p>
          <w:p>
            <w:pPr>
              <w:spacing w:after="40" w:before="0"/>
            </w:pPr>
            <w:hyperlink w:history="1" r:id="rIdj6ralkhkrpxseb3k0fsft">
              <w:r>
                <w:rPr>
                  <w:rStyle w:val="Hyperlink"/>
                  <w:rFonts w:ascii="Arial" w:cs="Arial" w:eastAsia="Arial" w:hAnsi="Arial"/>
                  <w:sz w:val="17"/>
                  <w:szCs w:val="17"/>
                </w:rPr>
                <w:t xml:space="preserve">https://www.nature.com/articles/s41598-021-86149-7</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14 RCTs (n=794), HRV biofeedback for depressive symptoms. Random effects analysis: medium mean effect size g=0.38 (95% CI significant). HRV biofeedback reduces depressive symptoms across diverse clinical populations. NeuroPulse relevance: validates the VNS auricular clip's HRV monitoring and biofeedback function as therapeutically meaningful for the depression indication — not just a wellness metric.</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[30]</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HRV Biofeedback</w:t>
            </w:r>
          </w:p>
          <w:p>
            <w:pPr>
              <w:spacing w:before="40"/>
            </w:pPr>
            <w:r>
              <w:rPr>
                <w:rFonts w:ascii="Arial" w:cs="Arial" w:eastAsia="Arial" w:hAnsi="Arial"/>
                <w:i/>
                <w:iCs/>
                <w:color w:val="888888"/>
                <w:sz w:val="16"/>
                <w:szCs w:val="16"/>
              </w:rPr>
              <w:t xml:space="preserve">Meta-analysis · Lehrer · leading researcher</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Lehrer P, Kaur K, Sharma A, et al. Heart Rate Variability Biofeedback Improves Emotional and Physical Health and Performance: A Systematic Review and Meta Analysis. Appl Psychophysiol Biofeedback. 2020;45(3):109-129. doi: 10.1007/s10484-020-09466-z.</w:t>
            </w:r>
          </w:p>
          <w:p>
            <w:pPr>
              <w:spacing w:after="40" w:before="0"/>
            </w:pPr>
            <w:hyperlink w:history="1" r:id="rIdq5xofaieqpacn-pru3u3s">
              <w:r>
                <w:rPr>
                  <w:rStyle w:val="Hyperlink"/>
                  <w:rFonts w:ascii="Arial" w:cs="Arial" w:eastAsia="Arial" w:hAnsi="Arial"/>
                  <w:sz w:val="17"/>
                  <w:szCs w:val="17"/>
                </w:rPr>
                <w:t xml:space="preserve">https://pubmed.ncbi.nlm.nih.gov/32385728/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Systematic review and meta-analysis (Lehrer, leading HRV biofeedback researcher). Small-to-medium effect sizes for HRV biofeedback on depression, anxiety, anger, and athletic/artistic performance. Paced breathing at resonance frequency (~6 breaths/min) is the optimal technique. Establishes HRV biofeedback as evidence-based across multiple domains. Validates NeuroPulse auricular clip's adaptive breathing guide feature.</w:t>
            </w:r>
          </w:p>
        </w:tc>
      </w:tr>
    </w:tbl>
    <w:p>
      <w:pPr>
        <w:spacing w:after="0" w:before="6"/>
      </w:pPr>
      <w:r>
        <w:t xml:space="preserve"/>
      </w:r>
    </w:p>
    <w:p>
      <w:pPr>
        <w:spacing w:after="0" w:before="80"/>
      </w:pPr>
      <w:r>
        <w:t xml:space="preserve"/>
      </w:r>
    </w:p>
    <w:p>
      <w:r>
        <w:br w:type="page"/>
      </w:r>
    </w:p>
    <w:p>
      <w:pPr>
        <w:pStyle w:val="Heading2"/>
        <w:spacing w:after="120" w:before="300"/>
      </w:pPr>
      <w:r>
        <w:rPr>
          <w:rFonts w:ascii="Arial" w:cs="Arial" w:eastAsia="Arial" w:hAnsi="Arial"/>
          <w:b/>
          <w:bCs/>
          <w:color w:val="534AB7"/>
          <w:sz w:val="26"/>
          <w:szCs w:val="26"/>
        </w:rPr>
        <w:t xml:space="preserve">K. EMDR (Eye Movement Desensitisation and Reprocessing)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[31]</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PTSD</w:t>
            </w:r>
          </w:p>
          <w:p>
            <w:pPr>
              <w:spacing w:before="40"/>
            </w:pPr>
            <w:r>
              <w:rPr>
                <w:rFonts w:ascii="Arial" w:cs="Arial" w:eastAsia="Arial" w:hAnsi="Arial"/>
                <w:i/>
                <w:iCs/>
                <w:color w:val="888888"/>
                <w:sz w:val="16"/>
                <w:szCs w:val="16"/>
              </w:rPr>
              <w:t xml:space="preserve">Meta-analysis · 26 RCTs · foundational</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Chen L, Zhang G, Hu M, Liang X. Eye movement desensitization and reprocessing versus cognitive-behavioral therapy for adult posttraumatic stress disorder: systematic review and meta-analysis. J Nerv Ment Dis. 2015;203(6):443-51. doi: 10.1097/NMD.0000000000000306.</w:t>
            </w:r>
          </w:p>
          <w:p>
            <w:pPr>
              <w:spacing w:after="40" w:before="0"/>
            </w:pPr>
            <w:hyperlink w:history="1" r:id="rIde7vhrqrthfbxfoxdv1_v0">
              <w:r>
                <w:rPr>
                  <w:rStyle w:val="Hyperlink"/>
                  <w:rFonts w:ascii="Arial" w:cs="Arial" w:eastAsia="Arial" w:hAnsi="Arial"/>
                  <w:sz w:val="17"/>
                  <w:szCs w:val="17"/>
                </w:rPr>
                <w:t xml:space="preserve">https://pubmed.ncbi.nlm.nih.gov/26001083/</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Meta-analysis of 26 RCTs (1991-2013). EMDR significantly reduced PTSD symptoms (g=-0.662), depression (g=-0.643), anxiety (g=-0.640), and subjective distress (g=-0.956). Duration &gt;60 min per session is optimal. EMDR is WHO-recommended for PTSD. Validates NeuroPulse Pro's EMDR bilateral visual stimulation mode — the device delivers the alternating bilateral stimulation that is the established EMDR mechanism.</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[32]</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PTSD</w:t>
            </w:r>
          </w:p>
          <w:p>
            <w:pPr>
              <w:spacing w:before="40"/>
            </w:pPr>
            <w:r>
              <w:rPr>
                <w:rFonts w:ascii="Arial" w:cs="Arial" w:eastAsia="Arial" w:hAnsi="Arial"/>
                <w:i/>
                <w:iCs/>
                <w:color w:val="888888"/>
                <w:sz w:val="16"/>
                <w:szCs w:val="16"/>
              </w:rPr>
              <w:t xml:space="preserve">IPDMA · 8 RCTs · n=346 · 2024</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Wright SL, Karyotaki E, Cuijpers P, et al. EMDR v. other psychological therapies for PTSD: a systematic review and individual participant data meta-analysis. Psychol Med. 2024;54(8):1580-1588. doi: 10.1017/S0033291723003446.</w:t>
            </w:r>
          </w:p>
          <w:p>
            <w:pPr>
              <w:spacing w:after="40" w:before="0"/>
            </w:pPr>
            <w:hyperlink w:history="1" r:id="rIdyexojgv5coqufyu6y3e7h">
              <w:r>
                <w:rPr>
                  <w:rStyle w:val="Hyperlink"/>
                  <w:rFonts w:ascii="Arial" w:cs="Arial" w:eastAsia="Arial" w:hAnsi="Arial"/>
                  <w:sz w:val="17"/>
                  <w:szCs w:val="17"/>
                </w:rPr>
                <w:t xml:space="preserve">https://pubmed.ncbi.nlm.nih.gov/38173121/</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Individual participant data meta-analysis of 8 RCTs (n=346). EMDR significantly reduced PTSD severity, improved treatment response and remission. Comparable to trauma-focused CBT. Identifies moderators of EMDR response. NeuroPulse Pro's EMDR mode delivers the standard bilateral visual stimulation — the most established hardware-supported EMDR component — with the novel addition of real-time EEG monitoring of prefrontal-amygdala connectivity during treatment.</w:t>
            </w:r>
          </w:p>
        </w:tc>
      </w:tr>
    </w:tbl>
    <w:p>
      <w:pPr>
        <w:spacing w:after="0" w:before="6"/>
      </w:pPr>
      <w:r>
        <w:t xml:space="preserve"/>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color="FFFFFF" w:sz="0"/>
              <w:left w:val="none" w:color="FFFFFF" w:sz="0"/>
              <w:bottom w:val="none" w:color="FFFFFF" w:sz="0"/>
              <w:right w:val="none" w:color="FFFFFF" w:sz="0"/>
            </w:tcBorders>
            <w:shd w:fill="F4F9F7" w:val="clear"/>
            <w:tcMar>
              <w:top w:type="dxa" w:w="80"/>
              <w:left w:type="dxa" w:w="120"/>
              <w:bottom w:type="dxa" w:w="80"/>
              <w:right w:type="dxa" w:w="120"/>
            </w:tcMar>
          </w:tcPr>
          <w:p>
            <w:r>
              <w:rPr>
                <w:rFonts w:ascii="Arial" w:cs="Arial" w:eastAsia="Arial" w:hAnsi="Arial"/>
                <w:b/>
                <w:bCs/>
                <w:color w:val="0F6E56"/>
                <w:sz w:val="20"/>
                <w:szCs w:val="20"/>
              </w:rPr>
              <w:t xml:space="preserve">[33]</w:t>
            </w:r>
          </w:p>
          <w:p>
            <w:pPr>
              <w:spacing w:before="40"/>
            </w:pPr>
            <w:r>
              <w:rPr>
                <w:rFonts w:ascii="Arial" w:cs="Arial" w:eastAsia="Arial" w:hAnsi="Arial"/>
                <w:b/>
                <w:bCs/>
                <w:color w:val="555555"/>
                <w:sz w:val="18"/>
                <w:szCs w:val="18"/>
              </w:rPr>
              <w:t xml:space="preserve">Modality: </w:t>
            </w:r>
            <w:r>
              <w:rPr>
                <w:rFonts w:ascii="Arial" w:cs="Arial" w:eastAsia="Arial" w:hAnsi="Arial"/>
                <w:color w:val="555555"/>
                <w:sz w:val="18"/>
                <w:szCs w:val="18"/>
              </w:rPr>
              <w:t xml:space="preserve">EMDR — Children</w:t>
            </w:r>
          </w:p>
          <w:p>
            <w:pPr>
              <w:spacing w:before="40"/>
            </w:pPr>
            <w:r>
              <w:rPr>
                <w:rFonts w:ascii="Arial" w:cs="Arial" w:eastAsia="Arial" w:hAnsi="Arial"/>
                <w:i/>
                <w:iCs/>
                <w:color w:val="888888"/>
                <w:sz w:val="16"/>
                <w:szCs w:val="16"/>
              </w:rPr>
              <w:t xml:space="preserve">Meta-analysis · paediatric · WHO supported</w:t>
            </w:r>
          </w:p>
        </w:tc>
        <w:tc>
          <w:tcPr>
            <w:tcW w:type="dxa" w:w="6160"/>
            <w:tcBorders>
              <w:top w:val="none" w:color="FFFFFF" w:sz="0"/>
              <w:left w:val="none" w:color="FFFFFF" w:sz="0"/>
              <w:bottom w:val="none" w:color="FFFFFF" w:sz="0"/>
              <w:right w:val="none" w:color="FFFFFF" w:sz="0"/>
            </w:tcBorders>
            <w:tcMar>
              <w:top w:type="dxa" w:w="80"/>
              <w:left w:type="dxa" w:w="160"/>
              <w:bottom w:type="dxa" w:w="80"/>
              <w:right w:type="dxa" w:w="80"/>
            </w:tcMar>
          </w:tcPr>
          <w:p>
            <w:pPr>
              <w:spacing w:after="60" w:before="0"/>
            </w:pPr>
            <w:r>
              <w:rPr>
                <w:rFonts w:ascii="Arial" w:cs="Arial" w:eastAsia="Arial" w:hAnsi="Arial"/>
                <w:color w:val="1A1A2E"/>
                <w:sz w:val="19"/>
                <w:szCs w:val="19"/>
              </w:rPr>
              <w:t xml:space="preserve">Rodenburg R, Benjamin A, de Roos C, Meijer AM, Stams GJ. Efficacy of EMDR in children: A meta-analysis. Clin Psychol Rev. 2009;29(7):599-606. doi: 10.1016/j.cpr.2009.06.008. [Updated by: NICE 2018 PTSD Guidelines].</w:t>
            </w:r>
          </w:p>
          <w:p>
            <w:pPr>
              <w:spacing w:after="40" w:before="0"/>
            </w:pPr>
            <w:hyperlink w:history="1" r:id="rIdudruvqzdw1ubosf9cw4ry">
              <w:r>
                <w:rPr>
                  <w:rStyle w:val="Hyperlink"/>
                  <w:rFonts w:ascii="Arial" w:cs="Arial" w:eastAsia="Arial" w:hAnsi="Arial"/>
                  <w:sz w:val="17"/>
                  <w:szCs w:val="17"/>
                </w:rPr>
                <w:t xml:space="preserve">https://pubmed.ncbi.nlm.nih.gov/19619778/</w:t>
              </w:r>
            </w:hyperlink>
          </w:p>
          <w:p>
            <w:pPr>
              <w:spacing w:after="0" w:before="60"/>
            </w:pPr>
            <w:r>
              <w:rPr>
                <w:rFonts w:ascii="Arial" w:cs="Arial" w:eastAsia="Arial" w:hAnsi="Arial"/>
                <w:b/>
                <w:bCs/>
                <w:color w:val="0F6E56"/>
                <w:sz w:val="19"/>
                <w:szCs w:val="19"/>
              </w:rPr>
              <w:t xml:space="preserve">Key finding: </w:t>
            </w:r>
            <w:r>
              <w:rPr>
                <w:rFonts w:ascii="Arial" w:cs="Arial" w:eastAsia="Arial" w:hAnsi="Arial"/>
                <w:color w:val="1A1A2E"/>
                <w:sz w:val="19"/>
                <w:szCs w:val="19"/>
              </w:rPr>
              <w:t xml:space="preserve">EMDR efficacy confirmed in children and adolescents for PTSD. Effect sizes comparable to CBT. WHO recommends EMDR for children and adolescents with PTSD. NeuroPulse relevance: EMDR billing codes (CPT 90837 and H0004) are well-established. NeuroPulse Pro's EMDR goggle + EEG monitoring creates a device-supported EMDR delivery platform suitable for clinic use without requiring physical therapist hand movements.</w:t>
            </w:r>
          </w:p>
        </w:tc>
      </w:tr>
    </w:tbl>
    <w:p>
      <w:pPr>
        <w:spacing w:after="0" w:before="6"/>
      </w:pPr>
      <w:r>
        <w:t xml:space="preserve"/>
      </w:r>
    </w:p>
    <w:p>
      <w:pPr>
        <w:spacing w:after="0" w:before="80"/>
      </w:pPr>
      <w:r>
        <w:t xml:space="preserve"/>
      </w:r>
    </w:p>
    <w:p>
      <w:r>
        <w:br w:type="page"/>
      </w:r>
    </w:p>
    <w:p>
      <w:pPr>
        <w:pStyle w:val="Heading1"/>
        <w:spacing w:after="160" w:before="400"/>
      </w:pPr>
      <w:r>
        <w:rPr>
          <w:rFonts w:ascii="Arial" w:cs="Arial" w:eastAsia="Arial" w:hAnsi="Arial"/>
          <w:b/>
          <w:bCs/>
          <w:color w:val="0F6E56"/>
          <w:sz w:val="36"/>
          <w:szCs w:val="36"/>
        </w:rPr>
        <w:t xml:space="preserve">Evidence gaps and NeuroPulse clinical programme priorities</w:t>
      </w:r>
    </w:p>
    <w:p>
      <w:pPr>
        <w:spacing w:after="60" w:before="60"/>
      </w:pPr>
      <w:r>
        <w:rPr>
          <w:rFonts w:ascii="Arial" w:cs="Arial" w:eastAsia="Arial" w:hAnsi="Arial"/>
          <w:color w:val="1A1A2E"/>
          <w:sz w:val="20"/>
          <w:szCs w:val="20"/>
        </w:rPr>
        <w:t xml:space="preserve">The following modality combinations have strong mechanistic rationale but limited direct published RCT evidence, making them priority candidates for NeuroPulse's own clinical trials: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E8F5EF" w:val="clear"/>
            <w:tcMar>
              <w:top w:type="dxa" w:w="80"/>
              <w:left w:type="dxa" w:w="120"/>
              <w:bottom w:type="dxa" w:w="80"/>
              <w:right w:type="dxa" w:w="120"/>
            </w:tcMar>
          </w:tcPr>
          <w:p>
            <w:r>
              <w:rPr>
                <w:rFonts w:ascii="Arial" w:cs="Arial" w:eastAsia="Arial" w:hAnsi="Arial"/>
                <w:b/>
                <w:bCs/>
                <w:color w:val="0F6E56"/>
                <w:sz w:val="18"/>
                <w:szCs w:val="18"/>
              </w:rPr>
              <w:t xml:space="preserve">Modality / combination</w:t>
            </w:r>
          </w:p>
        </w:tc>
        <w:tc>
          <w:tcPr>
            <w:tcW w:type="dxa" w:w="6160"/>
            <w:tcBorders>
              <w:top w:val="single" w:color="CCCCCC" w:sz="1"/>
              <w:left w:val="single" w:color="CCCCCC" w:sz="1"/>
              <w:bottom w:val="single" w:color="CCCCCC" w:sz="1"/>
              <w:right w:val="single" w:color="CCCCCC" w:sz="1"/>
            </w:tcBorders>
            <w:shd w:fill="E8F5EF" w:val="clear"/>
            <w:tcMar>
              <w:top w:type="dxa" w:w="80"/>
              <w:left w:type="dxa" w:w="120"/>
              <w:bottom w:type="dxa" w:w="80"/>
              <w:right w:type="dxa" w:w="120"/>
            </w:tcMar>
          </w:tcPr>
          <w:p>
            <w:r>
              <w:rPr>
                <w:rFonts w:ascii="Arial" w:cs="Arial" w:eastAsia="Arial" w:hAnsi="Arial"/>
                <w:b/>
                <w:bCs/>
                <w:color w:val="0F6E56"/>
                <w:sz w:val="18"/>
                <w:szCs w:val="18"/>
              </w:rPr>
              <w:t xml:space="preserve">Current evidence status + priority action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PBM (660+810nm dual-wavelength) transcranial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Strong — dual-wavelength combination study (2024) shows broader activation than single. 810nm Harvard-validated. But no large RCT specifically using the 660+810nm combination at NeuroPulse's zone configuration.</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Intranasal PBM at 3 depth stops</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Moderate — Vielight's fixed-depth intranasal studies establish the pathway. NeuroPulse's bilateral dual-wavelength multi-depth design has no direct precedent. Clinical priority: n=30 crossover vs standard intranasal.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Closed-loop EEG-adaptive PBM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Emerging — mechanistic rationale strong (Zomorrodi [7] shows PBM modulates oscillations; combining with live EEG adaptation is the logical next step). No published RCT of EEG-adaptive closed-loop PBM. NeuroPulse would be first-in-class.</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tACS + PBM combined protocol</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Weak — no published human RCT. Mechanistic rationale: tACS entrains frequency, PBM activates mitochondria at that frequency. Priority trial: 40Hz tACS + 40Hz PBM vs each alone.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taVNS + HRV closed-loop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18"/>
                <w:szCs w:val="18"/>
              </w:rPr>
              <w:t xml:space="preserve">Weak — both taVNS [24-26] and HRV biofeedback [29-30] have individual RCT support, but no published trial of simultaneous VNS delivery and HRV-based closed-loop adaptation. NeuroPulse's auricular clip enables this uniquely.</w:t>
            </w:r>
          </w:p>
        </w:tc>
      </w:tr>
      <w:tr>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18"/>
                <w:szCs w:val="18"/>
              </w:rPr>
              <w:t xml:space="preserve">All-modality combination protocol (Tier 1)</w:t>
            </w:r>
          </w:p>
        </w:tc>
        <w:tc>
          <w:tcPr>
            <w:tcW w:type="dxa" w:w="61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color w:val="1A1A2E"/>
                <w:sz w:val="18"/>
                <w:szCs w:val="18"/>
              </w:rPr>
              <w:t xml:space="preserve">None — no published trial has combined PBM + BES + VNS + audio + visual in a single session. NeuroPulse's flagship combination protocol has no direct evidence base. This is the core rationale for seeding Tier 2 units into research institutions in Years 2-3.</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sz w:val="36"/>
      <w:szCs w:val="36"/>
    </w:rPr>
  </w:style>
  <w:style w:type="paragraph" w:styleId="Heading2">
    <w:name w:val="Heading 2"/>
    <w:basedOn w:val="Normal"/>
    <w:next w:val="Normal"/>
    <w:qFormat/>
    <w:pPr>
      <w:spacing w:after="120" w:before="3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t6suziyi_7jhdbjoa6m" Type="http://schemas.openxmlformats.org/officeDocument/2006/relationships/hyperlink" Target="https://pubmed.ncbi.nlm.nih.gov/31050950/" TargetMode="External"/><Relationship Id="rIdznsqm1l_ggu4j6kcshcg5" Type="http://schemas.openxmlformats.org/officeDocument/2006/relationships/hyperlink" Target="https://pubmed.ncbi.nlm.nih.gov/28186867/" TargetMode="External"/><Relationship Id="rIdgbtjdqsuxlg8atcehvfms" Type="http://schemas.openxmlformats.org/officeDocument/2006/relationships/hyperlink" Target="https://pubmed.ncbi.nlm.nih.gov/36371017/" TargetMode="External"/><Relationship Id="rIdzi4-aqak6cj5oed-3a3ba" Type="http://schemas.openxmlformats.org/officeDocument/2006/relationships/hyperlink" Target="https://pubmed.ncbi.nlm.nih.gov/24568233/" TargetMode="External"/><Relationship Id="rIdg_4krklzhzcvlzctzgf3l" Type="http://schemas.openxmlformats.org/officeDocument/2006/relationships/hyperlink" Target="https://pubmed.ncbi.nlm.nih.gov/40368044/" TargetMode="External"/><Relationship Id="rIdrutn_d52tf1y8jgzrxgvh" Type="http://schemas.openxmlformats.org/officeDocument/2006/relationships/hyperlink" Target="https://www.sciencedirect.com/science/article/pii/S101113442400201X" TargetMode="External"/><Relationship Id="rIdboljo1naelhabnzqmn4qj" Type="http://schemas.openxmlformats.org/officeDocument/2006/relationships/hyperlink" Target="https://www.nature.com/articles/s41598-019-42693-x" TargetMode="External"/><Relationship Id="rIdqofhcz0cbaigtgvm8vthy" Type="http://schemas.openxmlformats.org/officeDocument/2006/relationships/hyperlink" Target="https://pubmed.ncbi.nlm.nih.gov/32556195/" TargetMode="External"/><Relationship Id="rIdzibwgdw_dfbbc1h30endp" Type="http://schemas.openxmlformats.org/officeDocument/2006/relationships/hyperlink" Target="https://pubmed.ncbi.nlm.nih.gov/28129566/" TargetMode="External"/><Relationship Id="rId7_8fynvtpvubtjqmjyhsy" Type="http://schemas.openxmlformats.org/officeDocument/2006/relationships/hyperlink" Target="https://pubmed.ncbi.nlm.nih.gov/32252424/" TargetMode="External"/><Relationship Id="rIdutgvnecrn6906j_nu2a3c" Type="http://schemas.openxmlformats.org/officeDocument/2006/relationships/hyperlink" Target="https://www.nature.com/articles/nature20587" TargetMode="External"/><Relationship Id="rIdvt-0rlgivisxw5pkcest6" Type="http://schemas.openxmlformats.org/officeDocument/2006/relationships/hyperlink" Target="https://journals.plos.org/plosone/article?id=10.1371/journal.pone.0278412" TargetMode="External"/><Relationship Id="rIdwom2hj7j1q0ijuqofhgjr" Type="http://schemas.openxmlformats.org/officeDocument/2006/relationships/hyperlink" Target="https://pubmed.ncbi.nlm.nih.gov/36522661/" TargetMode="External"/><Relationship Id="rIdca2kq9dy7ctuzvydebxpz" Type="http://schemas.openxmlformats.org/officeDocument/2006/relationships/hyperlink" Target="https://pmc.ncbi.nlm.nih.gov/articles/PMC9762555/" TargetMode="External"/><Relationship Id="rIdoibjcognhns28sv7rhutx" Type="http://schemas.openxmlformats.org/officeDocument/2006/relationships/hyperlink" Target="https://www.ncbi.nlm.nih.gov/pmc/articles/PMC11772280/" TargetMode="External"/><Relationship Id="rIdyxbcmohiq964fjhvzhjau" Type="http://schemas.openxmlformats.org/officeDocument/2006/relationships/hyperlink" Target="https://www.ncbi.nlm.nih.gov/pmc/articles/PMC7761592/" TargetMode="External"/><Relationship Id="rIdl_de90plgrxsq1rxmactr" Type="http://schemas.openxmlformats.org/officeDocument/2006/relationships/hyperlink" Target="https://www.ncbi.nlm.nih.gov/pmc/articles/PMC9153928/" TargetMode="External"/><Relationship Id="rIdmrdgmgmmmcxpo6phh3myo" Type="http://schemas.openxmlformats.org/officeDocument/2006/relationships/hyperlink" Target="https://www.ncbi.nlm.nih.gov/pmc/articles/PMC11439710/" TargetMode="External"/><Relationship Id="rIdn3u9tvvtvdwdrbpefqyfk" Type="http://schemas.openxmlformats.org/officeDocument/2006/relationships/hyperlink" Target="https://www.ncbi.nlm.nih.gov/pmc/articles/PMC11258305/" TargetMode="External"/><Relationship Id="rId6mcefe2xc9mbvzpwcjrkm" Type="http://schemas.openxmlformats.org/officeDocument/2006/relationships/hyperlink" Target="https://www.ncbi.nlm.nih.gov/pmc/articles/PMC12426800/" TargetMode="External"/><Relationship Id="rId4qwio_137kycpeam61cjk" Type="http://schemas.openxmlformats.org/officeDocument/2006/relationships/hyperlink" Target="https://www.ncbi.nlm.nih.gov/pmc/articles/PMC11561687/" TargetMode="External"/><Relationship Id="rIdmi9ezco3lyyjtw7-bly9x" Type="http://schemas.openxmlformats.org/officeDocument/2006/relationships/hyperlink" Target="https://pubmed.ncbi.nlm.nih.gov/17573044/" TargetMode="External"/><Relationship Id="rId7h8i1zkt5t_jx5dzonfem" Type="http://schemas.openxmlformats.org/officeDocument/2006/relationships/hyperlink" Target="https://pubmed.ncbi.nlm.nih.gov/28541649/" TargetMode="External"/><Relationship Id="rIdzdel12e6tobspyaw5z8c_" Type="http://schemas.openxmlformats.org/officeDocument/2006/relationships/hyperlink" Target="https://www.tandfonline.com/doi/full/10.1080/09638288.2024.2313123" TargetMode="External"/><Relationship Id="rIdjusbx48-hnmpshzxju5be" Type="http://schemas.openxmlformats.org/officeDocument/2006/relationships/hyperlink" Target="https://www.sciencedirect.com/science/article/pii/S1878747923000223" TargetMode="External"/><Relationship Id="rIdfb6zp9-u45gbt7rxrg1yp" Type="http://schemas.openxmlformats.org/officeDocument/2006/relationships/hyperlink" Target="https://www.neuromodulationjournal.org/article/S1094-7159(25)00032-7/fulltext" TargetMode="External"/><Relationship Id="rIdm2wjj4ayzbo5gpbd9sitr" Type="http://schemas.openxmlformats.org/officeDocument/2006/relationships/hyperlink" Target="https://www.ncbi.nlm.nih.gov/pmc/articles/PMC10198548/" TargetMode="External"/><Relationship Id="rIdv-jvz_jyho7oa3kvkhpqm" Type="http://schemas.openxmlformats.org/officeDocument/2006/relationships/hyperlink" Target="https://pubmed.ncbi.nlm.nih.gov/29333630/" TargetMode="External"/><Relationship Id="rIdj6ralkhkrpxseb3k0fsft" Type="http://schemas.openxmlformats.org/officeDocument/2006/relationships/hyperlink" Target="https://www.nature.com/articles/s41598-021-86149-7" TargetMode="External"/><Relationship Id="rIdq5xofaieqpacn-pru3u3s" Type="http://schemas.openxmlformats.org/officeDocument/2006/relationships/hyperlink" Target="https://pubmed.ncbi.nlm.nih.gov/32385728/" TargetMode="External"/><Relationship Id="rIde7vhrqrthfbxfoxdv1_v0" Type="http://schemas.openxmlformats.org/officeDocument/2006/relationships/hyperlink" Target="https://pubmed.ncbi.nlm.nih.gov/26001083/" TargetMode="External"/><Relationship Id="rIdyexojgv5coqufyu6y3e7h" Type="http://schemas.openxmlformats.org/officeDocument/2006/relationships/hyperlink" Target="https://pubmed.ncbi.nlm.nih.gov/38173121/" TargetMode="External"/><Relationship Id="rIdudruvqzdw1ubosf9cw4ry" Type="http://schemas.openxmlformats.org/officeDocument/2006/relationships/hyperlink" Target="https://pubmed.ncbi.nlm.nih.gov/19619778/"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2026-05-02T22:37:08.552Z</dcterms:created>
  <dcterms:modified xsi:type="dcterms:W3CDTF">2026-05-02T22:37:08.553Z</dcterms:modified>
</cp:coreProperties>
</file>

<file path=docProps/custom.xml><?xml version="1.0" encoding="utf-8"?>
<Properties xmlns="http://schemas.openxmlformats.org/officeDocument/2006/custom-properties" xmlns:vt="http://schemas.openxmlformats.org/officeDocument/2006/docPropsVTypes"/>
</file>