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tcPr>
          <w:p>
            <w:r>
              <w:rPr>
                <w:sz w:val="16"/>
              </w:rPr>
              <w:t>G1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t>Shell CAD cross-section showing all 5 FPC channels + EEG cable routing simultaneously. Confirmed separation ≥ 10 mm between LED power FPC tails and EEG signal cables at all routing path segments. Hub PCB connector placement confirmed.</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tcPr>
          <w:p>
            <w:r>
              <w:rPr>
                <w:b w:val="0"/>
                <w:color w:val="604000"/>
                <w:sz w:val="16"/>
              </w:rPr>
              <w:t>OPEN — design decision</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