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NeurOne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26 risks identified  |  3 CRITICAL  |  9 HIGH  |  9 MEDIUM  |  3 LOW  |  23 MITIGATED  |  3 OPEN (RISK-03, RISK-20, RISK-26)  |  RISK-26 rated on the NP-RM-001 §4 ISO 14971 S×P scale</w:t>
        <w:br/>
        <w:t>All CRITICAL and HIGH items must be resolved before FPC layout release.</w:t>
        <w:br/>
        <w:t>RISK-18 to RISK-25: newly introduced by mitigations — see detailed sections.</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localized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shd w:val="clear" w:color="auto" w:fill="E2EFDA"/>
          </w:tcPr>
          <w:p>
            <w:pPr>
              <w:spacing w:after="0"/>
            </w:pPr>
            <w:r>
              <w:rPr>
                <w:b/>
                <w:sz w:val="17"/>
              </w:rPr>
            </w:r>
            <w:r>
              <w:rPr>
                <w:b/>
                <w:color w:val="007000"/>
                <w:sz w:val="16"/>
              </w:rPr>
              <w:t>HIGH</w:t>
              <w:br/>
              <w:t>(MITIGATED)</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r>
            <w:r>
              <w:rPr>
                <w:b w:val="0"/>
                <w:sz w:val="16"/>
              </w:rPr>
              <w:t>Three-tier mitigation: (1) Process — SiO₂ interlayer (75 nm RF magnetron sputter) on PI surface before O₂ plasma activation raises peel force from 7–12 N/m to 174–860 N/m per literature. Specified in NP-HW-FPC-001 §9.2. (2) Production screening — FAI-M02 peel test ≥ 150 N/m per batch; FAI-M03 5-cycle accelerated screen per batch. (3) Process qualification (BLOCKING) — IEC 60068-2-14, 200 cycles −10°C to +65°C on 10 coupons before any production starts. Post-cycle peel ≥ 150 N/m required (FAI-TC02/03). Signed qualification report NP-QR-PDMS-001 must be on file. CAT-C supplier qualification per NP-PROC-SUP-001 SUP-C-08.</w:t>
            </w:r>
          </w:p>
        </w:tc>
        <w:tc>
          <w:tcPr>
            <w:tcW w:type="dxa" w:w="1008"/>
          </w:tcPr>
          <w:p>
            <w:pPr>
              <w:spacing w:after="0"/>
            </w:pPr>
            <w:r>
              <w:rPr>
                <w:sz w:val="17"/>
              </w:rPr>
              <w:t>HW EE / Manufacturing Eng</w:t>
            </w:r>
          </w:p>
        </w:tc>
        <w:tc>
          <w:tcPr>
            <w:tcW w:type="dxa" w:w="720"/>
          </w:tcPr>
          <w:p>
            <w:pPr>
              <w:spacing w:after="0"/>
            </w:pPr>
            <w:r>
              <w:rPr>
                <w:sz w:val="17"/>
              </w:rPr>
            </w:r>
            <w:r>
              <w:rPr>
                <w:b w:val="0"/>
                <w:sz w:val="16"/>
              </w:rPr>
              <w:t>NP-HW-FPC-001 §9.2–9.3</w:t>
              <w:br/>
              <w:t>NP-FAI-ZM-001 §3d, §3e</w:t>
              <w:br/>
              <w:t>NP-PROC-SUP-001 SUP-C-04, SUP-C-08</w:t>
              <w:br/>
              <w:t>NP-COORD-001 G1-14</w:t>
            </w:r>
          </w:p>
        </w:tc>
        <w:tc>
          <w:tcPr>
            <w:tcW w:type="dxa" w:w="864"/>
            <w:shd w:val="clear" w:color="auto" w:fill="92D050"/>
          </w:tcPr>
          <w:p>
            <w:pPr>
              <w:spacing w:after="0"/>
            </w:pPr>
            <w:r>
              <w:rPr>
                <w:sz w:val="17"/>
              </w:rPr>
            </w:r>
            <w:r>
              <w:rPr>
                <w:b/>
                <w:color w:val="007000"/>
                <w:sz w:val="16"/>
              </w:rPr>
              <w:t>MITIGATED — SiO₂ process specified; 200-cycle IEC 60068-2-14 qualification required (BLOCKING) before production; NP-FAI-ZM-001 §3e FAI-TC01–TC06 added</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localized LED hotspot if NTC is at zone center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b w:val="0"/>
                <w:sz w:val="17"/>
              </w:rPr>
              <w:t>MITIGATED in spec §8.2–8.3: Black molded POM/anodised Al baffle with 1.0 mm aperture and 2.0–3.0 mm height blocks all direct LED viewing angles. Silicone RTV bead seals baffle perimeter against edge-coupled stray light. Synchronous lock-in detection (LED-ON vs LED-OFF sampling) rejects ambient light regardless of seal quality. First-article validation test defined: cover all LEDs with opaque tape; verify photodiode reads &lt;1% of normal LED-on signal. Remaining actions: (1) baffle geometry must enter mechanical design before zone module tooling is cut — affects mold geometry; (2) evaluate ADPD174GGI (integrated optical isolation wall + synchronous AFE, 3.0×2.8 mm) as alternative to discrete baffle + external TIA — may be more reliable and lower-BOM; (3) first-article optical isolation test mandatory before production release.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b w:val="0"/>
                <w:sz w:val="17"/>
              </w:rPr>
              <w:t>MITIGATED — 3 actions remaining (see mitigation)</w:t>
            </w:r>
          </w:p>
        </w:tc>
      </w:tr>
      <w:tr>
        <w:tc>
          <w:tcPr>
            <w:tcW w:type="dxa" w:w="720"/>
          </w:tcPr>
          <w:p>
            <w:pPr>
              <w:spacing w:after="0"/>
            </w:pPr>
            <w:r>
              <w:rPr>
                <w:sz w:val="17"/>
              </w:rPr>
              <w:t>RISK-07</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NeurOne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b w:val="0"/>
                <w:sz w:val="17"/>
              </w:rPr>
              <w:t>MITIGATED in spec §6.2: BCR421W (350 mA rated, SOT-323) specified as the mandatory driver IC. BCR421U (150 mA max) explicitly excluded via warning note in spec. Backup options also specified: Zetex ZXLD381, Diodes Inc. AL5809 (both 350 mA, SOT-23-3). Remaining action: confirm BCR421W on BOM before layout release (same action as RISK-05 Action 1 — single BOM line).</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b w:val="0"/>
                <w:sz w:val="17"/>
              </w:rPr>
              <w:t>MITIGATED — confirm BCR421W on BOM before layout</w:t>
            </w:r>
          </w:p>
        </w:tc>
      </w:tr>
      <w:tr>
        <w:tc>
          <w:tcPr>
            <w:tcW w:type="dxa" w:w="720"/>
          </w:tcPr>
          <w:p>
            <w:pPr>
              <w:spacing w:after="0"/>
            </w:pPr>
            <w:r>
              <w:rPr>
                <w:sz w:val="17"/>
              </w:rPr>
              <w:t>RISK-08</w:t>
            </w:r>
          </w:p>
        </w:tc>
        <w:tc>
          <w:tcPr>
            <w:tcW w:type="dxa" w:w="1008"/>
            <w:shd w:val="clear" w:color="auto" w:fill="FF9900"/>
            <w:shd w:val="clear" w:color="auto" w:fill="E2EFDA"/>
          </w:tcPr>
          <w:p>
            <w:pPr>
              <w:spacing w:after="0"/>
            </w:pPr>
            <w:r>
              <w:rPr>
                <w:b/>
                <w:sz w:val="17"/>
              </w:rPr>
            </w:r>
            <w:r>
              <w:rPr>
                <w:b/>
                <w:color w:val="007000"/>
              </w:rPr>
              <w:t>HIGH</w:t>
              <w:br/>
              <w:t>(MITIGATED)</w:t>
            </w:r>
          </w:p>
        </w:tc>
        <w:tc>
          <w:tcPr>
            <w:tcW w:type="dxa" w:w="1872"/>
          </w:tcPr>
          <w:p>
            <w:pPr>
              <w:spacing w:after="0"/>
            </w:pPr>
            <w:r>
              <w:rPr>
                <w:sz w:val="17"/>
              </w:rPr>
              <w:t>LED Vf binning not specified — current matching degraded</w:t>
            </w:r>
          </w:p>
        </w:tc>
        <w:tc>
          <w:tcPr>
            <w:tcW w:type="dxa" w:w="2160"/>
            <w:shd w:val="clear" w:color="auto" w:fill="92D050"/>
          </w:tcPr>
          <w:p>
            <w:pPr>
              <w:spacing w:after="0"/>
            </w:pPr>
            <w:r>
              <w:rPr>
                <w:sz w:val="17"/>
              </w:rPr>
            </w:r>
            <w:r/>
            <w:r>
              <w:rPr>
                <w:b w:val="0"/>
              </w:rPr>
              <w:t>LED emitters are sold in wide Vf bins (±0.2–0.3 V typical at rated current). Even with per-string BCR421W constant-current drivers, wide Vf spread across strings means the BCR421W compliance voltage must accommodate the widest Vf emitter — or some strings fall outside the driver's regulation range. Supply chain default: no bin restriction on PO.</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shd w:val="clear" w:color="auto" w:fill="92D050"/>
          </w:tcPr>
          <w:p>
            <w:pPr>
              <w:spacing w:after="0"/>
            </w:pPr>
            <w:r>
              <w:rPr>
                <w:sz w:val="17"/>
              </w:rPr>
            </w:r>
            <w:r>
              <w:rPr>
                <w:b/>
                <w:color w:val="007000"/>
              </w:rPr>
              <w:t>MITIGATED — Vf bin tolerance on PO (NP-PROC-FPC-001 §2); incoming inspection §7</w:t>
            </w:r>
          </w:p>
        </w:tc>
      </w:tr>
      <w:tr>
        <w:tc>
          <w:tcPr>
            <w:tcW w:type="dxa" w:w="720"/>
          </w:tcPr>
          <w:p>
            <w:pPr>
              <w:spacing w:after="0"/>
            </w:pPr>
            <w:r>
              <w:rPr>
                <w:sz w:val="17"/>
              </w:rPr>
              <w:t>RISK-09</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0.35 mm pitch connector (referenced in SBIR proposal) has insufficient current rating</w:t>
            </w:r>
          </w:p>
        </w:tc>
        <w:tc>
          <w:tcPr>
            <w:tcW w:type="dxa" w:w="2160"/>
            <w:shd w:val="clear" w:color="auto" w:fill="92D050"/>
          </w:tcPr>
          <w:p>
            <w:pPr>
              <w:spacing w:after="0"/>
            </w:pPr>
            <w:r>
              <w:rPr>
                <w:sz w:val="17"/>
              </w:rPr>
            </w:r>
            <w:r/>
            <w:r>
              <w:rPr>
                <w:b w:val="0"/>
              </w:rPr>
              <w:t>SBIR Phase I proposal (§C.2) referenced 'Molex SlimStack 0.35 mm pitch' for zone module FPC connectors. 0.35 mm pitch connectors are typically rated 0.3–0.5 A per contact maximum. At 0.9 A RMS per power pin (paired), 0.35 mm pitch is insufficient. Spec now mandates 0.5 mm pitch (Hirose FH34S); stale reference in proposal created inconsistency between documents.</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shd w:val="clear" w:color="auto" w:fill="92D050"/>
          </w:tcPr>
          <w:p>
            <w:pPr>
              <w:spacing w:after="0"/>
            </w:pPr>
            <w:r>
              <w:rPr>
                <w:sz w:val="17"/>
              </w:rPr>
            </w:r>
            <w:r>
              <w:rPr>
                <w:b/>
                <w:color w:val="007000"/>
              </w:rPr>
              <w:t>MITIGATED — SBIR proposal updated; 0.35 mm pitch eliminated; FH34S 0.5 mm confirmed</w:t>
            </w:r>
          </w:p>
        </w:tc>
      </w:tr>
      <w:tr>
        <w:tc>
          <w:tcPr>
            <w:tcW w:type="dxa" w:w="720"/>
          </w:tcPr>
          <w:p>
            <w:pPr>
              <w:spacing w:after="0"/>
            </w:pPr>
            <w:r>
              <w:rPr>
                <w:sz w:val="17"/>
              </w:rPr>
              <w:t>RISK-10</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FPC fabricator may default to ED copper unless RA is explicitly specified</w:t>
            </w:r>
          </w:p>
        </w:tc>
        <w:tc>
          <w:tcPr>
            <w:tcW w:type="dxa" w:w="2160"/>
            <w:shd w:val="clear" w:color="auto" w:fill="92D050"/>
          </w:tcPr>
          <w:p>
            <w:pPr>
              <w:spacing w:after="0"/>
            </w:pPr>
            <w:r>
              <w:rPr>
                <w:sz w:val="17"/>
              </w:rPr>
            </w:r>
            <w:r/>
            <w:r>
              <w:rPr>
                <w:b w:val="0"/>
              </w:rPr>
              <w:t>Electrodeposited (ED) copper is the industry default for FPC fabrication. Rolled Annealed (RA) copper must be explicitly called out on every purchase order and fabrication drawing. Omission results in ED copper being used without notification. ED copper fails under dynamic flex — propagating grain boundary cracks lead to open-circuit failure within 10,000–50,000 cycles.</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shd w:val="clear" w:color="auto" w:fill="92D050"/>
          </w:tcPr>
          <w:p>
            <w:pPr>
              <w:spacing w:after="0"/>
            </w:pPr>
            <w:r>
              <w:rPr>
                <w:sz w:val="17"/>
              </w:rPr>
            </w:r>
            <w:r>
              <w:rPr>
                <w:b/>
                <w:color w:val="007000"/>
              </w:rPr>
              <w:t>MITIGATED — RA copper on fab drawing (§13 note 1) and PO (NP-PROC-FPC-001 §5)</w:t>
            </w:r>
          </w:p>
        </w:tc>
      </w:tr>
      <w:tr>
        <w:tc>
          <w:tcPr>
            <w:tcW w:type="dxa" w:w="720"/>
          </w:tcPr>
          <w:p>
            <w:pPr>
              <w:spacing w:after="0"/>
            </w:pPr>
            <w:r>
              <w:rPr>
                <w:sz w:val="17"/>
              </w:rPr>
              <w:t>RISK-11</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r>
            <w:r>
              <w:rPr>
                <w:b w:val="0"/>
              </w:rPr>
              <w:t>MITIGATED: Shell tooling FPC routing design review document created (NP-DRV-SHELL-001 Rev A). Document specifies 5 routing path requirements (REQ-BR-01 to REQ-BR-05), 7 shell tooling requirements (REQ-ST-01 to REQ-ST-07), 15-item design review checklist (DRC-01 to DRC-15), FPC length and slack requirements for all 5 zones, and sign-off gate before tooling release. FPC spec §11.2 updated with bend radius callouts and reference to NP-DRV-SHELL-001.</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rPr>
              <w:t>MITIGATED — NP-DRV-SHELL-001 Rev A created; §11.2 populated; DRC sign-off required before first-cut</w:t>
            </w:r>
          </w:p>
        </w:tc>
      </w:tr>
      <w:tr>
        <w:tc>
          <w:tcPr>
            <w:tcW w:type="dxa" w:w="720"/>
          </w:tcPr>
          <w:p>
            <w:pPr>
              <w:spacing w:after="0"/>
            </w:pPr>
            <w:r>
              <w:rPr>
                <w:sz w:val="17"/>
              </w:rPr>
              <w:t>RISK-12</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r>
            <w:r>
              <w:rPr>
                <w:b w:val="0"/>
              </w:rPr>
              <w:t>MITIGATED: First Article Inspection checklist NP-FAI-ZM-001 Rev A created. FAI-A01 to FAI-A08 (Section 4a) mandate CMM measurement of all 5 zone module positions to ±0.3 mm tolerance (±0.2 mm margin against ±0.5 mm system requirement). FAI-A08 verifies re-insertion repeatability (±0.1 mm). FAI also requires datum features (reference holes/edges) on FPC stiffener (FAI-A07). Zone module alignment is re-verified after 50 connector insertion cycles (FAI-K14). FPC spec §11.4 references NP-FAI-ZM-001 as mandatory pre-production gate.</w:t>
            </w:r>
          </w:p>
        </w:tc>
        <w:tc>
          <w:tcPr>
            <w:tcW w:type="dxa" w:w="1008"/>
          </w:tcPr>
          <w:p>
            <w:pPr>
              <w:spacing w:after="0"/>
            </w:pPr>
            <w:r>
              <w:rPr>
                <w:sz w:val="17"/>
              </w:rPr>
              <w:t>Mechanical Eng</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rPr>
              <w:t>MITIGATED — NP-FAI-ZM-001 Rev A created; CMM alignment check (FAI-A01–A08) required before production release</w:t>
            </w:r>
          </w:p>
        </w:tc>
      </w:tr>
      <w:tr>
        <w:tc>
          <w:tcPr>
            <w:tcW w:type="dxa" w:w="720"/>
          </w:tcPr>
          <w:p>
            <w:pPr>
              <w:spacing w:after="0"/>
            </w:pPr>
            <w:r>
              <w:rPr>
                <w:sz w:val="17"/>
              </w:rPr>
              <w:t>RISK-13</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r>
            <w:r>
              <w:rPr>
                <w:b w:val="0"/>
              </w:rPr>
              <w:t>MITIGATED: Engineering coordination checklist NP-COORD-001 Rev A created. Item G1-03 mandates a signed Engineering Decision Record (EDR) between HW EE and Firmware Lead agreeing the carrier frequency (≥1 kHz confirmed); EDR must verify all harmonics up to Nyquist (250 Hz) do not coincide with any therapy or EEG band frequency. Item G1-04 mandates firmware implementation of 50 µs EEG blanking window on each LED switching edge, synchronized to PWM timer. Items G2-07 and G3-04 lock the agreed values as Safety MCU constants and require oscilloscope validation on first prototype. FPC spec §4.4 and §10.3 already reference minimum 1 kHz carrier and 50 µs blanking.</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shd w:val="clear" w:color="auto" w:fill="92D050"/>
          </w:tcPr>
          <w:p>
            <w:pPr>
              <w:spacing w:after="0"/>
            </w:pPr>
            <w:r>
              <w:rPr>
                <w:sz w:val="17"/>
              </w:rPr>
            </w:r>
            <w:r>
              <w:rPr>
                <w:b/>
                <w:color w:val="007000"/>
              </w:rPr>
              <w:t>MITIGATED — NP-COORD-001 G1-03/G1-04/G2-07/G3-04 close this risk; EDR and firmware implementation required</w:t>
            </w:r>
          </w:p>
        </w:tc>
      </w:tr>
      <w:tr>
        <w:tc>
          <w:tcPr>
            <w:tcW w:type="dxa" w:w="720"/>
          </w:tcPr>
          <w:p>
            <w:pPr>
              <w:spacing w:after="0"/>
            </w:pPr>
            <w:r>
              <w:rPr>
                <w:sz w:val="17"/>
              </w:rPr>
              <w:t>RISK-14</w:t>
            </w:r>
          </w:p>
        </w:tc>
        <w:tc>
          <w:tcPr>
            <w:tcW w:type="dxa" w:w="1008"/>
            <w:shd w:val="clear" w:color="auto" w:fill="FFD700"/>
            <w:shd w:val="clear" w:color="auto" w:fill="E2EFDA"/>
          </w:tcPr>
          <w:p>
            <w:pPr>
              <w:spacing w:after="0"/>
            </w:pPr>
            <w:r>
              <w:rPr>
                <w:b/>
                <w:sz w:val="17"/>
              </w:rPr>
            </w:r>
            <w:r>
              <w:rPr>
                <w:b/>
                <w:color w:val="007000"/>
                <w:sz w:val="16"/>
              </w:rPr>
              <w:t>HIGH</w:t>
              <w:br/>
              <w:t>(MITIGATED)</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r>
            <w:r>
              <w:rPr>
                <w:b w:val="0"/>
                <w:sz w:val="16"/>
              </w:rPr>
              <w:t>Option B selected: second PD (PD2) on scalp-facing PDMS surface. PD1/PD2 ratio isolates fouling from LED aging. Pin 19 assigned PD2_CATHODE. §8.4 added to NP-HW-FPC-001. BOM +$0.75–1.50/headset. T1/T2 shared mold.</w:t>
            </w:r>
          </w:p>
        </w:tc>
        <w:tc>
          <w:tcPr>
            <w:tcW w:type="dxa" w:w="1008"/>
          </w:tcPr>
          <w:p>
            <w:pPr>
              <w:spacing w:after="0"/>
            </w:pPr>
            <w:r>
              <w:rPr>
                <w:sz w:val="17"/>
              </w:rPr>
              <w:t>Firmware / Systems Eng</w:t>
            </w:r>
          </w:p>
        </w:tc>
        <w:tc>
          <w:tcPr>
            <w:tcW w:type="dxa" w:w="720"/>
          </w:tcPr>
          <w:p>
            <w:pPr>
              <w:spacing w:after="0"/>
            </w:pPr>
            <w:r>
              <w:rPr>
                <w:sz w:val="17"/>
              </w:rPr>
              <w:t>§8.3</w:t>
            </w:r>
          </w:p>
        </w:tc>
        <w:tc>
          <w:tcPr>
            <w:tcW w:type="dxa" w:w="864"/>
            <w:shd w:val="clear" w:color="auto" w:fill="92D050"/>
          </w:tcPr>
          <w:p>
            <w:pPr>
              <w:spacing w:after="0"/>
            </w:pPr>
            <w:r>
              <w:rPr>
                <w:sz w:val="17"/>
              </w:rPr>
            </w:r>
            <w:r>
              <w:rPr>
                <w:b/>
                <w:color w:val="007000"/>
                <w:sz w:val="16"/>
              </w:rPr>
              <w:t>MITIGATED — NP-HW-FPC-001 §8.4; NP-TOOL-ZM-001 F-04</w:t>
            </w:r>
          </w:p>
        </w:tc>
      </w:tr>
      <w:tr>
        <w:tc>
          <w:tcPr>
            <w:tcW w:type="dxa" w:w="720"/>
          </w:tcPr>
          <w:p>
            <w:pPr>
              <w:spacing w:after="0"/>
            </w:pPr>
            <w:r>
              <w:rPr>
                <w:sz w:val="17"/>
              </w:rPr>
              <w:t>RISK-15</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Color-only zone keying is inaccessible to color-vision-deficient users</w:t>
            </w:r>
          </w:p>
        </w:tc>
        <w:tc>
          <w:tcPr>
            <w:tcW w:type="dxa" w:w="2160"/>
          </w:tcPr>
          <w:p>
            <w:pPr>
              <w:spacing w:after="0"/>
            </w:pPr>
            <w:r>
              <w:rPr>
                <w:sz w:val="17"/>
              </w:rPr>
              <w:t>Zone modules are color-coded (White, Green, Blue, Orange, Red per §2.1). Approximately 8% of males and 0.5% of females have color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r>
            <w:r>
              <w:rPr>
                <w:b w:val="0"/>
                <w:sz w:val="18"/>
              </w:rPr>
              <w:t>MITIGATED: Five-layer keying system — accessible to sighted, color-vision-deficient, AND blind users. Layer 1 (blind-safe): Unique asymmetric mechanical key per zone — physically impossible to mis-insert regardless of vision. Layer 2: ZONE_ID resistor on pin 18 (SPARE_1) — Hub MCU reads zone identity at session start; ENABLE blocked if wrong module detected. Layer 3: Braille abbreviation + raised numeral molded into module face — zero BOM cost if specified before tooling. Layer 4: Raised tactile dot pattern (N dots = zone N) molded into shell adjacent to slot — zero BOM cost if specified before tooling. Layer 5: Bone conduction audio confirmation — spoken zone name on correct insert; spoken alert on wrong insert; uses existing BOM transducer. Total BOM delta: +$0.03/zone module (ZONE_ID resistor only). All other layers are zero-cost if specified before tooling cut. See FPC spec §11.4 for full requirements.</w:t>
            </w:r>
          </w:p>
        </w:tc>
        <w:tc>
          <w:tcPr>
            <w:tcW w:type="dxa" w:w="1008"/>
          </w:tcPr>
          <w:p>
            <w:pPr>
              <w:spacing w:after="0"/>
            </w:pPr>
            <w:r>
              <w:rPr>
                <w:sz w:val="17"/>
              </w:rPr>
              <w:t>Mechanical Eng / UX</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sz w:val="18"/>
              </w:rPr>
              <w:t>MITIGATED — 5-layer keying (mechanical + electronic + braille + tactile shell + audio); all layers work for blind users</w:t>
            </w:r>
          </w:p>
        </w:tc>
      </w:tr>
      <w:tr>
        <w:tc>
          <w:tcPr>
            <w:tcW w:type="dxa" w:w="720"/>
          </w:tcPr>
          <w:p>
            <w:pPr>
              <w:spacing w:after="0"/>
            </w:pPr>
            <w:r>
              <w:rPr>
                <w:sz w:val="17"/>
              </w:rPr>
              <w:t>RISK-16</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r>
            <w:r>
              <w:rPr>
                <w:b w:val="0"/>
                <w:sz w:val="18"/>
              </w:rPr>
              <w:t>MITIGATED — Option A selected: self-sealing compression gasket. Co-molded Shore 40–50A silicone lip seal on zone module perimeter; 20% compression (0.4 mm deflection) against shell slot rim on every insertion. No user action, no RTV syringe, no procedure. IPX4 maintained through all field replacements. Gasket spec added to FPC spec §12. IPX4 re-test after 10 swap cycles required (NP-FAI-ZM-001 §4c).</w:t>
            </w:r>
          </w:p>
        </w:tc>
        <w:tc>
          <w:tcPr>
            <w:tcW w:type="dxa" w:w="1008"/>
          </w:tcPr>
          <w:p>
            <w:pPr>
              <w:spacing w:after="0"/>
            </w:pPr>
            <w:r>
              <w:rPr>
                <w:sz w:val="17"/>
              </w:rPr>
              <w:t>Mechanical Eng / UX</w:t>
            </w:r>
          </w:p>
        </w:tc>
        <w:tc>
          <w:tcPr>
            <w:tcW w:type="dxa" w:w="720"/>
          </w:tcPr>
          <w:p>
            <w:pPr>
              <w:spacing w:after="0"/>
            </w:pPr>
            <w:r>
              <w:rPr>
                <w:sz w:val="17"/>
              </w:rPr>
              <w:t>§12</w:t>
            </w:r>
          </w:p>
        </w:tc>
        <w:tc>
          <w:tcPr>
            <w:tcW w:type="dxa" w:w="864"/>
            <w:shd w:val="clear" w:color="auto" w:fill="92D050"/>
          </w:tcPr>
          <w:p>
            <w:pPr>
              <w:spacing w:after="0"/>
            </w:pPr>
            <w:r>
              <w:rPr>
                <w:sz w:val="17"/>
              </w:rPr>
            </w:r>
            <w:r>
              <w:rPr>
                <w:b/>
                <w:color w:val="007000"/>
                <w:sz w:val="18"/>
              </w:rPr>
              <w:t>MITIGATED — Option A gasket spec in §12; IPX4 field-replacement test in NP-FAI-ZM-001 FAI-IPX-01 to FAI-IPX-04</w:t>
            </w:r>
          </w:p>
        </w:tc>
      </w:tr>
      <w:tr>
        <w:tc>
          <w:tcPr>
            <w:tcW w:type="dxa" w:w="720"/>
          </w:tcPr>
          <w:p>
            <w:pPr>
              <w:spacing w:after="0"/>
            </w:pPr>
            <w:r>
              <w:rPr>
                <w:sz w:val="17"/>
              </w:rPr>
              <w:t>RISK-17</w:t>
            </w:r>
          </w:p>
        </w:tc>
        <w:tc>
          <w:tcPr>
            <w:tcW w:type="dxa" w:w="1008"/>
            <w:shd w:val="clear" w:color="auto" w:fill="FFD700"/>
            <w:shd w:val="clear" w:color="auto" w:fill="E2EFDA"/>
          </w:tcPr>
          <w:p>
            <w:pPr>
              <w:spacing w:after="0"/>
            </w:pPr>
            <w:r>
              <w:rPr>
                <w:b/>
                <w:sz w:val="17"/>
              </w:rPr>
            </w:r>
            <w:r>
              <w:rPr>
                <w:b/>
                <w:color w:val="007000"/>
                <w:sz w:val="18"/>
              </w:rPr>
              <w:t>MEDIUM</w:t>
              <w:br/>
              <w:t>(MITIGATED)</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r>
            <w:r>
              <w:rPr>
                <w:b w:val="0"/>
                <w:sz w:val="18"/>
              </w:rPr>
              <w:t>MITIGATED: NP-DRV-SHELL-001 Rev A extended with §2.3 (multi-FPC bundle management and EEG cable separation). New requirements: ≥ 2 mm inter-FPC separation; ≥ 15 mm FPC-to-EEG cable separation (or grounded barrier); 3 anchor/tie-down points per FPC; Hub PCB all 5 ZIF receptacles on same edge. DRC-16 to DRC-21 added to design review checklist. NP-COORD-001 G2-01 updated with specific deliverables.</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sz w:val="18"/>
              </w:rPr>
              <w:t>MITIGATED — NP-DRV-SHELL-001 §2.3 + DRC-16–21; CAD and physical prototype sign-off required</w:t>
            </w:r>
          </w:p>
        </w:tc>
      </w:tr>
      <w:tr>
        <w:tc>
          <w:tcPr>
            <w:tcW w:type="dxa" w:w="1072"/>
            <w:shd w:val="clear" w:color="auto" w:fill="FFFFFF"/>
          </w:tcPr>
          <w:p>
            <w:r>
              <w:rPr>
                <w:b w:val="0"/>
                <w:sz w:val="18"/>
              </w:rPr>
              <w:t>RISK-18</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ZONE_ID ENABLE interlock creates session-blocking availability failure mode</w:t>
            </w:r>
          </w:p>
        </w:tc>
        <w:tc>
          <w:tcPr>
            <w:tcW w:type="dxa" w:w="1072"/>
            <w:shd w:val="clear" w:color="auto" w:fill="FFFFFF"/>
          </w:tcPr>
          <w:p>
            <w:r>
              <w:rPr>
                <w:b w:val="0"/>
                <w:sz w:val="18"/>
              </w:rPr>
              <w:t xml:space="preserve">Pin 18 (ZONE_ID) is now in the ENABLE assertion path: Hub MCU reads ADC(pin 18) before every ENABLE assertion. If pin 18 has an open-circuit fault — from a cracked solder joint, worn ZIF contact, or FPC trace break — the ADC reads out-of-range and Hub MCU asserts FAULT, holding ENABLE low. The user cannot run any session on the affected zone until the fault is diagnosed and repaired. A single bad </w:t>
            </w:r>
          </w:p>
        </w:tc>
        <w:tc>
          <w:tcPr>
            <w:tcW w:type="dxa" w:w="1072"/>
            <w:shd w:val="clear" w:color="auto" w:fill="FFFFFF"/>
          </w:tcPr>
          <w:p>
            <w:r>
              <w:rPr>
                <w:b w:val="0"/>
                <w:sz w:val="18"/>
              </w:rPr>
              <w:t>User cannot complete sessions. For a daily-use wellness device used by people with neurological conditions, this is a significant availability failure. Contact resistance on ZIF connectors increases over the 1,000-cycle lifecycle; a marginal pin 18 connection may pass FAI but develop intermittent fa</w:t>
            </w:r>
          </w:p>
        </w:tc>
        <w:tc>
          <w:tcPr>
            <w:tcW w:type="dxa" w:w="1072"/>
            <w:shd w:val="clear" w:color="auto" w:fill="FFFFFF"/>
          </w:tcPr>
          <w:p>
            <w:r>
              <w:rPr>
                <w:b w:val="0"/>
                <w:sz w:val="18"/>
              </w:rPr>
            </w:r>
            <w:r>
              <w:rPr>
                <w:b w:val="0"/>
                <w:sz w:val="16"/>
              </w:rPr>
              <w:t>Three-layer mitigation: (1) Firmware: 3× ADC reads at 100 ms intervals before asserting FAULT — single transient contact resistance spike does not block session; only sustained open circuit triggers FAULT + audio alert. (2) FAI: FAI-K04 (pin 18 contact resistance ≤ 30 mΩ at 100 g insertion force) catches high-resistance contacts before field deployment. (3) App UX: FAULT condition triggers specific diagnostic message ('Zone module contact issue — remove and reinsert') rather than generic error.</w:t>
            </w:r>
          </w:p>
        </w:tc>
        <w:tc>
          <w:tcPr>
            <w:tcW w:type="dxa" w:w="1072"/>
            <w:shd w:val="clear" w:color="auto" w:fill="FFFFFF"/>
          </w:tcPr>
          <w:p>
            <w:r>
              <w:rPr>
                <w:b w:val="0"/>
                <w:sz w:val="18"/>
              </w:rPr>
              <w:t>Firmware / HW EE</w:t>
            </w:r>
          </w:p>
        </w:tc>
        <w:tc>
          <w:tcPr>
            <w:tcW w:type="dxa" w:w="1072"/>
            <w:shd w:val="clear" w:color="auto" w:fill="FFFFFF"/>
          </w:tcPr>
          <w:p>
            <w:r>
              <w:rPr>
                <w:b w:val="0"/>
                <w:sz w:val="18"/>
              </w:rPr>
            </w:r>
            <w:r>
              <w:rPr>
                <w:b w:val="0"/>
                <w:sz w:val="16"/>
              </w:rPr>
              <w:t>NP-HW-FPC-001 §5.2 pin 18; §11.4 ZONE_ID</w:t>
              <w:br/>
              <w:t>NP-FAI-ZM-001 FAI-K04</w:t>
              <w:br/>
              <w:t>NP-COORD-001 G2-07</w:t>
            </w:r>
          </w:p>
        </w:tc>
        <w:tc>
          <w:tcPr>
            <w:tcW w:type="dxa" w:w="1072"/>
            <w:shd w:val="clear" w:color="auto" w:fill="FFE699"/>
            <w:shd w:val="clear" w:color="auto" w:fill="FFF2CC"/>
            <w:shd w:val="clear" w:color="auto" w:fill="92D050"/>
          </w:tcPr>
          <w:p>
            <w:r>
              <w:rPr>
                <w:b w:val="0"/>
                <w:sz w:val="18"/>
              </w:rPr>
            </w:r>
            <w:r>
              <w:rPr>
                <w:b w:val="0"/>
                <w:sz w:val="16"/>
              </w:rPr>
            </w:r>
            <w:r>
              <w:rPr>
                <w:b/>
                <w:color w:val="007000"/>
                <w:sz w:val="16"/>
              </w:rPr>
              <w:t>MITIGATED — firmware debounce in spec; FAI-K04 validates; app UX diagnostic message specified</w:t>
            </w:r>
          </w:p>
        </w:tc>
      </w:tr>
      <w:tr>
        <w:tc>
          <w:tcPr>
            <w:tcW w:type="dxa" w:w="1072"/>
            <w:shd w:val="clear" w:color="auto" w:fill="FFFFFF"/>
          </w:tcPr>
          <w:p>
            <w:r>
              <w:rPr>
                <w:b w:val="0"/>
                <w:sz w:val="18"/>
              </w:rPr>
              <w:t>RISK-19</w:t>
            </w:r>
          </w:p>
        </w:tc>
        <w:tc>
          <w:tcPr>
            <w:tcW w:type="dxa" w:w="1072"/>
            <w:shd w:val="clear" w:color="auto" w:fill="FF0000"/>
          </w:tcPr>
          <w:p>
            <w:r>
              <w:rPr>
                <w:b/>
                <w:color w:val="FFFFFF"/>
                <w:sz w:val="18"/>
              </w:rPr>
            </w:r>
            <w:r>
              <w:rPr>
                <w:b/>
                <w:sz w:val="16"/>
              </w:rPr>
              <w:t>HIGH</w:t>
              <w:br/>
              <w:t>(MITIGATED)</w:t>
            </w:r>
          </w:p>
        </w:tc>
        <w:tc>
          <w:tcPr>
            <w:tcW w:type="dxa" w:w="1072"/>
            <w:shd w:val="clear" w:color="auto" w:fill="FFFFFF"/>
          </w:tcPr>
          <w:p>
            <w:r>
              <w:rPr>
                <w:b w:val="0"/>
                <w:sz w:val="18"/>
              </w:rPr>
              <w:t>Co-molded silicone gasket may delaminate from zone module body</w:t>
            </w:r>
          </w:p>
        </w:tc>
        <w:tc>
          <w:tcPr>
            <w:tcW w:type="dxa" w:w="1072"/>
            <w:shd w:val="clear" w:color="auto" w:fill="FFFFFF"/>
          </w:tcPr>
          <w:p>
            <w:r>
              <w:rPr>
                <w:b w:val="0"/>
                <w:sz w:val="18"/>
              </w:rPr>
              <w:t>The RISK-16 Option A gasket is co-molded silicone bonded to the zone module thermoplastic body (likely ABS, PC, or PC-ABS). Silicone-to-thermoplastic co-moulding adhesion depends on surface preparation and compatible chemistries — without a primer or adhesion promoter, bond strength at silicone-to-ABS interfaces is typically 3–8 N/mm (peel), which degrades with thermal cycling and repeated compre</w:t>
            </w:r>
          </w:p>
        </w:tc>
        <w:tc>
          <w:tcPr>
            <w:tcW w:type="dxa" w:w="1072"/>
            <w:shd w:val="clear" w:color="auto" w:fill="FFFFFF"/>
          </w:tcPr>
          <w:p>
            <w:r>
              <w:rPr>
                <w:b w:val="0"/>
                <w:sz w:val="18"/>
              </w:rPr>
              <w:t>Delaminated gasket: (1) IPX4 seal is lost — water and sweat ingress to Hub PCB and ZIF connector during use; (2) free silicone strip becomes debris inside the headset shell, potentially jamming the ZIF lever or shorting exposed contacts; (3) user may not notice delamination — no warning, no SHDR ale</w:t>
            </w:r>
          </w:p>
        </w:tc>
        <w:tc>
          <w:tcPr>
            <w:tcW w:type="dxa" w:w="1072"/>
            <w:shd w:val="clear" w:color="auto" w:fill="FFFFFF"/>
          </w:tcPr>
          <w:p>
            <w:r>
              <w:rPr>
                <w:b w:val="0"/>
                <w:sz w:val="18"/>
              </w:rPr>
              <w:t>Four mitigations required before tooling release: (1) Specify silicone primer/adhesion promoter on zone module body at gasket bond surface (e.g., Dow PR-1200 or equivalent) — include in zone module assembly process spec. (2) Add mechanical retention: groove or undercut in zone module body perimeter traps the gasket even if chemical bond fails — 'key' geometry prevents peel-off. (3) FAI gasket peel test (90°, 10 N/mm minimum) on production-representative co-mold sample — required before first pr</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t>§12</w:t>
            </w:r>
          </w:p>
        </w:tc>
        <w:tc>
          <w:tcPr>
            <w:tcW w:type="dxa" w:w="1072"/>
            <w:shd w:val="clear" w:color="auto" w:fill="FFE699"/>
            <w:shd w:val="clear" w:color="auto" w:fill="92D050"/>
          </w:tcPr>
          <w:p>
            <w:r>
              <w:rPr>
                <w:b w:val="0"/>
                <w:sz w:val="18"/>
              </w:rPr>
            </w:r>
            <w:r>
              <w:rPr>
                <w:b/>
                <w:color w:val="007000"/>
                <w:sz w:val="16"/>
              </w:rPr>
              <w:t>MITIGATED — F-06 retention groove + primer in NP-TOOL-ZM-001; FAI-K09 validates</w:t>
            </w:r>
          </w:p>
        </w:tc>
      </w:tr>
      <w:tr>
        <w:tc>
          <w:tcPr>
            <w:tcW w:type="dxa" w:w="1072"/>
            <w:shd w:val="clear" w:color="auto" w:fill="FFFFFF"/>
          </w:tcPr>
          <w:p>
            <w:r>
              <w:rPr>
                <w:b w:val="0"/>
                <w:sz w:val="18"/>
              </w:rPr>
              <w:t>RISK-20</w:t>
            </w:r>
          </w:p>
        </w:tc>
        <w:tc>
          <w:tcPr>
            <w:tcW w:type="dxa" w:w="1072"/>
            <w:shd w:val="clear" w:color="auto" w:fill="FF0000"/>
          </w:tcPr>
          <w:p>
            <w:r>
              <w:rPr>
                <w:b/>
                <w:color w:val="FFFFFF"/>
                <w:sz w:val="18"/>
              </w:rPr>
              <w:t>HIGH</w:t>
            </w:r>
          </w:p>
        </w:tc>
        <w:tc>
          <w:tcPr>
            <w:tcW w:type="dxa" w:w="1072"/>
            <w:shd w:val="clear" w:color="auto" w:fill="FFFFFF"/>
          </w:tcPr>
          <w:p>
            <w:r>
              <w:rPr>
                <w:b w:val="0"/>
                <w:sz w:val="18"/>
              </w:rPr>
              <w:t>CFRP shell slot rim Ra ≤ 1.6 µm surface finish may require secondary operations</w:t>
            </w:r>
          </w:p>
        </w:tc>
        <w:tc>
          <w:tcPr>
            <w:tcW w:type="dxa" w:w="1072"/>
            <w:shd w:val="clear" w:color="auto" w:fill="FFFFFF"/>
          </w:tcPr>
          <w:p>
            <w:r>
              <w:rPr>
                <w:b w:val="0"/>
                <w:sz w:val="18"/>
              </w:rPr>
              <w:t>The RISK-16 Option A gasket spec requires shell slot rim Ra ≤ 1.6 µm for reliable sealing. Molded CFRP typically achieves Ra 1.6–3.2 µm depending on mold tool finish and release agent. Ra ≤ 1.6 µm on CFRP requires either: a precision-polished mold tool (achievable but adds $5K–15K to shell tooling NRE and extends lead time), a gel-coat or paint layer on the slot interior (adds 0.05–0.15 mm to s</w:t>
            </w:r>
          </w:p>
        </w:tc>
        <w:tc>
          <w:tcPr>
            <w:tcW w:type="dxa" w:w="1072"/>
            <w:shd w:val="clear" w:color="auto" w:fill="FFFFFF"/>
          </w:tcPr>
          <w:p>
            <w:r>
              <w:rPr>
                <w:b w:val="0"/>
                <w:sz w:val="18"/>
              </w:rPr>
              <w:t>If slot rim Ra &gt; 1.6 µm in production tooling: gasket sealing is inconsistent — microscale surface peaks penetrate the gasket, creating leak paths. IPX4 claim fails. 'Workout-safe' marketing claim cannot be made. Discovering this post-tooling requires either tooling rework (expensive), gel-coat rewo</w:t>
            </w:r>
          </w:p>
        </w:tc>
        <w:tc>
          <w:tcPr>
            <w:tcW w:type="dxa" w:w="1072"/>
            <w:shd w:val="clear" w:color="auto" w:fill="FFFFFF"/>
          </w:tcPr>
          <w:p>
            <w:r>
              <w:rPr>
                <w:b w:val="0"/>
                <w:sz w:val="18"/>
              </w:rPr>
              <w:t>Required before tooling specification release: (1) Confirm achievable Ra on CFRP slot interior with shell tooling manufacturer — get written commitment to Ra ≤ 1.6 µm or identify secondary operation needed. (2) If secondary operation required: specify in shell tooling drawing and add to production process flow. Measure Ra on first-article shell with contact profilometer. (3) Alternative: if Ra ≤ 1.6 µm not reliably achievable, increase gasket durometer to Shore 50–60A and increase gasket compres</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r>
            <w:r>
              <w:rPr>
                <w:b w:val="0"/>
                <w:sz w:val="16"/>
              </w:rPr>
              <w:t>NP-PROC-SUP-001 §4 SUP-M-07, §6 SUP-B-01, §9</w:t>
              <w:br/>
              <w:t>NP-TOOL-ZM-001 §5 OI-1</w:t>
            </w:r>
          </w:p>
        </w:tc>
        <w:tc>
          <w:tcPr>
            <w:tcW w:type="dxa" w:w="1072"/>
            <w:shd w:val="clear" w:color="auto" w:fill="FFE699"/>
            <w:shd w:val="clear" w:color="auto" w:fill="FFF2CC"/>
            <w:shd w:val="clear" w:color="auto" w:fill="FFF2CC"/>
          </w:tcPr>
          <w:p>
            <w:r>
              <w:rPr>
                <w:b w:val="0"/>
                <w:sz w:val="18"/>
              </w:rPr>
            </w:r>
            <w:r>
              <w:rPr>
                <w:b w:val="0"/>
                <w:sz w:val="16"/>
              </w:rPr>
              <w:t>OPEN — awaiting CFRP supplier written confirmation (Ra data + letter). NP-PROC-SUP-001 SUP-M-07 and SUP-B-01 are BLOCKING qualification items. Cannot release tooling until confirmed.</w:t>
            </w:r>
          </w:p>
        </w:tc>
      </w:tr>
      <w:tr>
        <w:tc>
          <w:tcPr>
            <w:tcW w:type="dxa" w:w="1072"/>
            <w:shd w:val="clear" w:color="auto" w:fill="FFFFFF"/>
          </w:tcPr>
          <w:p>
            <w:r>
              <w:rPr>
                <w:b w:val="0"/>
                <w:sz w:val="18"/>
              </w:rPr>
              <w:t>RISK-21</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EEG electrode cable routing path inside shell is unspecified — DRC-18 cannot be verified</w:t>
            </w:r>
          </w:p>
        </w:tc>
        <w:tc>
          <w:tcPr>
            <w:tcW w:type="dxa" w:w="1072"/>
            <w:shd w:val="clear" w:color="auto" w:fill="FFFFFF"/>
          </w:tcPr>
          <w:p>
            <w:r>
              <w:rPr>
                <w:b w:val="0"/>
                <w:sz w:val="18"/>
              </w:rPr>
              <w:t>RISK-17 mitigation (NP-DRV-SHELL-001 §2.3) requires ≥ 15 mm separation between zone module FPC tails and EEG electrode cables (DRC-18). However, the EEG electrode cable routing path inside the CFRP shell has never been specified — no routing document, no cable path drawing, no cable type or diameter spec exists. DRC-18 compares FPC paths against EEG cable paths in CAD overlay, but one of the two p</w:t>
            </w:r>
          </w:p>
        </w:tc>
        <w:tc>
          <w:tcPr>
            <w:tcW w:type="dxa" w:w="1072"/>
            <w:shd w:val="clear" w:color="auto" w:fill="FFFFFF"/>
          </w:tcPr>
          <w:p>
            <w:r>
              <w:rPr>
                <w:b w:val="0"/>
                <w:sz w:val="18"/>
              </w:rPr>
              <w:t>Shell tooling is cut without EEG cable routing provisions. EEG cables, routed ad-hoc during assembly, may pass within 2–5 mm of FPC power tails. At 1.8 A RMS at ≥ 1 kHz, this produces &gt; 100 µV of EEG artifact — masking delta and theta band activity entirely and producing artefactual gamma signals. C</w:t>
            </w:r>
          </w:p>
        </w:tc>
        <w:tc>
          <w:tcPr>
            <w:tcW w:type="dxa" w:w="1072"/>
            <w:shd w:val="clear" w:color="auto" w:fill="FFFFFF"/>
          </w:tcPr>
          <w:p>
            <w:r>
              <w:rPr>
                <w:b w:val="0"/>
                <w:sz w:val="18"/>
              </w:rPr>
            </w:r>
            <w:r>
              <w:rPr>
                <w:b w:val="0"/>
                <w:sz w:val="16"/>
              </w:rPr>
              <w:t>EEG cables routed along outer CFRP surface (opposite side from FPC bundle). §2.4 added to NP-DRV-SHELL-001 specifying dedicated 8×5 mm molded channel. DRC-22/23 added to checklist. OI-09/10 track remaining CAD confirmation.</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NP-DRV-SHELL-001 §2.4; DRC-22/23</w:t>
            </w:r>
          </w:p>
        </w:tc>
      </w:tr>
      <w:tr>
        <w:tc>
          <w:tcPr>
            <w:tcW w:type="dxa" w:w="1072"/>
            <w:shd w:val="clear" w:color="auto" w:fill="FFFFFF"/>
          </w:tcPr>
          <w:p>
            <w:r>
              <w:rPr>
                <w:b w:val="0"/>
                <w:sz w:val="18"/>
              </w:rPr>
              <w:t>RISK-22</w:t>
            </w:r>
          </w:p>
        </w:tc>
        <w:tc>
          <w:tcPr>
            <w:tcW w:type="dxa" w:w="1072"/>
            <w:shd w:val="clear" w:color="auto" w:fill="FF9900"/>
            <w:shd w:val="clear" w:color="auto" w:fill="E2EFDA"/>
          </w:tcPr>
          <w:p>
            <w:r>
              <w:rPr>
                <w:b/>
                <w:sz w:val="18"/>
              </w:rPr>
            </w:r>
            <w:r>
              <w:rPr>
                <w:b/>
                <w:color w:val="007000"/>
                <w:sz w:val="16"/>
              </w:rPr>
              <w:t>MEDIUM</w:t>
              <w:br/>
              <w:t>(MITIGATED)</w:t>
            </w:r>
          </w:p>
        </w:tc>
        <w:tc>
          <w:tcPr>
            <w:tcW w:type="dxa" w:w="1072"/>
            <w:shd w:val="clear" w:color="auto" w:fill="FFFFFF"/>
          </w:tcPr>
          <w:p>
            <w:r>
              <w:rPr>
                <w:b w:val="0"/>
                <w:sz w:val="18"/>
              </w:rPr>
              <w:t>Gasket compression force (2–4 N) and mechanical key alignment impede zone module replacement by users with reduced grip strength or tremor</w:t>
            </w:r>
          </w:p>
        </w:tc>
        <w:tc>
          <w:tcPr>
            <w:tcW w:type="dxa" w:w="1072"/>
            <w:shd w:val="clear" w:color="auto" w:fill="FFFFFF"/>
          </w:tcPr>
          <w:p>
            <w:r>
              <w:rPr>
                <w:b w:val="0"/>
                <w:sz w:val="18"/>
              </w:rPr>
              <w:t>Two RISK-15/16 mitigations add resistance to zone module insertion and extraction: (a) The co-molded silicone compression gasket (RISK-16) adds 2–4 N extraction force — the gasket must be overcome to remove the module. (b) The asymmetric mechanical key (RISK-15 Layer 1) requires precise alignment before insertion — users must locate the key orientation before the module will enter. NeurOne's t</w:t>
            </w:r>
          </w:p>
        </w:tc>
        <w:tc>
          <w:tcPr>
            <w:tcW w:type="dxa" w:w="1072"/>
            <w:shd w:val="clear" w:color="auto" w:fill="FFFFFF"/>
          </w:tcPr>
          <w:p>
            <w:r>
              <w:rPr>
                <w:b w:val="0"/>
                <w:sz w:val="18"/>
              </w:rPr>
              <w:t>User cannot independently replace zone modules in the field. This is both a usability failure (reduces autonomy) and a clinical risk (user cannot address a fouled PDMS window or degraded module without help). If NeurOne markets autonomous home use as a differentiator, inability to self-service un</w:t>
            </w:r>
          </w:p>
        </w:tc>
        <w:tc>
          <w:tcPr>
            <w:tcW w:type="dxa" w:w="1072"/>
            <w:shd w:val="clear" w:color="auto" w:fill="FFFFFF"/>
          </w:tcPr>
          <w:p>
            <w:r>
              <w:rPr>
                <w:b w:val="0"/>
                <w:sz w:val="18"/>
              </w:rPr>
            </w:r>
            <w:r>
              <w:rPr>
                <w:b w:val="0"/>
                <w:sz w:val="16"/>
              </w:rPr>
              <w:t>Option A sliding eject lever: 10–12 mm lever arm with 3:1 mechanical advantage reduces extraction force from 2–4 N to ≤1 N at lever tip. Recessed flush when closed; snap-fit detent (0.3–0.5 N release) prevents accidental ejection during wear. Hinge pin boss molded into zone module body; 316SS hinge pin press-fit. Lever clears ZIF mechanism (OI-7 confirms). FAI-A15 validates with 5 Parkinson's/post-stroke subjects (≤10 s extraction, ≤2 attempts, no pain).</w:t>
            </w:r>
          </w:p>
        </w:tc>
        <w:tc>
          <w:tcPr>
            <w:tcW w:type="dxa" w:w="1072"/>
            <w:shd w:val="clear" w:color="auto" w:fill="FFFFFF"/>
          </w:tcPr>
          <w:p>
            <w:r>
              <w:rPr>
                <w:b w:val="0"/>
                <w:sz w:val="18"/>
              </w:rPr>
              <w:t>UX / Mechanical Eng / Regulatory</w:t>
            </w:r>
          </w:p>
        </w:tc>
        <w:tc>
          <w:tcPr>
            <w:tcW w:type="dxa" w:w="1072"/>
            <w:shd w:val="clear" w:color="auto" w:fill="FFFFFF"/>
          </w:tcPr>
          <w:p>
            <w:r>
              <w:rPr>
                <w:b w:val="0"/>
                <w:sz w:val="18"/>
              </w:rPr>
            </w:r>
            <w:r>
              <w:rPr>
                <w:b w:val="0"/>
                <w:sz w:val="16"/>
              </w:rPr>
              <w:t>NP-TOOL-ZM-001 F-08 (updated)</w:t>
              <w:br/>
              <w:t>NP-FAI-ZM-001 FAI-A15</w:t>
            </w:r>
          </w:p>
        </w:tc>
        <w:tc>
          <w:tcPr>
            <w:tcW w:type="dxa" w:w="1072"/>
            <w:shd w:val="clear" w:color="auto" w:fill="FFE699"/>
            <w:shd w:val="clear" w:color="auto" w:fill="FFF2CC"/>
            <w:shd w:val="clear" w:color="auto" w:fill="92D050"/>
          </w:tcPr>
          <w:p>
            <w:r>
              <w:rPr>
                <w:b w:val="0"/>
                <w:sz w:val="18"/>
              </w:rPr>
            </w:r>
            <w:r>
              <w:rPr>
                <w:b w:val="0"/>
                <w:sz w:val="16"/>
              </w:rPr>
            </w:r>
            <w:r>
              <w:rPr>
                <w:b/>
                <w:color w:val="007000"/>
                <w:sz w:val="16"/>
              </w:rPr>
              <w:t>MITIGATED — Option A lever specified in NP-TOOL-ZM-001 F-08; FAI-A15 HFE test added; OI-7 tracks CAD clearance check</w:t>
            </w:r>
          </w:p>
        </w:tc>
      </w:tr>
      <w:tr>
        <w:tc>
          <w:tcPr>
            <w:tcW w:type="dxa" w:w="1072"/>
            <w:shd w:val="clear" w:color="auto" w:fill="FFFFFF"/>
          </w:tcPr>
          <w:p>
            <w:r>
              <w:rPr>
                <w:b w:val="0"/>
                <w:sz w:val="18"/>
              </w:rPr>
              <w:t>RISK-23</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 module mold requires 4 simultaneous co-molded features — omission risk before first-cut</w:t>
            </w:r>
          </w:p>
        </w:tc>
        <w:tc>
          <w:tcPr>
            <w:tcW w:type="dxa" w:w="1072"/>
            <w:shd w:val="clear" w:color="auto" w:fill="FFFFFF"/>
          </w:tcPr>
          <w:p>
            <w:r>
              <w:rPr>
                <w:b w:val="0"/>
                <w:sz w:val="18"/>
              </w:rPr>
              <w:t>The zone module injection mold must now incorporate four distinct co-molded or molded-in features, each specified in a different document and driven by a different risk mitigation: (1) Braille abbreviation + raised numeral on module face (RISK-15 Layer 3, ISO 17049:2013); (2) Co-molded silicone lip seal gasket on module perimeter (RISK-16 Option A); (3) Optical baffle housing/aperture for refe</w:t>
            </w:r>
          </w:p>
        </w:tc>
        <w:tc>
          <w:tcPr>
            <w:tcW w:type="dxa" w:w="1072"/>
            <w:shd w:val="clear" w:color="auto" w:fill="FFFFFF"/>
          </w:tcPr>
          <w:p>
            <w:r>
              <w:rPr>
                <w:b w:val="0"/>
                <w:sz w:val="18"/>
              </w:rPr>
              <w:t>Any feature omitted from zone module tooling cannot be retrofitted post-cut — a full mold retool is required. Retool cost: $20,000–60,000 per mold, 8–16 week lead time, program delay. Worst case: all 4 features omitted from initial tooling specification = 3–4 sequential retool cycles before prod</w:t>
            </w:r>
          </w:p>
        </w:tc>
        <w:tc>
          <w:tcPr>
            <w:tcW w:type="dxa" w:w="1072"/>
            <w:shd w:val="clear" w:color="auto" w:fill="FFFFFF"/>
          </w:tcPr>
          <w:p>
            <w:r>
              <w:rPr>
                <w:b w:val="0"/>
                <w:sz w:val="18"/>
              </w:rPr>
            </w:r>
            <w:r>
              <w:rPr>
                <w:b w:val="0"/>
                <w:sz w:val="16"/>
              </w:rPr>
              <w:t>NP-TOOL-ZM-001 created consolidating all 8 molded features (F-01 through F-08). 12-item mold design review checklist in §5. All features traceable to risk register. G1-05 gate in NP-COORD-001 requires sign-off before steel cut.</w:t>
            </w:r>
          </w:p>
        </w:tc>
        <w:tc>
          <w:tcPr>
            <w:tcW w:type="dxa" w:w="1072"/>
            <w:shd w:val="clear" w:color="auto" w:fill="FFFFFF"/>
          </w:tcPr>
          <w:p>
            <w:r>
              <w:rPr>
                <w:b w:val="0"/>
                <w:sz w:val="18"/>
              </w:rPr>
              <w:t>Mechanical Eng / Program Manager</w:t>
            </w:r>
          </w:p>
        </w:tc>
        <w:tc>
          <w:tcPr>
            <w:tcW w:type="dxa" w:w="1072"/>
            <w:shd w:val="clear" w:color="auto" w:fill="FFFFFF"/>
          </w:tcPr>
          <w:p>
            <w:r>
              <w:rPr>
                <w:b w:val="0"/>
                <w:sz w:val="18"/>
              </w:rPr>
              <w:t>§8.2, §11.4, §12, NP-HW-FPC-001</w:t>
            </w:r>
          </w:p>
        </w:tc>
        <w:tc>
          <w:tcPr>
            <w:tcW w:type="dxa" w:w="1072"/>
            <w:shd w:val="clear" w:color="auto" w:fill="FFE699"/>
            <w:shd w:val="clear" w:color="auto" w:fill="92D050"/>
          </w:tcPr>
          <w:p>
            <w:r>
              <w:rPr>
                <w:b w:val="0"/>
                <w:sz w:val="18"/>
              </w:rPr>
            </w:r>
            <w:r>
              <w:rPr>
                <w:b/>
                <w:color w:val="007000"/>
                <w:sz w:val="16"/>
              </w:rPr>
              <w:t>MITIGATED — NP-TOOL-ZM-001 Rev A</w:t>
            </w:r>
          </w:p>
        </w:tc>
      </w:tr>
      <w:tr>
        <w:tc>
          <w:tcPr>
            <w:tcW w:type="dxa" w:w="1072"/>
            <w:shd w:val="clear" w:color="auto" w:fill="FFFFFF"/>
          </w:tcPr>
          <w:p>
            <w:r>
              <w:rPr>
                <w:b w:val="0"/>
                <w:sz w:val="18"/>
              </w:rPr>
              <w:t>RISK-24</w:t>
            </w:r>
          </w:p>
        </w:tc>
        <w:tc>
          <w:tcPr>
            <w:tcW w:type="dxa" w:w="1072"/>
            <w:shd w:val="clear" w:color="auto" w:fill="FF9900"/>
          </w:tcPr>
          <w:p>
            <w:r>
              <w:rPr>
                <w:b/>
                <w:sz w:val="18"/>
              </w:rPr>
            </w:r>
            <w:r>
              <w:rPr>
                <w:b/>
                <w:sz w:val="16"/>
              </w:rPr>
              <w:t>MEDIUM</w:t>
              <w:br/>
              <w:t>(MITIGATED)</w:t>
            </w:r>
          </w:p>
        </w:tc>
        <w:tc>
          <w:tcPr>
            <w:tcW w:type="dxa" w:w="1072"/>
            <w:shd w:val="clear" w:color="auto" w:fill="FFFFFF"/>
          </w:tcPr>
          <w:p>
            <w:r>
              <w:rPr>
                <w:b w:val="0"/>
                <w:sz w:val="18"/>
              </w:rPr>
              <w:t>15 mm FPC-to-EEG cable separation requirement may be geometrically unachievable inside headset shell without design compromise</w:t>
            </w:r>
          </w:p>
        </w:tc>
        <w:tc>
          <w:tcPr>
            <w:tcW w:type="dxa" w:w="1072"/>
            <w:shd w:val="clear" w:color="auto" w:fill="FFFFFF"/>
          </w:tcPr>
          <w:p>
            <w:r>
              <w:rPr>
                <w:b w:val="0"/>
                <w:sz w:val="18"/>
              </w:rPr>
              <w:t>RISK-17 mitigation specifies ≥ 15 mm separation between zone module FPC power tails (1.8 A RMS) and EEG electrode signal cables. The NeurOne headset CFRP shell interior must simultaneously house: 5 FPC routing channels (each 3 mm wide × 1.5 mm deep), EEG electrode cables for 8 channels plus references, structural ribs, Boa cable routing, audio cable routing to over-ear speakers, and the Hub PCB</w:t>
            </w:r>
          </w:p>
        </w:tc>
        <w:tc>
          <w:tcPr>
            <w:tcW w:type="dxa" w:w="1072"/>
            <w:shd w:val="clear" w:color="auto" w:fill="FFFFFF"/>
          </w:tcPr>
          <w:p>
            <w:r>
              <w:rPr>
                <w:b w:val="0"/>
                <w:sz w:val="18"/>
              </w:rPr>
              <w:t xml:space="preserve">If 15 mm separation is not geometrically achievable: (a) Shell geometry must be enlarged (increases headset size, reduces wearability); (b) Grounded barrier must be inserted between FPC and EEG channels (adds parts, weight, assembly complexity); (c) Separation requirement must be relaxed (increases </w:t>
            </w:r>
          </w:p>
        </w:tc>
        <w:tc>
          <w:tcPr>
            <w:tcW w:type="dxa" w:w="1072"/>
            <w:shd w:val="clear" w:color="auto" w:fill="FFFFFF"/>
          </w:tcPr>
          <w:p>
            <w:r>
              <w:rPr>
                <w:b w:val="0"/>
                <w:sz w:val="18"/>
              </w:rPr>
              <w:t>Resolution requires shell CAD model (which does not yet exist — see RISK-21). Until CAD is available: (1) Architectural decision: route EEG cables and FPC tails on opposite halves of the shell interior (FPC tails on headset crown side, EEG cables on scalp side). This maximises separation without specifying exact dimensions. (2) If barrier is needed: 0.1 mm aluminium foil strip bonded to shell interior and connected to chassis GND — adds &lt; 1 g weight, negligible cost. (3) DRC-18 in NP-DRV-SHELL-0</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§2.4 DRC-18a/b provides primary routing + barrier fallback</w:t>
            </w:r>
          </w:p>
        </w:tc>
      </w:tr>
      <w:tr>
        <w:tc>
          <w:tcPr>
            <w:tcW w:w="792" w:type="dxa"/>
          </w:tcPr>
          <w:p>
            <w:r>
              <w:rPr>
                <w:sz w:val="16"/>
              </w:rPr>
              <w:t xml:space="preserve">RISK-25</w:t>
            </w:r>
          </w:p>
        </w:tc>
        <w:tc>
          <w:tcPr>
            <w:tcW w:w="1007" w:type="dxa"/>
            <w:shd w:val="clear" w:color="auto" w:fill="E2EFDA"/>
          </w:tcPr>
          <w:p>
            <w:r>
              <w:rPr>
                <w:b/>
              </w:rPr>
              <w:t>LOW</w:t>
              <w:br/>
              <w:t>(MITIGATED)</w:t>
            </w:r>
          </w:p>
        </w:tc>
        <w:tc>
          <w:tcPr>
            <w:tcW w:w="864" w:type="dxa"/>
          </w:tcPr>
          <w:p>
            <w:r>
              <w:t>Cervical VNS cardiac reflex — bradycardia or asystole from vagal stimulation at carotid sheath proximity</w:t>
            </w:r>
          </w:p>
        </w:tc>
        <w:tc>
          <w:tcPr>
            <w:tcW w:w="1152" w:type="dxa"/>
          </w:tcPr>
          <w:p>
            <w:r>
              <w:t>Carotid sinus proximity; parasympathetic activation; current spreading to baroreceptors</w:t>
            </w:r>
          </w:p>
        </w:tc>
        <w:tc>
          <w:tcPr>
            <w:tcW w:w="1007" w:type="dxa"/>
          </w:tcPr>
          <w:p>
            <w:r>
              <w:t>Bradycardia, hypotension, vasovagal syncope, or (in extreme cases) asystole during stimulation session</w:t>
            </w:r>
          </w:p>
        </w:tc>
        <w:tc>
          <w:tcPr>
            <w:tcW w:w="2736" w:type="dxa"/>
          </w:tcPr>
          <w:p>
            <w:r>
              <w:t>Safety MCU dual-processor cardiac interlock (NP-FW-CVNS-001 Rev A)</w:t>
            </w:r>
          </w:p>
        </w:tc>
        <w:tc>
          <w:tcPr>
            <w:tcW w:w="792" w:type="dxa"/>
          </w:tcPr>
          <w:p>
            <w:r>
              <w:t>Firmware / Safety Engineering</w:t>
            </w:r>
          </w:p>
        </w:tc>
        <w:tc>
          <w:tcPr>
            <w:tcW w:w="1440" w:type="dxa"/>
          </w:tcPr>
          <w:p>
            <w:r>
              <w:t>NP-FW-CVNS-001 Rev A</w:t>
              <w:br/>
              <w:t>FAI-CV01, FAI-CV02, FAI-CV03</w:t>
            </w:r>
          </w:p>
        </w:tc>
        <w:tc>
          <w:tcPr>
            <w:tcW w:w="1872" w:type="dxa"/>
            <w:shd w:val="clear" w:color="auto" w:fill="92D050"/>
          </w:tcPr>
          <w:p>
            <w:r>
              <w:t>MITIGATED</w:t>
            </w:r>
          </w:p>
        </w:tc>
      </w:tr>
      <w:tr>
        <w:tc>
          <w:tcPr>
            <w:tcW w:w="792" w:type="dxa"/>
          </w:tcPr>
          <w:p>
            <w:r>
              <w:rPr>
                <w:sz w:val="16"/>
              </w:rPr>
              <w:t xml:space="preserve">RISK-26</w:t>
            </w:r>
          </w:p>
        </w:tc>
        <w:tc>
          <w:tcPr>
            <w:tcW w:w="1007" w:type="dxa"/>
            <w:shd w:val="clear" w:color="auto" w:fill="FFC000"/>
          </w:tcPr>
          <w:p>
            <w:r>
              <w:rPr>
                <w:b/>
              </w:rPr>
              <w:t xml:space="preserve">S3 — Moderate</w:t>
              <w:br/>
              <w:t xml:space="preserve">(ALARP)</w:t>
            </w:r>
          </w:p>
        </w:tc>
        <w:tc>
          <w:tcPr>
            <w:tcW w:w="864" w:type="dxa"/>
          </w:tcPr>
          <w:p>
            <w:r>
              <w:t xml:space="preserve">Fan/vent (forced-convection) degradation diverts module heat to the scalp while the junction NTC still reads safe — un-interlocked scalp thermal-injury pathway</w:t>
            </w:r>
          </w:p>
        </w:tc>
        <w:tc>
          <w:tcPr>
            <w:tcW w:w="1152" w:type="dxa"/>
          </w:tcPr>
          <w:p>
            <w:r>
              <w:t xml:space="preserve">SW01-M04 throttles PBM zone current on LED junction temperature (62°C throttle / 65°C cutoff). Per THERM-1 (NP-THERM-BEZEL-001 §4), scalp safety is a scalp-facing surface limit (42°C, IEC 60601-1); the split of module heat between outward (ambient) and inward (scalp) paths depends on forced convection (hub fan, RPM logged to SHDR). On loss/degradation of forced convection, outward thermal resistance rises and more heat is forced scalp-ward while the junction NTC stays ≤62°C and never cuts off — least protective exactly when this fault occurs.</w:t>
            </w:r>
          </w:p>
        </w:tc>
        <w:tc>
          <w:tcPr>
            <w:tcW w:w="1007" w:type="dxa"/>
          </w:tcPr>
          <w:p>
            <w:r>
              <w:t xml:space="preserve">Scalp-facing surface exceeds 42°C while the junction interlock reports safe → scalp thermal injury (moderate, reversible) not bounded by any existing interlock.</w:t>
            </w:r>
          </w:p>
        </w:tc>
        <w:tc>
          <w:tcPr>
            <w:tcW w:w="2736" w:type="dxa"/>
          </w:tcPr>
          <w:p>
            <w:r>
              <w:t xml:space="preserve">Fan-health thermal-safety interlock per NP-REQ-FANHEALTH-001 (SR-FAN-01…06): bound scalp-facing surface ≤42°C under single-fault loss of forced convection, independent of forced-convection state (recommended Path B1 — scalp-facing NTC co-located with PD2, read by SW01-M04 Class C); derate PBM duty to the natural-convection-safe ceiling with fail-safe fan-health handling (SR-FAN-06); SW-02 fan-RPM telemetry + SW03-M05 predictive-maintenance alert as an availability layer. Accepted provisionally into NP-SW-001 §6.2 Rev B. SR-FAN-03/04 numeric constants TBD-per-THERM-1a (NP-THERM-CFD-001, CFD not yet run). Initial S3×P3 = 9 (ALARP); target residual S2×P1 = 2 (ACCEPTABLE).</w:t>
            </w:r>
          </w:p>
        </w:tc>
        <w:tc>
          <w:tcPr>
            <w:tcW w:w="792" w:type="dxa"/>
          </w:tcPr>
          <w:p>
            <w:r>
              <w:t xml:space="preserve">FW + Thermal (Quality: QMS baseline)</w:t>
            </w:r>
          </w:p>
        </w:tc>
        <w:tc>
          <w:tcPr>
            <w:tcW w:w="1440" w:type="dxa"/>
          </w:tcPr>
          <w:p>
            <w:r>
              <w:t xml:space="preserve">NP-FMEA-GEOM-001 §4 (G07)</w:t>
              <w:br/>
              <w:t xml:space="preserve">NP-REQ-FANHEALTH-001; NP-THERM-CFD-001; NP-THERM-BEZEL-001 §4; NP-SW-001 §6.2/§5.1</w:t>
            </w:r>
          </w:p>
        </w:tc>
        <w:tc>
          <w:tcPr>
            <w:tcW w:w="1872" w:type="dxa"/>
            <w:shd w:val="clear" w:color="auto" w:fill="FFF2CC"/>
          </w:tcPr>
          <w:p>
            <w:r>
              <w:t xml:space="preserve">OPEN — initial S3×P3 = 9 (ALARP). Mitigation SR-FAN-01…06 drafted and accepted provisionally into NP-SW-001 Rev B; closure to residual S2×P1 = 2 gated on the THERM-1a CFD (SR-FAN-03/04 constants, NP-THERM-CFD-001) + THERM-1b bench verification (OI-FAN-04b).</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NeurOne's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center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7733"/>
          <w:sz w:val="22"/>
        </w:rPr>
        <w:t>RISK-06  |  HIGH (MITIGATED)  |  Reference Photodiode Optical Isolation — Baffle and Synchronous Detection Specified in §8</w:t>
      </w:r>
    </w:p>
    <w:p>
      <w:pPr>
        <w:ind w:firstLine="216"/>
      </w:pPr>
      <w:r>
        <w:t>The reference photodiode architecture is the technical foundation of the "real-time J/cm² dose metering" claim — NeurOne's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 Action 1 (REMAINING — blocks tooling): Baffle geometry must be in mechanical design before zone module tooling is released — it affects mold geometry</w:t>
      </w:r>
    </w:p>
    <w:p>
      <w:pPr>
        <w:pStyle w:val="ListBullet"/>
        <w:spacing w:after="40"/>
      </w:pPr>
      <w:r>
        <w:rPr>
          <w:sz w:val="20"/>
        </w:rPr>
        <w:t>Action 2: First-article optical isolation test is mandatory before production release</w:t>
      </w:r>
    </w:p>
    <w:p>
      <w:pPr>
        <w:pStyle w:val="ListBullet"/>
        <w:spacing w:after="40"/>
      </w:pPr>
      <w:r>
        <w:rPr>
          <w:sz w:val="20"/>
        </w:rPr>
        <w:t>→ Action 3 (OPEN DECISION): Evaluate ADPD174GGI as an integrated solution — it includes an internal optical isolation wall and synchronous AFE in a 3.0 × 2.8 mm package, which may be more reliable than a discrete baffle + external TIA approach</w:t>
      </w:r>
    </w:p>
    <w:p>
      <w:pPr>
        <w:spacing w:before="160"/>
      </w:pPr>
      <w:r>
        <w:rPr>
          <w:b/>
          <w:color w:val="007733"/>
          <w:sz w:val="22"/>
        </w:rPr>
        <w:t>RISK-07  |  HIGH (MITIGATED)  |  BCR421W (350 mA) Specified in §6.2 — BOM Update Required</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 Action (REMAINING): Confirm BCR421W on BOM before layout. BCR421W already specified in spec §6.2. Cost delta vs BCR421U: negligible (same package, same price tier). Verify RSET value against BCR421W datasheet (not BCR421U) — Iadj curves differ between variants.</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color w:val="006000"/>
          <w:sz w:val="20"/>
        </w:rPr>
        <w:t>Mitigation: MITIGATED (Rev B / Procurement Doc NP-PROC-FPC-001 Rev A): LED Vf binning requirements are now mandated on all purchase orders. Within-order tolerance: ±0.10 V at rated current. Lot-to-lot tolerance: ±0.15 V. Verbatim PO language is defined in NP-PROC-FPC-001 §2. Out-of-spec lots are subject to mandatory disposition review before acceptance. Approved supplier list (Epistar, OSRAM OS, Cree/Wolfspeed) requires Vf bin certificates with each shipment. Incoming inspection: 5-unit sample AQL 1.0 per reel.</w:t>
      </w:r>
    </w:p>
    <w:p>
      <w:r>
        <w:rPr>
          <w:sz w:val="20"/>
        </w:rPr>
      </w:r>
    </w:p>
    <w:p>
      <w:pPr>
        <w:pStyle w:val="ListBullet"/>
      </w:pPr>
      <w:r>
        <w:rPr>
          <w:color w:val="007000"/>
          <w:sz w:val="20"/>
        </w:rPr>
        <w:t>→ Action 3 (DONE): FPC spec §13 Fab Note 1 marked as DRAWING REQUIREMENT — fabricator must acknowledge RA copper requirement on order confirmation.</w:t>
      </w:r>
    </w:p>
    <w:p>
      <w:pPr>
        <w:pStyle w:val="ListBullet"/>
      </w:pPr>
      <w:r>
        <w:rPr>
          <w:color w:val="007000"/>
          <w:sz w:val="20"/>
        </w:rPr>
        <w:t>→ Action 2 (DONE): Procurement document NP-PROC-FPC-001 §5 contains verbatim PO language: 'Copper foil shall be Rolled Annealed (RA) per IPC-4204/11 Type I. Electrodeposited (ED) copper is NOT acceptable for dynamic flex.' Incoming inspection §7 line item 7 requires copper foil certification.</w:t>
      </w:r>
    </w:p>
    <w:p>
      <w:pPr>
        <w:pStyle w:val="ListBullet"/>
      </w:pPr>
      <w:r>
        <w:rPr>
          <w:color w:val="007000"/>
          <w:sz w:val="20"/>
        </w:rPr>
        <w:t>→ Action 1 (DONE): FPC spec §3.1 and §13 Fab Note 1 updated to mandate RA copper explicitly. Note is designated a DRAWING REQUIREMENT — not a suggestion.</w:t>
      </w:r>
    </w:p>
    <w:p>
      <w:r>
        <w:rPr>
          <w:sz w:val="20"/>
        </w:rPr>
        <w:t>RA copper (per IPC-4204/11 Type I) has elongation at break of 20–30% versus 3–8% for ED copper. In dynamic flex applications, ED copper grain boundaries propagate cracks after 10,000–50,000 flex cycles. At 1,000–3,000 session cycles per year (cable-connected daily use), ED copper may fail within 4–10 years — within the device warranty period. RA copper has documented 10M+ cycle life in dynamic flex applications when routed at ≥25 mm radius. The fabricator will not substitute RA for ED without being told — ED is cheaper and the default. This is purely a purchase order and drawing discipline issue.</w:t>
      </w:r>
    </w:p>
    <w:p>
      <w:r>
        <w:rPr>
          <w:b/>
          <w:color w:val="1F497D"/>
          <w:sz w:val="22"/>
        </w:rPr>
        <w:t>RISK-10  |  MEDIUM (MITIGATED)  |  ED Copper Default — RA Copper Mandated on Drawing and PO</w:t>
      </w:r>
    </w:p>
    <w:p>
      <w:r>
        <w:rPr>
          <w:sz w:val="20"/>
        </w:rPr>
      </w:r>
    </w:p>
    <w:p>
      <w:pPr>
        <w:pStyle w:val="ListBullet"/>
      </w:pPr>
      <w:r>
        <w:rPr>
          <w:color w:val="007000"/>
          <w:sz w:val="20"/>
        </w:rPr>
        <w:t>→ Action 3 (DONE): Procurement document NP-PROC-FPC-001 §4 explicitly prohibits Molex SlimStack and 0.35 mm pitch. Hirose FH34S-20S-0.5SH or JAE FF03 only. Substitute prohibition language included.</w:t>
      </w:r>
    </w:p>
    <w:p>
      <w:pPr>
        <w:pStyle w:val="ListBullet"/>
      </w:pPr>
      <w:r>
        <w:rPr>
          <w:color w:val="007000"/>
          <w:sz w:val="20"/>
        </w:rPr>
        <w:t>→ Action 2 (DONE): SBIR Phase I proposal updated — all references to 'Molex SlimStack' replaced with 'Hirose FH34S-20S-0.5SH'; all references to '0.35 mm pitch' replaced with '0.5 mm pitch'. Three paragraph-level changes made.</w:t>
      </w:r>
    </w:p>
    <w:p>
      <w:pPr>
        <w:pStyle w:val="ListBullet"/>
      </w:pPr>
      <w:r>
        <w:rPr>
          <w:color w:val="007000"/>
          <w:sz w:val="20"/>
        </w:rPr>
        <w:t>→ Action 1 (DONE): Connector spec updated to Hirose FH34S-20S-0.5SH (0.5 mm pitch, back-flip lever ZIF, ≥1,000 cycles) in FPC spec §5, CLAUDE.md §7.1, and risk RISK-01 mitigation. 0.35 mm pitch is explicitly excluded.</w:t>
      </w:r>
    </w:p>
    <w:p>
      <w:r>
        <w:rPr>
          <w:sz w:val="20"/>
        </w:rPr>
        <w:t>The SBIR Phase I application (§C.2) listed 'Molex SlimStack 0.35 mm pitch FPC connector' as part of the design freeze deliverable. This was an early-draft reference that predated the RISK-01 resolution. At 0.35 mm pitch, contact current ratings are typically 0.3–0.5 A — insufficient for 0.9 A RMS power pins (paired). The correct connector (Hirose FH34S, 0.5 mm pitch) is rated 0.5 A per contact; power pins are paired (2 × 0.5 A = 1.0 A, margin above 0.9 A RMS). Leaving the old reference in the proposal created a document inconsistency that could undermine credibility with reviewers who know FPC specifications.</w:t>
      </w:r>
    </w:p>
    <w:p>
      <w:r>
        <w:rPr>
          <w:b/>
          <w:color w:val="1F497D"/>
          <w:sz w:val="22"/>
        </w:rPr>
        <w:t>RISK-09  |  MEDIUM (MITIGATED)  |  SBIR Proposal 0.35 mm Pitch Reference — Corrected to 0.5 mm</w:t>
      </w:r>
    </w:p>
    <w:p>
      <w:r>
        <w:rPr>
          <w:sz w:val="20"/>
        </w:rPr>
      </w:r>
    </w:p>
    <w:p>
      <w:r>
        <w:rPr>
          <w:b/>
          <w:color w:val="1F497D"/>
          <w:sz w:val="22"/>
        </w:rPr>
        <w:t>DETAILED ANALYSIS — MEDIUM RISKS (MITIGATED)</w:t>
      </w:r>
    </w:p>
    <w:p>
      <w:r>
        <w:rPr>
          <w:b w:val="0"/>
          <w:sz w:val="20"/>
        </w:rPr>
      </w:r>
    </w:p>
    <w:p>
      <w:pPr>
        <w:pStyle w:val="ListBullet"/>
      </w:pPr>
      <w:r>
        <w:rPr>
          <w:b w:val="0"/>
          <w:color w:val="007000"/>
          <w:sz w:val="20"/>
        </w:rPr>
        <w:t>→ Action 4 (DONE): Engineering coordination checklist NP-COORD-001 Rev A created. Items G1-03 and G1-04 track EDR and firmware implementation. Items G2-07 and G3-04 lock values and validate on prototype.</w:t>
      </w:r>
    </w:p>
    <w:p>
      <w:pPr>
        <w:pStyle w:val="ListBullet"/>
      </w:pPr>
      <w:r>
        <w:rPr>
          <w:b w:val="0"/>
          <w:color w:val="C06000"/>
          <w:sz w:val="20"/>
        </w:rPr>
        <w:t>→ Action 3 (OPEN — prototype): Oscilloscope validation of 50 µs blanking window — scope trace showing EEG sample gate vs. PWM edge, captured on first prototype. Tracked as NP-COORD-001 G3-04.</w:t>
      </w:r>
    </w:p>
    <w:p>
      <w:pPr>
        <w:pStyle w:val="ListBullet"/>
      </w:pPr>
      <w:r>
        <w:rPr>
          <w:b w:val="0"/>
          <w:color w:val="C06000"/>
          <w:sz w:val="20"/>
        </w:rPr>
        <w:t>→ Action 2 (OPEN — Safety MCU spec): Agreed carrier frequency locked as Safety MCU constant; 50 µs blanking constant in Safety MCU firmware. Neither value changeable by OTA update without ECO. Tracked as NP-COORD-001 G2-07.</w:t>
      </w:r>
    </w:p>
    <w:p>
      <w:pPr>
        <w:pStyle w:val="ListBullet"/>
      </w:pPr>
      <w:r>
        <w:rPr>
          <w:b w:val="0"/>
          <w:color w:val="C06000"/>
          <w:sz w:val="20"/>
        </w:rPr>
        <w:t>→ Action 1 (OPEN — EDR required): HW EE and Firmware Lead must sign Engineering Decision Record specifying: agreed carrier frequency ≥ 1 kHz; anti-aliasing filter corner; harmonic analysis table confirming no coincidence with any therapy/EEG band up to Nyquist; 50 µs blanking window on every PWM edge. Tracked as NP-COORD-001 G1-03.</w:t>
      </w:r>
    </w:p>
    <w:p>
      <w:r>
        <w:rPr>
          <w:b w:val="0"/>
          <w:sz w:val="20"/>
        </w:rPr>
        <w:t>The contamination path is direct: LED PWM switching generates a square-wave current transient in the power supply rails. If the carrier frequency (or any of its harmonics up to the EEG anti-aliasing cutoff at 200 Hz) falls within the EEG acquisition band, the artifact is captured and treated as brainwave signal by the closed-loop algorithm. At 40 Hz gamma (the highest-value protocol), a carrier frequency of 40, 80, or 120 Hz would produce an artifact indistinguishable from genuine gamma: the algorithm would see 'gamma activity' that correlates perfectly with its own stimulation — a positive feedback loop. The mitigation (≥1 kHz carrier + 50 µs blanking) is well-established in combined PBM/EEG device design, but it requires explicit inter-team agreement because neither the HW EE nor the Firmware team has full visibility of the other's constraints in isolation.</w:t>
      </w:r>
    </w:p>
    <w:p>
      <w:r>
        <w:rPr>
          <w:b/>
          <w:color w:val="1F497D"/>
          <w:sz w:val="20"/>
        </w:rPr>
        <w:t>RISK-13  |  MEDIUM (MITIGATED)  |  LED PWM Carrier Frequency — EEG Band Contamination</w:t>
      </w:r>
    </w:p>
    <w:p>
      <w:r>
        <w:rPr>
          <w:b w:val="0"/>
          <w:sz w:val="20"/>
        </w:rPr>
      </w:r>
    </w:p>
    <w:p>
      <w:pPr>
        <w:pStyle w:val="ListBullet"/>
      </w:pPr>
      <w:r>
        <w:rPr>
          <w:b w:val="0"/>
          <w:color w:val="C06000"/>
          <w:sz w:val="20"/>
        </w:rPr>
        <w:t>→ Action 5 (OPEN — firmware): Implement bone conduction audio zone confirmation (Layer 5). Firmware reads ZONE_ID resistor, compares to slot map, speaks zone name or error via bone conduction. Tracked as NP-COORD-001 G2-10.</w:t>
      </w:r>
    </w:p>
    <w:p>
      <w:pPr>
        <w:pStyle w:val="ListBullet"/>
      </w:pPr>
      <w:r>
        <w:rPr>
          <w:b w:val="0"/>
          <w:color w:val="C06000"/>
          <w:sz w:val="20"/>
        </w:rPr>
        <w:t>→ Action 4 (OPEN — shell tooling spec): Tactile dot patterns adjacent to all 5 zone slots (Layer 4). Must be in shell tooling spec before first-cut. Tracked as NP-COORD-001 G2-02.</w:t>
      </w:r>
    </w:p>
    <w:p>
      <w:pPr>
        <w:pStyle w:val="ListBullet"/>
      </w:pPr>
      <w:r>
        <w:rPr>
          <w:b w:val="0"/>
          <w:color w:val="C06000"/>
          <w:sz w:val="20"/>
        </w:rPr>
        <w:t>→ Action 3 (OPEN — zone module tooling spec): Braille + raised numeral on module face (Layer 3). Must be in zone module tooling spec before first-cut. Zero cost if specified now. Tracked as NP-COORD-001 G2-02.</w:t>
      </w:r>
    </w:p>
    <w:p>
      <w:pPr>
        <w:pStyle w:val="ListBullet"/>
      </w:pPr>
      <w:r>
        <w:rPr>
          <w:b w:val="0"/>
          <w:color w:val="C06000"/>
          <w:sz w:val="20"/>
        </w:rPr>
        <w:t>→ Action 2 (OPEN — PCB layout): Place 0402 ZONE_ID resistor on each zone module PCB, connected between pin 18 (ZONE_ID) and AGND (pin 17). Values: ZM-01=10k, ZM-02=22k, ZM-03=47k, ZM-04=100k, ZM-05=220k (all 1%). Hub MCU firmware reads ADC on ZONE_ID before every ENABLE assertion.</w:t>
      </w:r>
    </w:p>
    <w:p>
      <w:pPr>
        <w:pStyle w:val="ListBullet"/>
      </w:pPr>
      <w:r>
        <w:rPr>
          <w:b w:val="0"/>
          <w:color w:val="C06000"/>
          <w:sz w:val="20"/>
        </w:rPr>
        <w:t>→ Action 1 (OPEN — shell tooling spec): Unique asymmetric mechanical key geometry for all 5 zone slots (Layer 1). Must be in shell tooling spec before first-cut. This is the only layer that is entirely passive and requires no firmware or user action — it is the safety guarantee for all users including blind. Tracked as NP-COORD-001 G2-02.</w:t>
      </w:r>
    </w:p>
    <w:p>
      <w:r>
        <w:rPr>
          <w:b w:val="0"/>
          <w:sz w:val="20"/>
        </w:rPr>
        <w:t>The original risk considered only color-vision deficiency (~8% males). The mitigation is extended to cover completely blind users, since NeurOne's clinical positioning (neurological conditions including visual processing disorders) makes it plausible that a proportion of users will have significant visual impairment. The five-layer approach costs ~$0.15 total per headset (5 ZONE_ID resistors at $0.03 each) if the mold features (Layers 3 and 4) are specified before tooling. After tooling, Layers 3 and 4 are lost; only the ZONE_ID resistor and audio can be added, which provides electronic and audio protection but not tactile identification. The mechanical key (Layer 1) must be in tooling regardless — it is the blocking physical safety guarantee.</w:t>
      </w:r>
    </w:p>
    <w:p>
      <w:r>
        <w:rPr>
          <w:b/>
          <w:color w:val="1F497D"/>
          <w:sz w:val="20"/>
        </w:rPr>
        <w:t>RISK-15  |  LOW (MITIGATED)  |  Five-Layer Zone Keying — Color-Blind and Blind-Accessible</w:t>
      </w:r>
    </w:p>
    <w:p>
      <w:r>
        <w:rPr>
          <w:b w:val="0"/>
          <w:sz w:val="20"/>
        </w:rPr>
      </w:r>
    </w:p>
    <w:p>
      <w:pPr>
        <w:pStyle w:val="ListBullet"/>
      </w:pPr>
      <w:r>
        <w:rPr>
          <w:b w:val="0"/>
          <w:color w:val="C06000"/>
          <w:sz w:val="20"/>
        </w:rPr>
        <w:t>→ Action 3 (OPEN — FAI): IPX4 field-replacement test (NP-FAI-ZM-001 FAI-IPX-02): 10 swap cycles then IEC 60529 IPX4 splash test. Must pass before production release.</w:t>
      </w:r>
    </w:p>
    <w:p>
      <w:pPr>
        <w:pStyle w:val="ListBullet"/>
      </w:pPr>
      <w:r>
        <w:rPr>
          <w:b w:val="0"/>
          <w:color w:val="C06000"/>
          <w:sz w:val="20"/>
        </w:rPr>
        <w:t>→ Action 2 (OPEN — tooling spec): Shell slot rim: smooth contact surface Ra ≤ 1.6 µm, rim width ≥ 2.5 mm, no draft-angle steps. Must be in shell tooling spec before first-cut.</w:t>
      </w:r>
    </w:p>
    <w:p>
      <w:pPr>
        <w:pStyle w:val="ListBullet"/>
      </w:pPr>
      <w:r>
        <w:rPr>
          <w:b w:val="0"/>
          <w:color w:val="C06000"/>
          <w:sz w:val="20"/>
        </w:rPr>
        <w:t>→ Action 1 (OPEN — zone module tooling spec): Co-molded gasket spec (Shore 40–50A, D-section 2.5 mm × 2.0 mm, 20% compression at insertion) in zone module mold drawing. Must be specified before first-cut — cannot be retrofitted.</w:t>
      </w:r>
    </w:p>
    <w:p>
      <w:r>
        <w:rPr>
          <w:b w:val="0"/>
          <w:sz w:val="20"/>
        </w:rPr>
        <w:t>Option A (self-sealing gasket) was selected over Option B (user-applied RTV syringe) because silicone RTV requires accurate bead application around a complex perimeter — a task prone to gaps, excess material fouling the PDMS window, and non-compliance when users skip the step. The gasket approach removes user behavior from the IPX4 compliance path entirely. The co-molded gasket adds ~$0.30–0.60 BOM per zone module ($1.50–3.00 per headset for 5 zones) vs. an RTV syringe accessory that would cost ~$1.50–3.00 per headset anyway — comparable cost, guaranteed compliance vs. user-dependent compliance.</w:t>
      </w:r>
    </w:p>
    <w:p>
      <w:r>
        <w:rPr>
          <w:b/>
          <w:color w:val="1F497D"/>
          <w:sz w:val="20"/>
        </w:rPr>
        <w:t>RISK-16  |  LOW (MITIGATED)  |  IPX4 Field-Replacement Seal — Option A Gasket Selected</w:t>
      </w:r>
    </w:p>
    <w:p>
      <w:r>
        <w:rPr>
          <w:b w:val="0"/>
          <w:sz w:val="20"/>
        </w:rPr>
      </w:r>
    </w:p>
    <w:p>
      <w:r>
        <w:rPr>
          <w:b w:val="0"/>
          <w:color w:val="C06000"/>
          <w:sz w:val="20"/>
        </w:rPr>
        <w:t>→ Action 5 (OPEN — physical prototype): DRC-21 — motion simulation test on first-article with all 5 zone modules installed; confirm no FPC contact during ±30° flex cycles. Tracked in NP-DRV-SHELL-001 §5.</w:t>
      </w:r>
    </w:p>
    <w:p>
      <w:r>
        <w:rPr>
          <w:b w:val="0"/>
          <w:color w:val="C06000"/>
          <w:sz w:val="20"/>
        </w:rPr>
        <w:t>→ Action 4 (OPEN — Hub PCB layout): Hub PCB connector placement coordination — all 5 ZIF receptacles on same edge, perpendicular to FPC routing direction. Must be communicated to Hub PCB layout engineer before schematic capture. Tracked as NP-COORD-001 G2-01 and NP-DRV-SHELL-001 OI-08.</w:t>
      </w:r>
    </w:p>
    <w:p>
      <w:r>
        <w:rPr>
          <w:b w:val="0"/>
          <w:color w:val="C06000"/>
          <w:sz w:val="20"/>
        </w:rPr>
        <w:t>→ Action 3 (OPEN — shell CAD): DRC-17/18/19/20 — inter-FPC separation, FPC-to-EEG cable separation, anchor points, and Hub PCB alignment all require a CAD model showing all 5 FPC routing paths simultaneously with EEG cable overlay. This is the primary CAD deliverable for NP-COORD-001 G2-01.</w:t>
      </w:r>
    </w:p>
    <w:p>
      <w:r>
        <w:rPr>
          <w:b w:val="0"/>
          <w:color w:val="C06000"/>
          <w:sz w:val="20"/>
        </w:rPr>
        <w:t>→ Action 2 (OPEN — shell tooling spec): Anchor boss geometry (3 per FPC, ≥ 5 mm boss radius, no compression), inter-FPC channel dividers, and grounded barrier (if FPC-to-EEG gap &lt; 15 mm) must all be in shell tooling spec before first-cut. Cannot be retrofitted.</w:t>
      </w:r>
    </w:p>
    <w:p>
      <w:r>
        <w:rPr>
          <w:b w:val="0"/>
          <w:color w:val="007000"/>
          <w:sz w:val="20"/>
        </w:rPr>
        <w:t>→ Action 1 (DONE): NP-DRV-SHELL-001 Rev A extended with §2.3 (multi-FPC bundle management) and DRC-16 to DRC-21 (6 new design review checklist items). Requirements now specified for: bundle cross-section clearance, ≥ 2 mm inter-FPC separation, ≥ 15 mm FPC-to-EEG separation, anchor/tie-down points, and Hub PCB connector placement.</w:t>
      </w:r>
    </w:p>
    <w:p>
      <w:r>
        <w:rPr>
          <w:b w:val="0"/>
          <w:sz w:val="20"/>
        </w:rPr>
        <w:t>RISK-17 extends RISK-11 (single-FPC bend radius) to the full 5-FPC system. The critical additional hazards are: (a) inductive coupling between adjacent high-current FPC tails — at 1.8 A RMS per tail, mutual inductance between parallel FPCs &lt; 2 mm apart produces millivolt-level interference on any co-located signal line, including EEG leads; (b) EEG cable contamination — a sub-microvolt EEG signal running within 5 mm of a 1 kHz PWM power FPC will pick up &gt; 100 µV of artifact, completely masking delta/theta band activity; (c) FPC chafing — adjacent FPCs in contact undergo relative motion of ~0.5–1.5 mm on every zone module insertion/removal cycle, abrading the polyimide coverlay and eventually exposing copper.</w:t>
      </w:r>
    </w:p>
    <w:p>
      <w:r>
        <w:rPr>
          <w:b/>
          <w:color w:val="1F497D"/>
          <w:sz w:val="20"/>
        </w:rPr>
        <w:t>RISK-17  |  MEDIUM (MITIGATED)  |  Multi-FPC Routing + EEG Cable Separation — §2.3 Added to NP-DRV-SHELL-001</w:t>
      </w:r>
    </w:p>
    <w:p>
      <w:pPr/>
      <w:r>
        <w:rPr>
          <w:b/>
          <w:color w:val="1F497D"/>
          <w:sz w:val="20"/>
        </w:rPr>
        <w:t>RISK-25  |  LOW (MITIGATED)  |  Cervical VNS Cardiac Reflex</w:t>
      </w:r>
    </w:p>
    <w:p>
      <w:pPr/>
    </w:p>
    <w:p>
      <w:pPr/>
      <w:r>
        <w:rPr>
          <w:b w:val="0"/>
          <w:sz w:val="20"/>
        </w:rPr>
        <w:t>Modality: Cervical VNS (T2 accessory)</w:t>
      </w:r>
    </w:p>
    <w:p>
      <w:pPr/>
      <w:r>
        <w:rPr>
          <w:b w:val="0"/>
          <w:sz w:val="20"/>
        </w:rPr>
        <w:t>Failure mode: Stimulation near carotid sheath triggers baroreceptor reflex → bradycardia, hypotension, or asystole</w:t>
      </w:r>
    </w:p>
    <w:p>
      <w:pPr/>
      <w:r>
        <w:rPr>
          <w:b w:val="0"/>
          <w:sz w:val="20"/>
        </w:rPr>
        <w:t>Root cause: Vagal trunk stimulation at cervical level has proximity to carotid sinus and baroreceptor afferents; current spreading could activate parasympathetic tone</w:t>
      </w:r>
    </w:p>
    <w:p>
      <w:pPr/>
      <w:r>
        <w:rPr>
          <w:b w:val="0"/>
          <w:sz w:val="20"/>
        </w:rPr>
        <w:t>Initial severity: CRITICAL (potential asystole) × P1 (rare but known in invasive VNS literature)</w:t>
      </w:r>
    </w:p>
    <w:p>
      <w:pPr/>
      <w:r>
        <w:rPr>
          <w:b w:val="0"/>
          <w:sz w:val="20"/>
        </w:rPr>
        <w:t>Residual severity after mitigation: LOW</w:t>
      </w:r>
    </w:p>
    <w:p>
      <w:pPr/>
    </w:p>
    <w:p>
      <w:pPr/>
      <w:r>
        <w:rPr>
          <w:b/>
          <w:sz w:val="20"/>
        </w:rPr>
        <w:t>Mitigation — NP-FW-CVNS-001 Rev A — Safety MCU cardiac interlock (MITIGATED):</w:t>
      </w:r>
    </w:p>
    <w:p>
      <w:pPr>
        <w:pStyle w:val="ListBullet"/>
      </w:pPr>
      <w:r>
        <w:rPr>
          <w:b w:val="0"/>
          <w:sz w:val="20"/>
        </w:rPr>
        <w:t>Safety MCU (STM32G071) owns CVNS_ENABLE_L/R GPIO independently of main processor</w:t>
      </w:r>
    </w:p>
    <w:p>
      <w:pPr>
        <w:pStyle w:val="ListBullet"/>
      </w:pPr>
      <w:r>
        <w:rPr>
          <w:b w:val="0"/>
          <w:sz w:val="20"/>
        </w:rPr>
        <w:t>Pre-stimulation baseline HR established from PPG R-peak detection (main processor) + cross-validated by Safety MCU GPIO timer (must agree within 5 BPM before enable granted)</w:t>
      </w:r>
    </w:p>
    <w:p>
      <w:pPr>
        <w:pStyle w:val="ListBullet"/>
      </w:pPr>
      <w:r>
        <w:rPr>
          <w:b w:val="0"/>
          <w:sz w:val="20"/>
        </w:rPr>
        <w:t>HR change &gt;15 BPM within 5-second rolling window → TIM6 ISR asserts GPIO LOW within &lt;5.1ms worst-case (&lt;100ms spec)</w:t>
      </w:r>
    </w:p>
    <w:p>
      <w:pPr>
        <w:pStyle w:val="ListBullet"/>
      </w:pPr>
      <w:r>
        <w:rPr>
          <w:b w:val="0"/>
          <w:sz w:val="20"/>
        </w:rPr>
        <w:t>Re-enable requires: 30s lockout elapsed + explicit app user confirmation + repeat impedance check + baseline re-established</w:t>
      </w:r>
    </w:p>
    <w:p>
      <w:pPr>
        <w:pStyle w:val="ListBullet"/>
      </w:pPr>
      <w:r>
        <w:rPr>
          <w:b w:val="0"/>
          <w:sz w:val="20"/>
        </w:rPr>
        <w:t>Safety MCU cannot be overridden by main processor crash or app command</w:t>
      </w:r>
    </w:p>
    <w:p>
      <w:pPr>
        <w:pStyle w:val="ListBullet"/>
      </w:pPr>
      <w:r>
        <w:rPr>
          <w:b w:val="0"/>
          <w:sz w:val="20"/>
        </w:rPr>
        <w:t>Additionally: per-session impedance check blocks enable if electrode contact not confirmed</w:t>
      </w:r>
    </w:p>
    <w:p>
      <w:pPr/>
    </w:p>
    <w:p>
      <w:pPr/>
      <w:r>
        <w:rPr>
          <w:b w:val="0"/>
          <w:sz w:val="20"/>
        </w:rPr>
        <w:t>Residual risk justification: Dual-processor architecture with independent cardiac monitoring provides safety backstop comparable to predicate device (electroCore gammaCore). Predicate operates at ≤24mA; NeurOne operates at ≤2mA (&gt;10× lower current). Residual risk ACCEPTABLE per NP-RM-001 acceptability matrix.</w:t>
      </w:r>
    </w:p>
    <w:p>
      <w:pPr/>
    </w:p>
    <w:p>
      <w:pPr/>
      <w:r>
        <w:rPr>
          <w:b/>
          <w:sz w:val="20"/>
        </w:rPr>
        <w:t>FAI verification:</w:t>
      </w:r>
    </w:p>
    <w:p>
      <w:pPr>
        <w:pStyle w:val="ListBullet"/>
      </w:pPr>
      <w:r>
        <w:rPr>
          <w:b w:val="0"/>
          <w:sz w:val="20"/>
        </w:rPr>
        <w:t>FAI-CV01: Electrode placement accuracy (anatomical phantom bench) — PENDING (T2 prototype required)</w:t>
      </w:r>
    </w:p>
    <w:p>
      <w:pPr>
        <w:pStyle w:val="ListBullet"/>
      </w:pPr>
      <w:r>
        <w:rPr>
          <w:b w:val="0"/>
          <w:sz w:val="20"/>
        </w:rPr>
        <w:t>FAI-CV02: Cardiac interlock timing &lt;100ms (oscilloscope bench with R-peak signal generator) — SOFTWARE CONSTANTS PASS; HARDWARE BENCH PENDING (T2 prototype required)</w:t>
      </w:r>
    </w:p>
    <w:p>
      <w:pPr>
        <w:pStyle w:val="ListBullet"/>
      </w:pPr>
      <w:r>
        <w:rPr>
          <w:b w:val="0"/>
          <w:sz w:val="20"/>
        </w:rPr>
        <w:t>FAI-CV03: Tolerability in 3 healthy adults — PENDING (IRB approval required)</w:t>
      </w:r>
    </w:p>
    <w:p>
      <w:pPr/>
      <w:r>
        <w:rPr>
          <w:b w:val="0"/>
          <w:sz w:val="20"/>
        </w:rPr>
        <w:t>Document reference: NP-FW-CVNS-001 Rev A (firmware/cervical_vns/)</w:t>
      </w:r>
    </w:p>
    <w:p>
      <w:pP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shd w:val="clear" w:color="auto" w:fill="E2EFDA"/>
          </w:tcPr>
          <w:p>
            <w:pPr>
              <w:spacing w:after="0"/>
            </w:pPr>
            <w:r>
              <w:rPr>
                <w:sz w:val="17"/>
              </w:rPr>
            </w:r>
            <w:r>
              <w:rPr>
                <w:b w:val="0"/>
              </w:rPr>
              <w:t>REQUIRED (addressed in NP-COORD-001)</w:t>
            </w:r>
          </w:p>
        </w:tc>
        <w:tc>
          <w:tcPr>
            <w:tcW w:type="dxa" w:w="2880"/>
          </w:tcPr>
          <w:p>
            <w:pPr>
              <w:spacing w:after="0"/>
            </w:pPr>
            <w:r>
              <w:rPr>
                <w:sz w:val="17"/>
              </w:rPr>
            </w:r>
            <w:r>
              <w:rPr>
                <w:b w:val="0"/>
              </w:rPr>
              <w:t>LED PWM carrier frequency agreed with firmware team — NP-COORD-001 items G1-03 (EDR) and G1-04 (firmware blanking) address this. EDR and firmware implementation still required to close G1-03 and G1-04.</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shd w:val="clear" w:color="auto" w:fill="E2EFDA"/>
          </w:tcPr>
          <w:p>
            <w:pPr>
              <w:spacing w:after="0"/>
            </w:pPr>
            <w:r>
              <w:rPr>
                <w:sz w:val="17"/>
              </w:rPr>
            </w:r>
            <w:r>
              <w:rPr>
                <w:b w:val="0"/>
              </w:rPr>
              <w:t>REQUIRED (addressed in NP-DRV-SHELL-001)</w:t>
            </w:r>
          </w:p>
        </w:tc>
        <w:tc>
          <w:tcPr>
            <w:tcW w:type="dxa" w:w="2880"/>
          </w:tcPr>
          <w:p>
            <w:pPr>
              <w:spacing w:after="0"/>
            </w:pPr>
            <w:r>
              <w:rPr>
                <w:sz w:val="17"/>
              </w:rPr>
            </w:r>
            <w:r>
              <w:rPr>
                <w:b w:val="0"/>
              </w:rPr>
              <w:t>Shell tooling FPC routing path with ≥25 mm bend radius — design review doc NP-DRV-SHELL-001 Rev A created. CAD model and physical prototype still required to close (see NP-DRV-SHELL-001 §7).</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shd w:val="clear" w:color="auto" w:fill="E2EFDA"/>
          </w:tcPr>
          <w:p>
            <w:pPr>
              <w:spacing w:after="0"/>
            </w:pPr>
            <w:r>
              <w:rPr>
                <w:sz w:val="17"/>
              </w:rPr>
            </w:r>
            <w:r>
              <w:rPr>
                <w:b w:val="0"/>
              </w:rPr>
              <w:t>REQUIRED (addressed in NP-FAI-ZM-001)</w:t>
            </w:r>
          </w:p>
        </w:tc>
        <w:tc>
          <w:tcPr>
            <w:tcW w:type="dxa" w:w="2880"/>
          </w:tcPr>
          <w:p>
            <w:pPr>
              <w:spacing w:after="0"/>
            </w:pPr>
            <w:r>
              <w:rPr>
                <w:sz w:val="17"/>
              </w:rPr>
            </w:r>
            <w:r>
              <w:rPr>
                <w:b w:val="0"/>
              </w:rPr>
              <w:t>Mechanical key geometry for all 5 zone slots — unique asymmetric key per zone still required in shell tooling spec. NP-FAI-ZM-001 §4a verifies alignment via CMM; mechanical key prevents wrong-zone insertion (color-blind accessibility and incorrect alignment both mitigated). Key geometry must be in shell tooling spec before first cut.</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shd w:val="clear" w:color="auto" w:fill="E2EFDA"/>
          </w:tcPr>
          <w:p>
            <w:pPr>
              <w:spacing w:after="0"/>
            </w:pPr>
            <w:r>
              <w:rPr>
                <w:sz w:val="17"/>
              </w:rPr>
            </w:r>
            <w:r>
              <w:rPr>
                <w:b w:val="0"/>
                <w:sz w:val="18"/>
              </w:rPr>
              <w:t>DONE (decision made: Option A gasket)</w:t>
            </w:r>
          </w:p>
        </w:tc>
        <w:tc>
          <w:tcPr>
            <w:tcW w:type="dxa" w:w="2880"/>
          </w:tcPr>
          <w:p>
            <w:pPr>
              <w:spacing w:after="0"/>
            </w:pPr>
            <w:r>
              <w:rPr>
                <w:sz w:val="17"/>
              </w:rPr>
            </w:r>
            <w:r>
              <w:rPr>
                <w:b w:val="0"/>
                <w:sz w:val="18"/>
              </w:rPr>
              <w:t>Zone module field-replacement seal — Option A selected: self-sealing co-molded silicone gasket. Gasket spec in FPC spec §12. Shell slot rim spec required in shell tooling. FAI field-replacement IPX4 test required (NP-FAI-ZM-001 FAI-IPX-01 to FAI-IPX-04).</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p>
      <w:pPr/>
    </w:p>
    <w:p>
      <w:pPr/>
    </w:p>
    <w:p>
      <w:pPr/>
      <w:r>
        <w:rPr>
          <w:b/>
          <w:color w:val="003366"/>
          <w:sz w:val="26"/>
        </w:rPr>
        <w:t>REVISION HISTORY</w:t>
      </w:r>
    </w:p>
    <w:p>
      <w:pP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20"/>
              </w:rPr>
              <w:t>Revision</w:t>
            </w:r>
          </w:p>
        </w:tc>
        <w:tc>
          <w:tcPr>
            <w:tcW w:type="dxa" w:w="2412"/>
          </w:tcPr>
          <w:p>
            <w:r>
              <w:rPr>
                <w:b/>
                <w:sz w:val="20"/>
              </w:rPr>
              <w:t>Date</w:t>
            </w:r>
          </w:p>
        </w:tc>
        <w:tc>
          <w:tcPr>
            <w:tcW w:type="dxa" w:w="2412"/>
          </w:tcPr>
          <w:p>
            <w:r>
              <w:rPr>
                <w:b/>
                <w:sz w:val="20"/>
              </w:rPr>
              <w:t>Author</w:t>
            </w:r>
          </w:p>
        </w:tc>
        <w:tc>
          <w:tcPr>
            <w:tcW w:type="dxa" w:w="2412"/>
          </w:tcPr>
          <w:p>
            <w:r>
              <w:rPr>
                <w:b/>
                <w:sz w:val="20"/>
              </w:rPr>
              <w:t>Description</w:t>
            </w:r>
          </w:p>
        </w:tc>
      </w:tr>
      <w:tr>
        <w:tc>
          <w:tcPr>
            <w:tcW w:type="dxa" w:w="2412"/>
          </w:tcPr>
          <w:p>
            <w:r>
              <w:rPr>
                <w:sz w:val="20"/>
              </w:rPr>
              <w:t>Rev A</w:t>
            </w:r>
          </w:p>
        </w:tc>
        <w:tc>
          <w:tcPr>
            <w:tcW w:type="dxa" w:w="2412"/>
          </w:tcPr>
          <w:p>
            <w:r>
              <w:rPr>
                <w:sz w:val="20"/>
              </w:rPr>
              <w:t>2026-05-06</w:t>
            </w:r>
          </w:p>
        </w:tc>
        <w:tc>
          <w:tcPr>
            <w:tcW w:type="dxa" w:w="2412"/>
          </w:tcPr>
          <w:p>
            <w:r>
              <w:rPr>
                <w:sz w:val="20"/>
              </w:rPr>
              <w:t>NeurOne Engineering</w:t>
            </w:r>
          </w:p>
        </w:tc>
        <w:tc>
          <w:tcPr>
            <w:tcW w:type="dxa" w:w="2412"/>
          </w:tcPr>
          <w:p>
            <w:r>
              <w:rPr>
                <w:sz w:val="20"/>
              </w:rPr>
              <w:t>Initial issue. 24 risks (RISK-01 through RISK-24). 3 CRITICAL, 9 HIGH, 9 MEDIUM, 2 LOW. 22 MITIGATED, 2 OPEN (RISK-03, RISK-20).</w:t>
            </w:r>
          </w:p>
        </w:tc>
      </w:tr>
      <w:tr>
        <w:tc>
          <w:tcPr>
            <w:tcW w:type="dxa" w:w="2412"/>
          </w:tcPr>
          <w:p>
            <w:r>
              <w:rPr>
                <w:sz w:val="20"/>
              </w:rPr>
              <w:t>Rev B</w:t>
            </w:r>
          </w:p>
        </w:tc>
        <w:tc>
          <w:tcPr>
            <w:tcW w:type="dxa" w:w="2412"/>
          </w:tcPr>
          <w:p>
            <w:r>
              <w:rPr>
                <w:sz w:val="20"/>
              </w:rPr>
              <w:t>2026-05-16</w:t>
            </w:r>
          </w:p>
        </w:tc>
        <w:tc>
          <w:tcPr>
            <w:tcW w:type="dxa" w:w="2412"/>
          </w:tcPr>
          <w:p>
            <w:r>
              <w:rPr>
                <w:sz w:val="20"/>
              </w:rPr>
              <w:t>NeurOne Engineering</w:t>
            </w:r>
          </w:p>
        </w:tc>
        <w:tc>
          <w:tcPr>
            <w:tcW w:type="dxa" w:w="2412"/>
          </w:tcPr>
          <w:p>
            <w:r>
              <w:rPr>
                <w:sz w:val="20"/>
              </w:rPr>
              <w:t>RISK-25 added — Cervical VNS cardiac reflex. MITIGATED by Safety MCU dual-processor cardiac interlock (NP-FW-CVNS-001 Rev A). Hardware FAI (FAI-CV01, FAI-CV02, FAI-CV03) pending T2 prototype. Total: 25 risks, 23 MITIGATED, 2 OPEN (RISK-03, RISK-20).</w:t>
            </w:r>
          </w:p>
        </w:tc>
      </w:tr>
      <w:tr>
        <w:tc>
          <w:tcPr>
            <w:tcW w:type="dxa" w:w="2412"/>
          </w:tcPr>
          <w:p>
            <w:r>
              <w:rPr>
                <w:sz w:val="20"/>
              </w:rPr>
              <w:t xml:space="preserve">Rev C</w:t>
            </w:r>
          </w:p>
        </w:tc>
        <w:tc>
          <w:tcPr>
            <w:tcW w:type="dxa" w:w="2412"/>
          </w:tcPr>
          <w:p>
            <w:r>
              <w:rPr>
                <w:sz w:val="20"/>
              </w:rPr>
              <w:t xml:space="preserve">2026-07-22</w:t>
            </w:r>
          </w:p>
        </w:tc>
        <w:tc>
          <w:tcPr>
            <w:tcW w:type="dxa" w:w="2412"/>
          </w:tcPr>
          <w:p>
            <w:r>
              <w:rPr>
                <w:sz w:val="20"/>
              </w:rPr>
              <w:t xml:space="preserve">NeurOne Quality (Steve Hickman, CEO)</w:t>
            </w:r>
          </w:p>
        </w:tc>
        <w:tc>
          <w:tcPr>
            <w:tcW w:type="dxa" w:w="2412"/>
          </w:tcPr>
          <w:p>
            <w:r>
              <w:rPr>
                <w:sz w:val="20"/>
              </w:rPr>
              <w:t xml:space="preserve">RISK-26 added — fan/vent (forced-convection) degradation diverts module heat to the scalp while the junction NTC still reads safe (hardware hazard FMEA-G07-01, NP-FMEA-GEOM-001; origin THERM-1, NP-THERM-BEZEL-001). Initial S3×P3 = 9 (ALARP); target residual S2×P1 = 2. Mitigation SR-FAN-01…06 (NP-REQ-FANHEALTH-001) accepted provisionally into NP-SW-001 §6.2 Rev B; SR-FAN-03/04 constants TBD-per-THERM-1a (NP-THERM-CFD-001, not yet run). Closure gated on THERM-1a CFD + THERM-1b bench (OI-FAN-04b). Total: 26 risks, 23 MITIGATED, 3 OPEN (RISK-03, RISK-20, RISK-26). Change trigger: FMEA-RECON finding / OI-FAN-04a (NP-PLAN-FANHEALTH-001).</w:t>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