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48"/>
      </w:tblGrid>
      <w:tr>
        <w:tc>
          <w:tcPr>
            <w:tcW w:type="dxa" w:w="9648"/>
            <w:shd w:val="clear" w:color="auto" w:fill="1F3864"/>
          </w:tcPr>
          <w:p>
            <w:pPr>
              <w:spacing w:before="120" w:after="40"/>
            </w:pPr>
            <w:r>
              <w:rPr>
                <w:b/>
                <w:color w:val="FFFFFF"/>
                <w:sz w:val="28"/>
              </w:rPr>
              <w:t>NeuroPulse — Additional Modalities to Consider</w:t>
            </w:r>
          </w:p>
          <w:p>
            <w:pPr>
              <w:spacing w:before="0" w:after="120"/>
            </w:pPr>
            <w:r>
              <w:rPr>
                <w:color w:val="BBCCFF"/>
                <w:sz w:val="18"/>
              </w:rPr>
              <w:t>NP-MOD-EXT-001 Rev A  |  Confidential — Pre-Decisional  |  May 2026</w:t>
            </w:r>
          </w:p>
        </w:tc>
      </w:tr>
    </w:tbl>
    <w:p>
      <w:r/>
      <w:r>
        <w:rPr>
          <w:b/>
          <w:color w:val="CC0000"/>
          <w:sz w:val="36"/>
        </w:rPr>
        <w:t xml:space="preserve">DEPRECATED — </w:t>
      </w:r>
    </w:p>
    <w:p>
      <w:pPr>
        <w:spacing w:before="0" w:after="80"/>
      </w:pPr>
      <w:r>
        <w:rPr>
          <w:b w:val="0"/>
          <w:i w:val="0"/>
          <w:sz w:val="18"/>
        </w:rPr>
        <w:t>This document lists modalities identified in multi-modal clinical trials and leading research that NeuroPulse does not currently support. For each, we note the evidence, the research context in which it was found, the hardware requirements, and a priority assessment for potential future inclusion.</w:t>
      </w:r>
    </w:p>
    <w:p>
      <w:pPr>
        <w:spacing w:before="0" w:after="80"/>
      </w:pPr>
      <w:r>
        <w:rPr>
          <w:b w:val="0"/>
          <w:i/>
          <w:sz w:val="18"/>
        </w:rPr>
        <w:t>Current NeuroPulse T1 stack: transcranial PBM (660+810nm), intranasal PBM, EEG neurofeedback (8-ch), BES/tACS, tDCS, auricular VNS + HRV, neural audio entrainment, visual stimulation (40Hz gamma + EMDR). T2 adds TMS, 1170nm deep PBM, 21-ch qEEG, clinical tACS.</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1. 40Hz Vibrotactile / Somatosensory Stimulation</w:t>
            </w:r>
          </w:p>
        </w:tc>
      </w:tr>
    </w:tbl>
    <w:p/>
    <w:p>
      <w:pPr>
        <w:spacing w:before="0" w:after="40"/>
      </w:pPr>
      <w:r>
        <w:rPr>
          <w:b w:val="0"/>
          <w:i/>
          <w:sz w:val="16"/>
        </w:rPr>
        <w:t>Source context: Found in: Tsai lab (MIT) multi-sensory GENUS research; MIT News 2023 (mouse models); Tsai PLOS Biology 2025 review</w:t>
      </w:r>
    </w:p>
    <w:p>
      <w:pPr>
        <w:spacing w:after="60"/>
      </w:pPr>
      <w:r>
        <w:rPr>
          <w:b/>
          <w:sz w:val="18"/>
        </w:rPr>
        <w:t xml:space="preserve">Evidence: </w:t>
      </w:r>
      <w:r>
        <w:rPr>
          <w:sz w:val="18"/>
        </w:rPr>
        <w:t>PRECLINICAL STRONG: 40Hz whole-body vibrotactile stimulation reduces amyloid plaques and tau tangles in mouse models (MIT News 2023). Tsai lab has shown that tactile 40Hz is the third sensory modality in the GENUS multi-sensory protocol (visual + audio + tactile). In mouse models, multi-sensory gamma is more effective than any single-sense delivery. No published human RCT at 40Hz tactile yet.</w:t>
        <w:br/>
        <w:br/>
        <w:t>The Cognito HOPE Phase 3 trial (n=670, results mid-2026) tests visual + audio only. Tsai is exploring tactile as the next generation. If HOPE is positive, tactile could be the next major addition to GENUS-class therapy.</w:t>
      </w:r>
    </w:p>
    <w:p>
      <w:pPr>
        <w:spacing w:after="60"/>
      </w:pPr>
      <w:r>
        <w:rPr>
          <w:b/>
          <w:sz w:val="18"/>
        </w:rPr>
        <w:t xml:space="preserve">Hardware requirements: </w:t>
      </w:r>
      <w:r>
        <w:rPr>
          <w:sz w:val="18"/>
        </w:rPr>
        <w:t>A wristband or wearable pad delivering 40Hz vibration. Low engineering complexity relative to most NeuroPulse modalities. Mass-market fitness wearables already contain vibration motors; precision 40Hz control is trivial. BOM estimate: +$5–10/headset for a wrist module or temple-pad vibrotactile actuator.</w:t>
      </w:r>
    </w:p>
    <w:p>
      <w:pPr>
        <w:spacing w:after="60"/>
      </w:pPr>
      <w:r>
        <w:rPr>
          <w:b/>
          <w:sz w:val="18"/>
        </w:rPr>
        <w:t xml:space="preserve">Integration path: </w:t>
      </w:r>
      <w:r>
        <w:rPr>
          <w:sz w:val="18"/>
        </w:rPr>
        <w:t>Could be a snap-on zone module accessory (mastoid or temporal position) or an accessory wristband paired via BT. Firmware: add 40Hz drive waveform to audio channel (same as bone conduction but haptic). No new MCU required.</w:t>
      </w:r>
    </w:p>
    <w:p>
      <w:pPr>
        <w:spacing w:after="60"/>
      </w:pPr>
      <w:r>
        <w:rPr>
          <w:b/>
          <w:sz w:val="18"/>
        </w:rPr>
        <w:t xml:space="preserve">Priority: </w:t>
      </w:r>
      <w:r>
        <w:rPr>
          <w:sz w:val="18"/>
        </w:rPr>
        <w:t>Priority: HIGH — await HOPE Phase 3 results (mid-2026). Mastoid LRA pad provisionally spec'd in CLAUDE.md §3b: LRA 8–10mm + TI DRV2605L driver, 40Hz ± 0.5Hz, mastoid placement, $4–7 BOM/pad, $49–79 retail. Anchor boss in temporal wing tooling at first cut (zero incremental tooling cost). Apple Watch haptic sync is companion UX only — not a replacement for purpose-built hardware (see marketing notes: frequency accuracy, bone coupling, regulatory).</w:t>
      </w:r>
    </w:p>
    <w:p>
      <w:pPr>
        <w:spacing w:after="60"/>
      </w:pPr>
      <w:r>
        <w:rPr>
          <w:b/>
          <w:sz w:val="18"/>
        </w:rPr>
        <w:t xml:space="preserve">Recommended action: </w:t>
      </w:r>
      <w:r>
        <w:rPr>
          <w:sz w:val="18"/>
        </w:rPr>
        <w:t>Await HOPE results (mid-2026). If positive: engage Tsai for tactile protocol. Design vibrotactile module as hardware option Rev B or C.</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2. 1064nm Transcranial PBM</w:t>
            </w:r>
          </w:p>
        </w:tc>
      </w:tr>
    </w:tbl>
    <w:p/>
    <w:p>
      <w:pPr>
        <w:spacing w:before="0" w:after="40"/>
      </w:pPr>
      <w:r>
        <w:rPr>
          <w:b w:val="0"/>
          <w:i/>
          <w:sz w:val="16"/>
        </w:rPr>
        <w:t>Source context: Found in: Yao et al., Science Advances 2022 (UT Dallas / Harvard); tPBM cognition literature</w:t>
      </w:r>
    </w:p>
    <w:p>
      <w:pPr>
        <w:spacing w:after="60"/>
      </w:pPr>
      <w:r>
        <w:rPr>
          <w:b/>
          <w:sz w:val="18"/>
        </w:rPr>
        <w:t xml:space="preserve">Evidence: </w:t>
      </w:r>
      <w:r>
        <w:rPr>
          <w:sz w:val="18"/>
        </w:rPr>
        <w:t>MODERATE: Yao et al. Science Advances 2022 demonstrated that 1064nm tPBM applied to right prefrontal cortex improved visual working memory capacity in healthy adults, with EEG confirmation (increased contralateral delay activity, CDA). 1064nm achieves deeper cortical penetration than 810nm due to reduced oxyhaemoglobin absorption. The UT Dallas / Harvard group has published multiple 1064nm cognition studies.</w:t>
        <w:br/>
        <w:br/>
        <w:t>NeuroPulse currently uses 660nm + 810nm (T1) and adds 1170nm (T2). 1064nm sits between these: better penetration than 810nm, less aggressive than 1170nm laser. It is distinct from both current wavelengths.</w:t>
      </w:r>
    </w:p>
    <w:p>
      <w:pPr>
        <w:spacing w:after="60"/>
      </w:pPr>
      <w:r>
        <w:rPr>
          <w:b/>
          <w:sz w:val="18"/>
        </w:rPr>
        <w:t xml:space="preserve">Hardware requirements: </w:t>
      </w:r>
      <w:r>
        <w:rPr>
          <w:sz w:val="18"/>
        </w:rPr>
        <w:t>1064nm LED arrays are commercially available but less efficient than 810nm. Alternatively, 1064nm diode lasers (similar to 1170nm T2 hardware). A third LED wavelength on existing FPC strips would require new FPC layout and zone module mould revision. Significant BOM and tooling cost.</w:t>
      </w:r>
    </w:p>
    <w:p>
      <w:pPr>
        <w:spacing w:after="60"/>
      </w:pPr>
      <w:r>
        <w:rPr>
          <w:b/>
          <w:sz w:val="18"/>
        </w:rPr>
        <w:t xml:space="preserve">Integration path: </w:t>
      </w:r>
      <w:r>
        <w:rPr>
          <w:sz w:val="18"/>
        </w:rPr>
        <w:t>Moderate complexity: third wavelength requires new LED procurement, FPC redesign, firmware channel, and potentially regulatory re-classification (laser vs LED).</w:t>
      </w:r>
    </w:p>
    <w:p>
      <w:pPr>
        <w:spacing w:after="60"/>
      </w:pPr>
      <w:r>
        <w:rPr>
          <w:b/>
          <w:sz w:val="18"/>
        </w:rPr>
        <w:t xml:space="preserve">Priority: </w:t>
      </w:r>
      <w:r>
        <w:rPr>
          <w:sz w:val="18"/>
        </w:rPr>
        <w:t>MEDIUM — 1064nm is evidence-backed but the penetration advantage over 810nm in humans is not yet definitively demonstrated. T2's 1170nm laser already covers the 'deep PBM' indication. Monitor UT Dallas publications before committing.</w:t>
      </w:r>
    </w:p>
    <w:p>
      <w:pPr>
        <w:spacing w:after="60"/>
      </w:pPr>
      <w:r>
        <w:rPr>
          <w:b/>
          <w:sz w:val="18"/>
        </w:rPr>
        <w:t xml:space="preserve">Recommended action: </w:t>
      </w:r>
      <w:r>
        <w:rPr>
          <w:sz w:val="18"/>
        </w:rPr>
        <w:t>Monitor Yao/UT Dallas 1064nm literature (2026–2027). If large RCT confirms 1064nm advantage over 810nm in humans: evaluate as T1.5 or T2 wavelength addition.</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3. Transcranial Focused Ultrasound (tFUS)</w:t>
            </w:r>
          </w:p>
        </w:tc>
      </w:tr>
    </w:tbl>
    <w:p/>
    <w:p>
      <w:pPr>
        <w:spacing w:before="0" w:after="40"/>
      </w:pPr>
      <w:r>
        <w:rPr>
          <w:b w:val="0"/>
          <w:i/>
          <w:sz w:val="16"/>
        </w:rPr>
        <w:t>Source context: Found in: Bikson et al. bioRxiv 2023 closed-loop framework (listed as a modality alongside tDCS/tACS/TMS)</w:t>
      </w:r>
    </w:p>
    <w:p>
      <w:pPr>
        <w:spacing w:after="60"/>
      </w:pPr>
      <w:r>
        <w:rPr>
          <w:b/>
          <w:sz w:val="18"/>
        </w:rPr>
        <w:t xml:space="preserve">Evidence: </w:t>
      </w:r>
      <w:r>
        <w:rPr>
          <w:sz w:val="18"/>
        </w:rPr>
        <w:t>EMERGING: tFUS uses low-intensity focused ultrasound to modulate neural activity non-invasively. Achieves millimetre spatial precision (vs cm for tDCS/tACS). Multiple pilot studies show transient neuromodulatory effects. No large RCTs in psychiatric indications yet. FDA IDE trials beginning in 2024–2025. Key advantage: subcortical targeting without TMS's power requirements or safety concerns.</w:t>
        <w:br/>
        <w:br/>
        <w:t>Bikson's closed-loop framework explicitly includes tFUS as a modality that could be guided by EEG in real-time — the same framework NeuroPulse's architecture implements.</w:t>
      </w:r>
    </w:p>
    <w:p>
      <w:pPr>
        <w:spacing w:after="60"/>
      </w:pPr>
      <w:r>
        <w:rPr>
          <w:b/>
          <w:sz w:val="18"/>
        </w:rPr>
        <w:t xml:space="preserve">Hardware requirements: </w:t>
      </w:r>
      <w:r>
        <w:rPr>
          <w:sz w:val="18"/>
        </w:rPr>
        <w:t>HIGH COMPLEXITY: tFUS requires a focused transducer (piezoelectric element at specific frequency, typically 250kHz–2MHz), acoustic coupling medium, and MRI-based targeting for precision. Consumer-grade tFUS is not yet feasible at price points compatible with NeuroPulse. Emerging startup companies (Cognito, Attune, NaviFUS) are building clinical-grade systems. BOM estimate: +$200–500 minimum; acoustic coupling = consumable.</w:t>
      </w:r>
    </w:p>
    <w:p>
      <w:pPr>
        <w:spacing w:after="60"/>
      </w:pPr>
      <w:r>
        <w:rPr>
          <w:b/>
          <w:sz w:val="18"/>
        </w:rPr>
        <w:t xml:space="preserve">Integration path: </w:t>
      </w:r>
      <w:r>
        <w:rPr>
          <w:sz w:val="18"/>
        </w:rPr>
        <w:t>Not feasible for T1 or T2 in current form. Would require a new hardware platform revision and potentially separate regulatory pathway (Class II/III). Consumer feasibility: 5–8 years.</w:t>
      </w:r>
    </w:p>
    <w:p>
      <w:pPr>
        <w:spacing w:after="60"/>
      </w:pPr>
      <w:r>
        <w:rPr>
          <w:b/>
          <w:sz w:val="18"/>
        </w:rPr>
        <w:t xml:space="preserve">Priority: </w:t>
      </w:r>
      <w:r>
        <w:rPr>
          <w:sz w:val="18"/>
        </w:rPr>
        <w:t>LOW (WATCH) — Monitor tFUS regulatory and commercialisation trajectory. If consumer-grade tFUS becomes feasible by 2029–2030, evaluate for NeuroPulse T3 or successor platform.</w:t>
      </w:r>
    </w:p>
    <w:p>
      <w:pPr>
        <w:spacing w:after="60"/>
      </w:pPr>
      <w:r>
        <w:rPr>
          <w:b/>
          <w:sz w:val="18"/>
        </w:rPr>
        <w:t xml:space="preserve">Recommended action: </w:t>
      </w:r>
      <w:r>
        <w:rPr>
          <w:sz w:val="18"/>
        </w:rPr>
        <w:t>Add to technology watch list. No hardware action now.</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T1 STACK —   HRV Biofeedback as a Standalone Therapeutic Protocol</w:t>
            </w:r>
          </w:p>
        </w:tc>
      </w:tr>
    </w:tbl>
    <w:p/>
    <w:p>
      <w:pPr>
        <w:spacing w:before="0" w:after="40"/>
      </w:pPr>
      <w:r>
        <w:rPr>
          <w:b w:val="0"/>
          <w:i/>
          <w:sz w:val="16"/>
        </w:rPr>
        <w:t>Source context: Found in: ResearchGate 2025 RCT (PBM + qEEG NF + Heart-Brain HRV Biofeedback simultaneously); growing biofeedback literature</w:t>
      </w:r>
    </w:p>
    <w:p>
      <w:pPr>
        <w:spacing w:after="60"/>
      </w:pPr>
      <w:r>
        <w:rPr>
          <w:b/>
          <w:sz w:val="18"/>
        </w:rPr>
        <w:t xml:space="preserve">Evidence: </w:t>
      </w:r>
      <w:r>
        <w:rPr>
          <w:sz w:val="18"/>
        </w:rPr>
        <w:t>MODERATE: NeuroPulse currently monitors HRV via the VNS auricular clip (PPG + auricular taVNS in same accessory). However, HRV biofeedback as a distinct therapeutic protocol — where the user sees real-time HRV and performs resonance frequency breathing to maximise HRV amplitude — has its own clinical evidence base:</w:t>
        <w:br/>
        <w:br/>
        <w:t>- Meta-analysis (Applied Psychophysiology &amp; Biofeedback, 2021): HRV biofeedback reduces anxiety (d=0.83) and depression (d=0.65) across 24 studies.</w:t>
        <w:br/>
        <w:t>- PTSD: HRV biofeedback + EMDR combination RCTs exist.</w:t>
        <w:br/>
        <w:t>- Performance: HRV biofeedback used by military, athletes, and first responders for stress inoculation.</w:t>
        <w:br/>
        <w:br/>
        <w:t>The 2025 multi-modal RCT combined PBM + qEEG NF + HRV biofeedback as three coordinated modalities. NeuroPulse has all the hardware to do this today — HRV biofeedback is a SOFTWARE addition, not a hardware addition.</w:t>
      </w:r>
    </w:p>
    <w:p>
      <w:pPr>
        <w:spacing w:after="60"/>
      </w:pPr>
      <w:r>
        <w:rPr>
          <w:b/>
          <w:sz w:val="18"/>
        </w:rPr>
        <w:t xml:space="preserve">Hardware requirements: </w:t>
      </w:r>
      <w:r>
        <w:rPr>
          <w:sz w:val="18"/>
        </w:rPr>
        <w:t>ZERO additional hardware required. The VNS clip already provides PPG for HRV monitoring. Resonance frequency biofeedback is a display + breathing guide in the app. The clip already delivers taVNS, which itself enhances HRV (demonstrated in multiple studies).</w:t>
      </w:r>
    </w:p>
    <w:p>
      <w:pPr>
        <w:spacing w:after="60"/>
      </w:pPr>
      <w:r>
        <w:rPr>
          <w:b/>
          <w:sz w:val="18"/>
        </w:rPr>
        <w:t xml:space="preserve">Integration path: </w:t>
      </w:r>
      <w:r>
        <w:rPr>
          <w:sz w:val="18"/>
        </w:rPr>
        <w:t>Software only. Add resonance frequency breathing guide (4–6 breaths/min target), real-time coherence score, and session summary to the app. Coordinate with taVNS delivery (taVNS at peak HRV = optimal timing). This would allow NeuroPulse to replicate the 2025 multi-modal RCT protocol in-app at no additional BOM cost.</w:t>
      </w:r>
    </w:p>
    <w:p>
      <w:pPr>
        <w:spacing w:after="60"/>
      </w:pPr>
      <w:r>
        <w:rPr>
          <w:b/>
          <w:sz w:val="18"/>
        </w:rPr>
        <w:t xml:space="preserve">Priority: </w:t>
      </w:r>
      <w:r>
        <w:rPr>
          <w:color w:val="007000"/>
          <w:sz w:val="18"/>
        </w:rPr>
        <w:t>ADDED TO T1 STACK — was HIGH priority, now implemented; extends clinical evidence claim (NeuroPulse can say: 'We replicate the combined protocol from the 2025 RCT — PBM + qEEG neurofeedback + HRV biofeedback'). Should be in firmware roadmap for Year 1.</w:t>
      </w:r>
    </w:p>
    <w:p>
      <w:pPr>
        <w:spacing w:after="60"/>
      </w:pPr>
      <w:r>
        <w:rPr>
          <w:b/>
          <w:sz w:val="18"/>
        </w:rPr>
        <w:t xml:space="preserve">Recommended action: </w:t>
      </w:r>
      <w:r>
        <w:rPr>
          <w:sz w:val="18"/>
        </w:rPr>
        <w:t>Add HRV biofeedback mode to firmware and app roadmap. Coordinate taVNS delivery timing with HRV coherence peak. No hardware change. No tooling change.</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T2 STACK — sLORETA-Guided HD-tDCS (Personalized MRI-Guided Neuronavigation)</w:t>
            </w:r>
          </w:p>
        </w:tc>
      </w:tr>
    </w:tbl>
    <w:p/>
    <w:p>
      <w:pPr>
        <w:spacing w:before="0" w:after="40"/>
      </w:pPr>
      <w:r>
        <w:rPr>
          <w:b w:val="0"/>
          <w:i/>
          <w:sz w:val="16"/>
        </w:rPr>
        <w:t>Source context: Found in: Jog et al. UCLA, PMC12426800, 2025; BRIGhTMIND Nature Medicine 2024 (connectivity-guided iTBS)</w:t>
      </w:r>
    </w:p>
    <w:p>
      <w:pPr>
        <w:spacing w:after="60"/>
      </w:pPr>
      <w:r>
        <w:rPr>
          <w:b/>
          <w:sz w:val="18"/>
        </w:rPr>
        <w:t xml:space="preserve">Evidence: </w:t>
      </w:r>
      <w:r>
        <w:rPr>
          <w:sz w:val="18"/>
        </w:rPr>
        <w:t>STRONG (clinical context): Jog's HD-tDCS personalised RCT (n=71) used individual MRI to target left DLPFC precisely based on each patient's functional connectivity. This produced significant effects that standard F3-positioned tDCS (fixed position) did not reliably achieve in other trials. BRIGhTMIND (Nature Medicine 2024, n=255 TRD) showed connectivity-guided iTBS was superior to standard F3 targeting.</w:t>
        <w:br/>
        <w:br/>
        <w:t>The implication: NeuroPulse's current tDCS delivers fixed electrode positions. MRI-personalised targeting would require either (a) integrating with the user's existing MRI data, or (b) using EEG-derived source localisation (sLORETA, already in T2 stack) as a surrogate for MRI targeting.</w:t>
      </w:r>
    </w:p>
    <w:p>
      <w:pPr>
        <w:spacing w:after="60"/>
      </w:pPr>
      <w:r>
        <w:rPr>
          <w:b/>
          <w:sz w:val="18"/>
        </w:rPr>
        <w:t xml:space="preserve">Hardware requirements: </w:t>
      </w:r>
      <w:r>
        <w:rPr>
          <w:sz w:val="18"/>
        </w:rPr>
        <w:t>Option A (MRI integration): No new hardware; app accepts MRI DICOM data and computes optimal electrode placement (software only, but requires MRI). Not consumer-feasible for most T1 users.</w:t>
        <w:br/>
        <w:br/>
        <w:t>Option B (sLORETA-guided, T2): T2 already includes sLORETA source imaging. Personalised electrode placement guidance based on sLORETA source maps is achievable within T2 platform (software only).</w:t>
        <w:br/>
        <w:br/>
        <w:t>Option C (cloud AI): App analyses session EEG and recommends electrode placement adjustments based on fleet response data. No additional hardware.</w:t>
      </w:r>
    </w:p>
    <w:p>
      <w:pPr>
        <w:spacing w:after="60"/>
      </w:pPr>
      <w:r>
        <w:rPr>
          <w:b/>
          <w:sz w:val="18"/>
        </w:rPr>
        <w:t xml:space="preserve">Integration path: </w:t>
      </w:r>
      <w:r>
        <w:rPr>
          <w:sz w:val="18"/>
        </w:rPr>
        <w:t>T1: No action needed. T2: Add sLORETA-guided electrode placement recommendation to T2 app. Requires firmware access to sLORETA maps; coordinate with HD-tDCS multi-electrode system.</w:t>
      </w:r>
    </w:p>
    <w:p>
      <w:pPr>
        <w:spacing w:after="60"/>
      </w:pPr>
      <w:r>
        <w:rPr>
          <w:b/>
          <w:sz w:val="18"/>
        </w:rPr>
        <w:t xml:space="preserve">Priority: </w:t>
      </w:r>
      <w:r>
        <w:rPr>
          <w:sz w:val="18"/>
        </w:rPr>
        <w:t>MEDIUM (T2) — sLORETA-guided tDCS targeting is a meaningful T2 clinical differentiator. Not relevant to T1. Add to T2 firmware and app specification.</w:t>
      </w:r>
    </w:p>
    <w:p>
      <w:pPr>
        <w:spacing w:after="60"/>
      </w:pPr>
      <w:r>
        <w:rPr>
          <w:b/>
          <w:sz w:val="18"/>
        </w:rPr>
        <w:t xml:space="preserve">Recommended action: </w:t>
      </w:r>
      <w:r>
        <w:rPr>
          <w:sz w:val="18"/>
        </w:rPr>
        <w:t>Include sLORETA-derived tDCS placement guidance in T2 app specification. Engage Jog (UCLA) for T2 clinical collaboration on personalised HD-tDCS protocol.</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T2 STACK — Cervical / Neck-Applied taVNS (Non-Invasive Cervical VNS)</w:t>
            </w:r>
          </w:p>
        </w:tc>
      </w:tr>
    </w:tbl>
    <w:p/>
    <w:p>
      <w:pPr>
        <w:spacing w:before="0" w:after="40"/>
      </w:pPr>
      <w:r>
        <w:rPr>
          <w:b w:val="0"/>
          <w:i/>
          <w:sz w:val="16"/>
        </w:rPr>
        <w:t>Source context: Found in: Scoping review 2024 (109 studies); electroCore K163334 510(k) predicate (T2 regulatory)</w:t>
      </w:r>
    </w:p>
    <w:p>
      <w:pPr>
        <w:spacing w:after="60"/>
      </w:pPr>
      <w:r>
        <w:rPr>
          <w:b/>
          <w:sz w:val="18"/>
        </w:rPr>
        <w:t xml:space="preserve">Evidence: </w:t>
      </w:r>
      <w:r>
        <w:rPr>
          <w:sz w:val="18"/>
        </w:rPr>
        <w:t>MODERATE: Transcutaneous cervical VNS (tcVNS) applies stimulation to the skin overlying the carotid sheath, stimulating the cervical vagus nerve directly rather than the auricular branch. electroCore's gammaCore (K163334, K173323) is FDA-cleared for cluster headache and migraine. Higher activation of vagus trunk vs auricular branch; used in clinical indications where auricular stimulation is insufficient.</w:t>
        <w:br/>
        <w:br/>
        <w:t>NeuroPulse T2 CLAUDE.md notes: '+ cervical option' under VNS. This suggests cervical VNS is already considered but not formally specified.</w:t>
      </w:r>
    </w:p>
    <w:p>
      <w:pPr>
        <w:spacing w:after="60"/>
      </w:pPr>
      <w:r>
        <w:rPr>
          <w:b/>
          <w:sz w:val="18"/>
        </w:rPr>
        <w:t xml:space="preserve">Hardware requirements: </w:t>
      </w:r>
      <w:r>
        <w:rPr>
          <w:sz w:val="18"/>
        </w:rPr>
        <w:t>Separate neck-worn accessory with gel electrodes. Handheld gammaCore-style device or integrated neck band. More complex than auricular clip: skin-electrode interface, cervical positioning, safety (carotid proximity). FDA: would require separate 510(k) (gammaCore K163334 as predicate). BOM: +$30–60 for the accessory; regulatory pathway adds 12–18 months.</w:t>
      </w:r>
    </w:p>
    <w:p>
      <w:pPr>
        <w:spacing w:after="60"/>
      </w:pPr>
      <w:r>
        <w:rPr>
          <w:b/>
          <w:sz w:val="18"/>
        </w:rPr>
        <w:t xml:space="preserve">Integration path: </w:t>
      </w:r>
      <w:r>
        <w:rPr>
          <w:sz w:val="18"/>
        </w:rPr>
        <w:t>T2 accessory only. New cable/connector from hub. Safety MCU oversight required (near carotid = cardiac risk if current path is incorrect). Would significantly strengthen T2 VNS clinical claim vs auricular-only.</w:t>
      </w:r>
    </w:p>
    <w:p>
      <w:pPr>
        <w:spacing w:after="60"/>
      </w:pPr>
      <w:r>
        <w:rPr>
          <w:b/>
          <w:sz w:val="18"/>
        </w:rPr>
        <w:t xml:space="preserve">Priority: </w:t>
      </w:r>
      <w:r>
        <w:rPr>
          <w:sz w:val="18"/>
        </w:rPr>
        <w:t>MEDIUM (T2) — auricular VNS is the correct T1 approach (safe, simple, strong evidence). Cervical VNS is a meaningful T2 clinical enhancement for patients where auricular stimulation is insufficient. Add to T2 specification.</w:t>
      </w:r>
    </w:p>
    <w:p>
      <w:pPr>
        <w:spacing w:after="60"/>
      </w:pPr>
      <w:r>
        <w:rPr>
          <w:b/>
          <w:sz w:val="18"/>
        </w:rPr>
        <w:t xml:space="preserve">Recommended action: </w:t>
      </w:r>
      <w:r>
        <w:rPr>
          <w:sz w:val="18"/>
        </w:rPr>
        <w:t>Add cervical VNS accessory specification to T2 hardware roadmap. Reference gammaCore K163334 as regulatory predicate.</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FFF2CC"/>
          </w:tcPr>
          <w:p>
            <w:pPr>
              <w:spacing w:before="80" w:after="80"/>
            </w:pPr>
            <w:r>
              <w:rPr>
                <w:b/>
                <w:color w:val="FFFFFF"/>
                <w:sz w:val="22"/>
              </w:rPr>
              <w:t xml:space="preserve">  7. 40Hz Vibrotactile — Mastoid LRA Pad (Provisional Spec)</w:t>
            </w:r>
          </w:p>
        </w:tc>
      </w:tr>
    </w:tbl>
    <w:p/>
    <w:p>
      <w:pPr>
        <w:spacing w:after="40"/>
      </w:pPr>
      <w:r>
        <w:rPr>
          <w:i/>
          <w:sz w:val="16"/>
        </w:rPr>
        <w:t>Source context: Tsai lab MIT 2023 (40Hz vibration in mouse models); GENUS multi-sensory protocol extension; NeuroPulse §3b provisional spec</w:t>
      </w:r>
    </w:p>
    <w:p>
      <w:pPr>
        <w:spacing w:after="60"/>
      </w:pPr>
      <w:r>
        <w:rPr>
          <w:b/>
          <w:sz w:val="18"/>
        </w:rPr>
        <w:t xml:space="preserve">Status: </w:t>
      </w:r>
      <w:r>
        <w:rPr>
          <w:sz w:val="18"/>
        </w:rPr>
        <w:t>PROVISIONALLY SPEC'D — release contingent on HOPE Phase 3 results (mid-2026). Hardware anchor boss in temporal wing tooling at first cut (zero incremental cost).</w:t>
      </w:r>
    </w:p>
    <w:p>
      <w:pPr>
        <w:spacing w:after="60"/>
      </w:pPr>
      <w:r>
        <w:rPr>
          <w:b/>
          <w:sz w:val="18"/>
        </w:rPr>
        <w:t xml:space="preserve">Evidence: </w:t>
      </w:r>
      <w:r>
        <w:rPr>
          <w:sz w:val="18"/>
        </w:rPr>
        <w:t>PRECLINICAL: Tsai lab (MIT, 2023) — 40Hz whole-body vibrotactile stimulation reduces amyloid + tau in Alzheimer's mouse models. Multi-sensory GENUS (visual + audio + tactile) more effective than any two-sense combination in preclinical. HOPE Phase 3 (n=670, results mid-2026) tests visual + audio; tactile is the next generation. No published human RCT at 40Hz tactile yet.</w:t>
      </w:r>
    </w:p>
    <w:p>
      <w:pPr>
        <w:spacing w:after="60"/>
      </w:pPr>
      <w:r>
        <w:rPr>
          <w:b/>
          <w:sz w:val="18"/>
        </w:rPr>
        <w:t xml:space="preserve">Actuator spec: </w:t>
      </w:r>
      <w:r>
        <w:rPr>
          <w:sz w:val="18"/>
        </w:rPr>
        <w:t>Linear resonant actuator (LRA), 8–10mm diameter (e.g. Jinlong JMC0834 or equiv). LRA preferred over ERM: precise frequency control, low harmonic distortion, flat resonance profile at 40Hz drive. Driver IC: Texas Instruments DRV2605L (I2C, open-loop mode); 40Hz ± 0.5Hz; amplitude control via gain register.</w:t>
      </w:r>
    </w:p>
    <w:p>
      <w:pPr>
        <w:spacing w:after="60"/>
      </w:pPr>
      <w:r>
        <w:rPr>
          <w:b/>
          <w:sz w:val="18"/>
        </w:rPr>
        <w:t xml:space="preserve">Placement rationale: </w:t>
      </w:r>
      <w:r>
        <w:rPr>
          <w:sz w:val="18"/>
        </w:rPr>
        <w:t>Mastoid process (posterior temporal / behind ear). Rationale: (1) direct bone coupling to skull — superior transmission vs wrist; (2) adjacent to temporal lobe somatosensory representations; (3) compatible with existing temporal stability wing anchor — no new shell tooling if anchor boss provisioned at first cut. Why NOT Apple Watch: Taptic Engine frequency uncharacterised for therapeutic use; watchOS API lacks raw 40Hz continuous drive; wrist has poor bone coupling; App Store prohibits disease claims. Full rationale in CLAUDE.md §15.</w:t>
      </w:r>
    </w:p>
    <w:p>
      <w:pPr>
        <w:spacing w:after="60"/>
      </w:pPr>
      <w:r>
        <w:rPr>
          <w:b/>
          <w:sz w:val="18"/>
        </w:rPr>
        <w:t xml:space="preserve">Output spec: </w:t>
      </w:r>
      <w:r>
        <w:rPr>
          <w:sz w:val="18"/>
        </w:rPr>
        <w:t>0.6–1.2G peak acceleration at skin surface (DRV2605L gain register configurable); 40Hz ± 0.5Hz; 100% duty cycle continuous session (20 min target); 2s amplitude ramp up/down (comfort).</w:t>
      </w:r>
    </w:p>
    <w:p>
      <w:pPr>
        <w:spacing w:after="60"/>
      </w:pPr>
      <w:r>
        <w:rPr>
          <w:b/>
          <w:sz w:val="18"/>
        </w:rPr>
        <w:t xml:space="preserve">Form factor: </w:t>
      </w:r>
      <w:r>
        <w:rPr>
          <w:sz w:val="18"/>
        </w:rPr>
        <w:t>30mm diameter silicone overmoulded pad; clip attachment to temporal wing anchor; 3-pin pogo or JST connector to hub accessory port; Shore 30A silicone contact face.</w:t>
      </w:r>
    </w:p>
    <w:p>
      <w:pPr>
        <w:spacing w:after="60"/>
      </w:pPr>
      <w:r>
        <w:rPr>
          <w:b/>
          <w:sz w:val="18"/>
        </w:rPr>
        <w:t xml:space="preserve">BOM: </w:t>
      </w:r>
      <w:r>
        <w:rPr>
          <w:sz w:val="18"/>
        </w:rPr>
        <w:t>LRA $1.50–2.50 + DRV2605L $1.20–1.80 + PCB/passives $0.50 + silicone housing $0.80–1.20 = $4–7/pad. Bilateral pair: $8–14.</w:t>
      </w:r>
    </w:p>
    <w:p>
      <w:pPr>
        <w:spacing w:after="60"/>
      </w:pPr>
      <w:r>
        <w:rPr>
          <w:b/>
          <w:sz w:val="18"/>
        </w:rPr>
        <w:t xml:space="preserve">Retail price (projected): </w:t>
      </w:r>
      <w:r>
        <w:rPr>
          <w:sz w:val="18"/>
        </w:rPr>
        <w:t>$49–79 per pad / $79–119 bilateral pair.</w:t>
      </w:r>
    </w:p>
    <w:p>
      <w:pPr>
        <w:spacing w:after="60"/>
      </w:pPr>
      <w:r>
        <w:rPr>
          <w:b/>
          <w:sz w:val="18"/>
        </w:rPr>
        <w:t xml:space="preserve">Power: </w:t>
      </w:r>
      <w:r>
        <w:rPr>
          <w:sz w:val="18"/>
        </w:rPr>
        <w:t>~80–120mW continuous from hub accessory port (existing 500mA capability).</w:t>
      </w:r>
    </w:p>
    <w:p>
      <w:pPr>
        <w:spacing w:after="60"/>
      </w:pPr>
      <w:r>
        <w:rPr>
          <w:b/>
          <w:sz w:val="18"/>
        </w:rPr>
        <w:t xml:space="preserve">Firmware: </w:t>
      </w:r>
      <w:r>
        <w:rPr>
          <w:sz w:val="18"/>
        </w:rPr>
        <w:t>40Hz square-wave drive via DRV2605L open-loop; session synchronised with audio/visual 40Hz channels via hub firmware clock; amplitude ramp firmware-controlled.</w:t>
      </w:r>
    </w:p>
    <w:p>
      <w:pPr>
        <w:spacing w:after="60"/>
      </w:pPr>
      <w:r>
        <w:rPr>
          <w:b/>
          <w:sz w:val="18"/>
        </w:rPr>
        <w:t xml:space="preserve">Recommended action: </w:t>
      </w:r>
      <w:r>
        <w:rPr>
          <w:sz w:val="18"/>
        </w:rPr>
        <w:t>Provision temporal wing anchor boss in first-cut tooling (zero cost). Commission DRV2605L + LRA characterisation bench test. Finalise pad design post-HOPE results. Engage Tsai SAB for protocol alignment.</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E8F0FE"/>
          </w:tcPr>
          <w:p>
            <w:pPr>
              <w:spacing w:before="80" w:after="80"/>
            </w:pPr>
            <w:r>
              <w:rPr>
                <w:b/>
                <w:color w:val="FFFFFF"/>
                <w:sz w:val="22"/>
              </w:rPr>
              <w:t xml:space="preserve">  8. Apple Watch Companion Sync App (Provisional)</w:t>
            </w:r>
          </w:p>
        </w:tc>
      </w:tr>
    </w:tbl>
    <w:p/>
    <w:p>
      <w:pPr>
        <w:spacing w:after="40"/>
      </w:pPr>
      <w:r>
        <w:rPr>
          <w:i/>
          <w:sz w:val="16"/>
        </w:rPr>
        <w:t>Source context: NeuroPulse §3b provisional spec; companion UX — not therapeutic delivery</w:t>
      </w:r>
    </w:p>
    <w:p>
      <w:pPr>
        <w:spacing w:after="60"/>
      </w:pPr>
      <w:r>
        <w:rPr>
          <w:b/>
          <w:sz w:val="18"/>
        </w:rPr>
        <w:t xml:space="preserve">Status: </w:t>
      </w:r>
      <w:r>
        <w:rPr>
          <w:sz w:val="18"/>
        </w:rPr>
        <w:t>PROVISIONALLY SPEC'D — software only, $0 BOM. Develop after core iOS app ships. Haptic + audio channels first; visual flicker second.</w:t>
      </w:r>
    </w:p>
    <w:p>
      <w:pPr>
        <w:spacing w:after="60"/>
      </w:pPr>
      <w:r>
        <w:rPr>
          <w:b/>
          <w:sz w:val="18"/>
        </w:rPr>
        <w:t xml:space="preserve">Purpose: </w:t>
      </w:r>
      <w:r>
        <w:rPr>
          <w:sz w:val="18"/>
        </w:rPr>
        <w:t>Extends NeuroPulse session experience to Apple Watch via three sync channels. Does NOT replace purpose-built NeuroPulse hardware for any therapeutic function. All therapeutic claims attach to NeuroPulse hardware only; Watch app is session monitoring and interface aid.</w:t>
      </w:r>
    </w:p>
    <w:p>
      <w:pPr>
        <w:spacing w:after="60"/>
      </w:pPr>
      <w:r>
        <w:rPr>
          <w:b/>
          <w:sz w:val="18"/>
        </w:rPr>
        <w:t xml:space="preserve">Communication: </w:t>
      </w:r>
      <w:r>
        <w:rPr>
          <w:sz w:val="18"/>
        </w:rPr>
        <w:t>BT 5.3 LE from NeuroPulse hub (hub already has BT radio, antennas in hub); WatchConnectivity framework via paired iPhone app; session sync over BLE GATT custom service. Sub-50ms sync latency target.</w:t>
      </w:r>
    </w:p>
    <w:p>
      <w:pPr>
        <w:spacing w:after="60"/>
      </w:pPr>
      <w:r>
        <w:rPr>
          <w:b/>
          <w:sz w:val="18"/>
        </w:rPr>
        <w:t xml:space="preserve">Channel 1 — Haptic sync: </w:t>
      </w:r>
      <w:r>
        <w:rPr>
          <w:sz w:val="18"/>
        </w:rPr>
        <w:t>watchOS Core Haptics delivers 40Hz pattern synchronised to hub session clock. Adds wrist somatosensory channel alongside mastoid LRA pad. Not standalone therapeutic — complement only. App displays: 'For best results, use with NeuroPulse vibrotactile accessory.' Note: Apple Watch haptic precision is uncharacterised for therapeutic use; this channel adds incremental sensory input, not clinical-grade stimulation.</w:t>
      </w:r>
    </w:p>
    <w:p>
      <w:pPr>
        <w:spacing w:after="60"/>
      </w:pPr>
      <w:r>
        <w:rPr>
          <w:b/>
          <w:sz w:val="18"/>
        </w:rPr>
        <w:t xml:space="preserve">Channel 2 — Audio sync: </w:t>
      </w:r>
      <w:r>
        <w:rPr>
          <w:sz w:val="18"/>
        </w:rPr>
        <w:t>Watch app plays binaural beats / isochronic tones / HRV breathing pacer audio through AirPods or earphones paired to Watch, synchronised to hub session. Useful when: (a) bone conduction reserved for breathing cue while earphones handle binaural beats; (b) user is away from hub speaker range; (c) user prefers AirPods over headset audio for a session.</w:t>
      </w:r>
    </w:p>
    <w:p>
      <w:pPr>
        <w:spacing w:after="60"/>
      </w:pPr>
      <w:r>
        <w:rPr>
          <w:b/>
          <w:sz w:val="18"/>
        </w:rPr>
        <w:t xml:space="preserve">Channel 3 — Visual sync: </w:t>
      </w:r>
      <w:r>
        <w:rPr>
          <w:sz w:val="18"/>
        </w:rPr>
        <w:t>Watch display shows: 40Hz visual flicker (reduced brightness, GENUS-compatible — brightness characterisation needed to confirm ≥100 nits at 40Hz); or EMDR left/right indicator arrow synchronised to goggle session; or session status + protocol name; or HRV biofeedback breathing ring (complementary to phone app display for wrist-glance UX).</w:t>
      </w:r>
    </w:p>
    <w:p>
      <w:pPr>
        <w:spacing w:after="60"/>
      </w:pPr>
      <w:r>
        <w:rPr>
          <w:b/>
          <w:sz w:val="18"/>
        </w:rPr>
        <w:t xml:space="preserve">Additional Watch functions: </w:t>
      </w:r>
      <w:r>
        <w:rPr>
          <w:sz w:val="18"/>
        </w:rPr>
        <w:t>Session timer + haptic end-of-session alert; protocol selector for basic session start without phone; quick impedance check result notification; consumable low reminders; coherence score live feed during HRV biofeedback.</w:t>
      </w:r>
    </w:p>
    <w:p>
      <w:pPr>
        <w:spacing w:after="60"/>
      </w:pPr>
      <w:r>
        <w:rPr>
          <w:b/>
          <w:sz w:val="18"/>
        </w:rPr>
        <w:t xml:space="preserve">Regulatory note: </w:t>
      </w:r>
      <w:r>
        <w:rPr>
          <w:sz w:val="18"/>
        </w:rPr>
        <w:t>All Watch-delivered functions declared as session monitoring / user interface aids. No disease claims in Watch app. Therapeutic claims attach to NeuroPulse hardware. App Store General Wellness category. watchOS Human Interface Guidelines compliance.</w:t>
      </w:r>
    </w:p>
    <w:p>
      <w:pPr>
        <w:spacing w:after="60"/>
      </w:pPr>
      <w:r>
        <w:rPr>
          <w:b/>
          <w:sz w:val="18"/>
        </w:rPr>
        <w:t xml:space="preserve">BOM delta: </w:t>
      </w:r>
      <w:r>
        <w:rPr>
          <w:sz w:val="18"/>
        </w:rPr>
        <w:t>$0 hardware. Software development cost only.</w:t>
      </w:r>
    </w:p>
    <w:p>
      <w:pPr>
        <w:spacing w:after="60"/>
      </w:pPr>
      <w:r>
        <w:rPr>
          <w:b/>
          <w:sz w:val="18"/>
        </w:rPr>
        <w:t xml:space="preserve">Recommended action: </w:t>
      </w:r>
      <w:r>
        <w:rPr>
          <w:sz w:val="18"/>
        </w:rPr>
        <w:t>Add watchOS app to iOS app development roadmap (Year 1 post-launch). Prioritise: (1) session status + HRV breathing ring; (2) audio sync; (3) haptic sync; (4) 40Hz visual flicker (requires screen characterisation first).</w:t>
      </w:r>
    </w:p>
    <w:p/>
    <w:p>
      <w:pPr>
        <w:pBdr>
          <w:bottom w:val="single" w:sz="4" w:space="1" w:color="AAAAAA"/>
        </w:pBdr>
        <w:spacing w:after="120"/>
      </w:pP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CC0000"/>
      </w:rPr>
      <w:t>DEPRECATED — Superseded by NP-MOD-EXT-001 content incorporated into individual firmware specification documents and CLAUDE.md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0000"/>
      </w:rPr>
      <w:t>DEPRECATED — Superseded by NP-MOD-EXT-001 content incorporated into individual firmware specification documents and CLAUDE.md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