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/>
      <w:r>
        <w:rPr>
          <w:b/>
          <w:color w:val="CC0000"/>
          <w:sz w:val="36"/>
        </w:rPr>
        <w:t xml:space="preserve">DEPRECATED — 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NeuroPulse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Master Design Brief — Revision 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Closed-Loop Multi-Modal Neuromodulation Platform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May 4, 2026  ·  Revision 3 — incorporates all decisions through current session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Revision 3 — Key Additions Since Revision 2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Category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New decisions added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UHDR / SHDR data architecture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Complete UHDR/SHDR terminology framework. SHDR linked to device ID + warranty owner only — never user identity. UHDR encrypted with user-held key. Separate eMMC partitions from first firmware line. All boundary cases resolved by derivation rule. Session count in SHDR is unsigned integer with no user link.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Clinical consent engine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Use case library (9 defined use cases). Minimum necessary data mapper. Plain-language consent document generator (not legal forms). Subscription tiers (Monitor $49, Assess $149, Full Clinical $299, Research $599/mo). Expansion workflow with differential consent and 'approve with questions' path.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 consent + partnership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Three a priori consent layers (contact, category, blanket). 9 research categories. Blanket consent still receives per-study engagement notifications. Results opt-in (plain-language summary + paper link + null result notifications). Study suggestion portal (votes, participation intent, pledges). Crowdfunding mechanics (pledge → pilot → grant catalyst). POA workflow with human document review. Researcher portal with pre-identified cohort data.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Durability engineering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→ AgNW lens coating. Hard clamshell case replaces pouch. Intranasal probe hub dock. Palladium fabric (replaces silver — marketing differentiator + fleet-verified claim). N52 → N42 magnets. 1,000-cycle zone connectors. Interface protection covers (all tethered). Braided aramid USB-C cable. MagSafe hard gold contacts. 22F supercapacitor. IPX4 target. Audio cup user-replaceable mesh frame + mesh cleaning brush.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Calibration + self-maintenance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per zone (eliminates 3-year service calibration visit). Plasma-activated anti-fouling PDMS. Fluxgate zero-field nulling + geomagnetic comparison. Hub NTC cross-calibration of headset NTCs. ADS1299 internal reference self-calibration at session start. EC lens transition time monitoring for contact resistance. Audio cup driver impedance monitoring for mesh fouling. Probe tip reference LED at probe base.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Software resilience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Dual-bank OTA firmware (Bank A runs while Bank B staged, cryptographic verification before switch). USB-C DFU recovery mode. Safety MCU firmware only updated in maintenance mode. Industrial eMMC + LittleFS. Firmware partition write-protected. Automated nightly incremental UHDR backup. Cloud service commitment in warranty. 7-day OS compatibility SLA. New device migration prompt.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Service network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A optical centers (S3 Rx + lens + calibration, 4-hr cert, $400–600 equipment). Tier B electronics repair (FPC, DFU, data recovery, 6-hr cert). Tier C retail triage (Best Buy Geek Squad type, 2-hr cert, no equipment). NeuroPulse depot (backstop + T2 loaner). Sliding rail lens mount (user self-install). Lever ZIF connectors (user zone module swap). Tool-free hub fan. Design changes reduce service dependency substantially.</w:t>
            </w:r>
          </w:p>
        </w:tc>
      </w:tr>
      <w:tr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Box contents (updated)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Hard clamshell case (replaces pouch). Braided aramid USB-C cable (spare included). 45W GaN charger (branded NeuroPulse). Mesh cleaning brush. Boa replacement cable + hook tool. Moisture-barrier electrode tip hydration caps. Humidity indicator card. Pre-impregnated cleaning cloth packets. Interface covers (installed + one spare set each type).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1. Executive Summary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0"/>
        <w:gridCol w:w="5940"/>
      </w:tblGrid>
      <w:tr>
        <w:tc>
          <w:tcPr>
            <w:tcW w:type="dxa" w:w="594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NeuroPulse Home — Tier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Consumer wellness · FDA-exempt · 8 modalities · $449–$1,199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600 LEDs (300×660nm + 300×810nm) on FPC zone strips — uniform field, 80,000-hr lifetime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mW/cm² peak pulsed irradiance (firmware-only, $0 BOM) — matches Vielight Neuro Pro 2 headline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8-channel semi-dry EEG, autonomous closed-loop EEG-adaptive stimulation without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5-layer EMF shielding + active Helmholtz cancellation — only consumer brain wearable with measured shielding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$449 Core · $599 Lite · $849 Standard ★ · $1,199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mandatory subscription. All core functions offline-capable permanently.</w:t>
            </w:r>
          </w:p>
        </w:tc>
        <w:tc>
          <w:tcPr>
            <w:tcW w:type="dxa" w:w="594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NeuroPulse Pro — Tier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Clinical/research · FDA 510(k) target · all modalities · $4,999–$13,999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21-channel qEEG wet gel: full 10-20 + FC3/FC4 (M1 TMS targeting) + Oz (photoparoxysmal) + A1/A2 (normative database 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TMS focal figure-8 coil (rTMS/TBS) · 1170nm deep PBM (35–40mm subcortical) · clinical tACS ≤4mA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HIPAA cloud · EHR (FHIR R4) · multi-patient dashboard · sLORETA source imaging · LSL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Pricing: $4,999 Pro Entry · $13,999 Pro Full · $1,800/yr service (same-day loaner)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CPT 90867–90869 TMS reimbursement · 510(k) pathway 18–36 months · $2–5M budget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2. Data Architecture — UHDR / SHDR Framework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Record type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Definition, contents, access, and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UHDR — User Health Data Record
(user's property, never accessed by NeuroPulse)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DEFINITION: Any record describing the user's biological state, cognitive function, therapeutic response, or health outcomes. Defining test: does this record tell us something about the person? If yes → UHDR.
CONTENTS: EEG waveforms (all channels) · HRV time series · PPG optical signal · Neurofeedback performance scores · Session timestamps and duration · Protocol parameters used per session · Closed-loop adaptation events · PBM dose (J/cm²) per zone · User-entered symptom/outcome logs · Eye-open/closed state during sessions.
ACCESS: User (always, unconditionally). Clinicians (per-element, per-use-case consent, time-limited, audited, revocable). Researchers (anonymised aggregate, separate IRB + explicit research consent). NeuroPulse: NEVER.
STORAGE: On-device eMMC UHDR partition, AES-256 encrypted with user biometric-derived key. NeuroPulse does not hold decryption key. Optional E2E encrypted cloud backup (user-held key). Automatic incremental backup on USB-C connect.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SHDR — System Health Data Record
(NeuroPulse property, never linked to user identity)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DEFINITION: Any record describing device performance, wear state, and operational history — independent of who is wearing it. Defining test: does this tell us something about the device's condition, containing nothing that reveals user biology? If yes → SHDR.
CONTENTS: LED output ratio per zone · NTC temperature profiles · EMF shielding attenuation ratio · Device session count (unsigned integer, no timestamps) · Consumable session counts per component · USB-C insertion counter · PD negotiation log · Impact events (g-force, orientation — between sessions only) · Fan RPM · Supercapacitor cycles · Firmware version history · OTA success/failure log · Accessory authentication pass/fail · Calibration coefficient history.
ACCESS: NeuroPulse (fleet database, maintenance prediction, reliability improvement). Warranty owner (maintenance alerts derived from SHDR). Researchers (aggregate only, per data sharing agreement).
LINKAGE: SHDR is linked to device ID + warranty owner ID only. Never to user identity. The SHDR database and UHDR storage share no common identifier — they cannot be joined.
STORAGE: On-device eMMC SHDR partition, separate encryption from UHDR. Uploaded to NeuroPulse fleet database on USB-C connect (warranty consent required).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Boundary case resolution rule</w:t>
            </w:r>
          </w:p>
        </w:tc>
        <w:tc>
          <w:tcPr>
            <w:tcW w:type="dxa" w:w="9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When in doubt → classify as UHDR. Reclassification to SHDR requires positive demonstration of no user biology content.
SPECIFIC RESOLUTIONS: Raw EEG impedance (reflects user scalp biology) → UHDR. Derived trend slope across sessions (reflects electrode tip condition only) → SHDR. Raw accelerometer during active sessions → UHDR. Impact events detected between sessions → SHDR. Raw ambient light values (reveal when/where user uses device) → UHDR. Cumulative UV exposure index (single dimensionless engineering number) → SHDR. Raw VNS contact impedance → UHDR. Contact resistance trend → SHDR. IR eye state during sessions → UHDR. Safety interlock log (device behaviour record) → SHDR.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3. Clinical Consent Engine</w:t>
      </w:r>
    </w:p>
    <w:p>
      <w:pPr>
        <w:spacing w:after="0" w:before="40"/>
      </w:pPr>
      <w:r>
        <w:t xml:space="preserve"/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2400"/>
        <w:gridCol w:w="3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Subscription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Use cases included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UHDR elements accessible (with user consent)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clinician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Treatment adherence monitoring · Protocol compliance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Session timestamps · Session duration · Protocol parameters 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care, wellness providers, care coordinators checking adherence between visits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Assess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$149/mo/patient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Monitor + EEG session review · Neurofeedback performance · Treatment efficacy tracking · Sleep session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EEG waveforms · Neurofeedback performance scores · PBM dose logs · Eye-state during session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Neurologists, psychiatrists, EEG specialists, sleep clinicians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Clinical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$299/mo/patient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Assess + Autonomic monitoring (HRV) · Closed-loop response review · Patient-reported outcomes · TMS response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Adds: HRV time series · PPG optical signal · Closed-loop adaptation events · User-entered symptom logs (if separately consented) · EEG FC3/FC4 channels specifically for TMS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neuromodulation programmes, TMS clinics, integrative psychiatry, Parkinson's specialists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$599/mo/study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IRB-defined custom use case combination (reviewed by NeuroPulse before activation)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IRB-approved minimum necessary set only · Anonymised output · k-anonymity ≥10 required · No individual identifiers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clinical trials · IRB-approved observational studies · Population meta-analysis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3.1 A Priori Research Consent — Four Onboarding Screens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400"/>
        <w:gridCol w:w="30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If no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Effect on device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L1 — Contact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 we contact you about future research opportunities?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Provide preferred contact method + frequency limit. POA holders upload POA document (human review, 3 business days). All research contact goes to POA holder if applicable.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research contact sent. Category and blanket consents still recorded. Changeable at any 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device fully functional regardless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L2 — Category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Which research areas would you broadly support? (9 categories: AD/dementia, Depression, PTSD, TBI, Sleep, Attention, Parkinson's, Healthy ageing, Visual health)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Receives per-project contact requests only for studies in selected categories. Each contact is a fresh per-project decision — no data shared until per-project consent given.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Not contacted for that category. Other categories unaffected. Category selections changeable anytime.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L3 — Blanket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 you pre-approve all NeuroPulse-reviewed research uses of your anonymised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Data included in all reviewed studies. STILL receives per-study engagement notifications (not consent requests — the patient is kept informed and can opt out per-study). Anonymisation standard: k≥10, no device/user ID, no sub-weekly timestamps, no sub-regional geography.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Per-category and per-project process applies. Not a lesser choice — equal in NeuroPulse's treatment.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7"/>
                <w:szCs w:val="17"/>
              </w:rPr>
              <w:t xml:space="preserve">L4 — Results +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Would you like to hear study results? Would you like to join the suggestion portal?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Plain-language results notification per contributed study (including null results) + paper link. Access to suggestion/voting/pledge/crowdfunding portal. Suggestions visible to researcher community.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 results contact. No portal access. Both changeable at any time in Settings → Research + Privacy.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4. Configurations + Pricing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800"/>
        <w:gridCol w:w="700"/>
        <w:gridCol w:w="3000"/>
        <w:gridCol w:w="42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COGS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GM%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Included modalities + key items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Target customer + 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all connectivity (USB-C/BT/Wi-Fi) · EMF shielding (palladium fabric) · full processor stack · 8GB eMMC · hard clamshell case · interface covers (installed + spare set) · braided aramid cable ·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buyer. Neurofeedback baseline. B2B modular base unit. Establishes field upgrade path.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 FPC, 400 mW/cm² peak pulsed) · 8-ch EEG · VNS+HRV auricular clip (A1/A2 EEG references included)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consumer. First meaningful PBM config. Targets Neuronic/Vielight alternative seekers below $600.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modalities: PBM 600 LEDs · intranasal bilateral 2λ 3-depth · 8-ch EEG · BES · tDCS · VNS+HRV · audio cups (planar + bone conduction) · standard lens (35% VLT, 108 micro-LEDs/lens) · S1 opaque shade · all covers · hard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Primary flagship. Biohacker 35–65. All T1 modalities. 50× more transcranial LEDs than Vielight at 17% of price. Primary marketing SKU. Full SHDR fleet telemetry + maintenance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EC lens upgrade (5–75% VLT bistable, +$89 value) · 2yr warranty · priority support · NeuroPulse-branded 45W GaN charger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buyer, premium lens day-one. Highest T1 gross margin. EC lens + palladium fabric as premium differentiators.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(FC3/FC4/Oz/A1/A2) · 1170nm deep PBM LDs + TEC · clinical tACS ≤4mA 16-ch · HIPAA cloud · EDF+ · sLORETA source imaging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clinic, concussion rehab, academic PI (IRB exemption seeding). CPT 90867–90869 TMS eligible as add-on.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T2: Pro Entry + TMS focal figure-8 coil hub · multi-patient dashboard · research mode · LSL streaming · scripting API · FHIR R4 EHR · anonymised session tag for clinical multi-patient · $1,800/yr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medical centre, psychiatry clinic, neuromodulation research lab. Same-day loaner via service contract. Highest absolute gross margin.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5. Durability + Maintenance Engineering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All design changes — status and impact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7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Change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BOM delta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Rationale + tooling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ITO → AgNW (silver nanowire) conductive lens coating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+$8–12/lens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ITO has 0.5% strain-to-failure — cracks on any flex or point impact. AgNW tolerates 5–10% flex, compatible with hard coat overlay, maintains 85–90% transmission. Must specify before lens tooling is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Hard clamshell case replaces soft pouch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PRE-PRODUCTION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+$8–14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Lens scratching from bag contents certain within first month without case. Moulded case includes headset form, lens support, probe dock, accessories tray. Doubles as shipping container.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Intranasal probe hub dock (moulded)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Hub retool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Probe dropped probe-first fractures Y-junction. Hub dock is only reliable storage. Cannot be retrofitted — must be in hub tooling from day 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Palladium-coated EMF shielding fabric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+$6/headset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Silver tarnishes 12–18 months daily sweat use. Palladium immune to tarnishing for device lifetime. Fleet SHDR shielding attenuation data will demonstrate stable performance over years — measurable, publishable marketing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Reference photodiode per zone (behind PDMS window)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 total (5 zones)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Detects LED output drift AND window fouling simultaneously. Eliminates 3-year service center calibration visit entirely. Most important single maintenance engineering decision.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Braided aramid USB-C cable + dual silicone strain relief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+$3–4/cable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Commodity cables fail at strain relief within 6–18 months. Braided aramid rated 50,000+ flex cycles. Spare in box. Most-handled component in the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MagSafe hard gold contact faces (&gt;0.5µm cobalt-alloyed)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Oxidised contacts raise resistance → power throttling during sessions. Hard gold resists wear 10× better than soft gold. 10,000-cycle rating at full current.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22F supercapacitor (from 10F)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Allows 50% capacitance degradation over 5 years while maintaining transient absorption. Hub NTC monitors temperature for aging estimation.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Dual-bank OTA firmware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PRE-FIRMWARE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 (software)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Failed update bricking is 100% manufacturer-caused. Bank A runs while Bank B staged. Boot switches only after cryptographic hash verification. USB-C DFU recovery if both banks corrupted.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Industrial eMMC (SLC cache, 30,000+ P/E) + LittleFS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COMPONENT SELECTION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+$2.40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Consumer eMMC (1,000–3,000 P/E) may fail within 3–5 years at daily use. LittleFS manages bad blocks gracefully. Firmware partition write-protected.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Zone slot connectors: 1,000-cycle rated (Molex SlimStack)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PRE-PCB LAYOUT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+$2.00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connectors rated 100–500 cycles — inadequate for modular users. Specify before PCB layout.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Interface protection covers (all tethered)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7"/>
                <w:szCs w:val="17"/>
              </w:rPr>
              <w:t xml:space="preserve">PRE-TOOLING 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+$8–9 total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Zone plugs (Shore 30A silicone, 5 colours, IP54). Port covers (TPE + steel disc + silicone fins). Lens rim guards (Shore 85A TPU, clear). Anchor posts moulded into shell at zero cost if specified before first cut.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Audio cup user-replaceable snap-in mesh frame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+$0.60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Earwax degrades both acoustic and RF shielding functions simultaneously. Snap-in frame enables user cleaning and annual replacement ($9.99/pair).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Sliding rail lens mount (user self-install)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PRE-TOOLING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+$1.20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Eliminates lens alignment jig requirement. User slides damaged lens out, new lens in, clips retention tab. App validates via EC transition + micro-LED test. Eliminates Tier A installation service visits.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Lever-actuated ZIF connectors for zone modules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PRE-PCB LAYOUT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Included in connector upgrade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Standard ZIF requires tools and care. Lever-actuated ZIF with supplied lever tool enables user zone module self-service.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Automated nightly UHDR backup (incremental)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PRE-LAUNCH SOFTWARE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When on USB-C power, silently encrypts and pushes new UHDRs to backup destination. Failure becomes hardware swap not data loss. Eliminates most data recovery service events.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N52 → N42 magnets in lens 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−$0.80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N52 brittle under corner impact. N42 significantly more impact-tolerant with adequate holding force at slightly larger format.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ADS1299 internal reference self-calibration at session start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FIRMWARE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Routes internal reference to all channels, measures gain/offset, applies correction coefficients. Eliminates EEG amplitude drift over device lifetime. Coefficients logged in SHDR.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Plasma-activated PDMS (anti-fouling) for optical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PRE-PRODUCTION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Minimal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Hydrophilic surface repels sebum fouling. Standard microfluidics treatment. Same material, surface treatment at manufacture.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6. Service Network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400"/>
        <w:gridCol w:w="1200"/>
        <w:gridCol w:w="120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Service tasks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Equipment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Revenue/yr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6"/>
                <w:szCs w:val="16"/>
              </w:rPr>
              <w:t xml:space="preserve">Launch timing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A — Optical centers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LensCrafters · Pearle Vision · Independent opticians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S3 Rx clip manufacture + fitting (primary) · Lens replacement (standard + EC) · Calibration (reference surface, app-guided)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4-hr initial · 1-hr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$400–600 loaned calibration reference + $80–120 alignment jig (eliminated by sliding rail — jig becomes 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$8K–35K/yr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1 — already engaged via S3 Rx programme. Anchor of entire network.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B — Electronics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uBreakiFix / Asurion · iFixit partners · Independent repair shops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Zone module FPC swap · Hub fan replacement · DFU firmware recovery · eMMC data recovery · Impact inspection · Fluxgate calibration (Helmholtz coil reference)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6-hr initial · 2-hr annual practical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Existing ESD workstation + eMMC recovery adapter ($150–200) + NeuroPulse DFU software (downloaded)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$4K–18K/yr at scale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2 — major metros first, expand with fleet. Becomes primary for electronic failures.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Tier C — Retail 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Best Buy Geek Squad · Apple Authorized Service Providers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Warranty intake + triage · Routing to Tier A/B · Consumable sales · DFU if trained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2-hr initial · 30-min annual online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None — partner app access only. Consumable stock.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$1K–7K/yr (triage fee + consumable margin)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Year 1–2 broadly — legitimacy signal, geographic coverage, routing function.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NeuroPulse Depot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Mail-in backstop for all cases local partners cannot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tasks. T2 same-day loaner. eMMC specialist recovery. Fluxgate precision calibration.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NeuroPulse internal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equipment in-house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Highest margin per task — backstop role not primary channel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Day 1 — required before any device ships.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7. Remaining Weaknesses + Open Risks</w:t>
      </w:r>
    </w:p>
    <w:tbl>
      <w:tblPr>
        <w:tblW w:type="dxa" w:w="11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86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Issue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Current status + 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Zero published clinical trials — 35-trial gap vs Vielight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Every clinical adoption decision, press mention, and regulatory discussion will reference Vielight's 35+ RCTs against NeuroPulse's zero. SBIR Phase I + academic seeding strategy is correct but takes 2–3 years to produce published data. PRIORITY: Commission SBIR Phase I immediately. First contacts: Rashidi-Ranjbar (Toronto PBM MCI RCT), Jog (UCLA HD-tDCS), Naeser (VA Boston TBI/PTSD). The 33-entry bibliography supports 'consistent with established evidence on each component modality' framing at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400 mW/cm² regulatory opinion not yet obtained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This number cannot appear in any public-facing material, investor deck, or product spec sheet until outside regulatory counsel confirms it is consistent with FDA-exempt wellness positioning and does not implicitly adopt Vielight's medical indications under FTC implied claim doctrine. Commission immediately: $8,000–15,000, 3–5 weeks. Until opinion is in hand, all materials must use '200 mW/cm²' or omit irradiance entirely.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'NeuroPulse' is an uncleared placeholder name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Trademark search and clearance in US, EU, Canada, Australia required before any external conversation — researcher outreach, investor pitch, crowdfunding design, regulatory filing. Budget $15,000–25,000. If name conflicts, better to know now than after any public exposure.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Scientific Advisory Board not formed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Device markets multi-modal 40Hz neuromodulation without any SAB credentialing. Priority: Li-Huei Tsai (MIT, 40Hz GENUS founder) as SAB member — NOT trial PI (Cognito conflict). Contact: 617-324-0305. Glen Jeffery (UCL, retinal PBM) and Margaret Naeser (VA Boston) also natural SAB candidates. 5-person SAB: $50,000–80,000/yr. Must be announced before or concurrent with clinical researcher outreach.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Vulnerable population edge cases in research consent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Depression/PTSD category patients who contribute data and later wish to withdraw may not understand that already-anonymised data cannot be removed from an ongoing study. Withdrawal flow must disclose at per-project consent: 'Once your anonymised data is included in a study, individual withdrawal is not possible — future contributions can always be stopped.' Required by research ethics (Common Rule) and must appear in consent document before IRB approval of any study using this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17"/>
                <w:szCs w:val="17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45W GaN charger not universally available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therapeutic PBM requires 45W USB-C PD. Users with only a 5V/2A phone charger get EEG-only mode. Decision: include branded 45W GaN charger in Home Standard box ($8–12 BOM). App clearly communicates 'power level: full therapeutic' vs 'power level: reduced' at session start. Eliminates friction at first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Fluxgate calibration still requires service center visit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Reference photodiode eliminates PBM calibration visits. NTC cross-calibration and ADS1299 self-cal eliminate temperature and EEG drift. But fluxgate sensitivity drift (scale factor) requires a Helmholtz test coil providing a known field magnitude — not achievable via geomagnetic comparison alone. Residual requirement: Tier B service center every 3–5 years. Mitigated by: geomagnetic comparison detecting when drift is severe enough to schedule, fleet SHDR trend prediction giving non-urgent lead time, 3–5 year interval being long enough for Tier B network to be well-established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iOS/Android OS updates can disrupt app function</w:t>
            </w:r>
          </w:p>
        </w:tc>
        <w:tc>
          <w:tcPr>
            <w:tcW w:type="dxa" w:w="8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Annual major iOS/Android releases can break USB accessory APIs, background execution, or health APIs without warning. Committed mitigation: participate in Apple/Google developer beta programmes, 7-day OS compatibility SLA, autonomous Mode 3 operation (pre-programmed session from power bank) as structural fallback when app is temporarily broken. This cannot be fully designed away — it is a dependency on platform vendors.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4"/>
          <w:szCs w:val="34"/>
        </w:rPr>
        <w:t xml:space="preserve">8. Open Items + Completed Decisions</w:t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8.1 Pending decisions — action required before first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Product name trademark search and clearance (US/EU/CA/AU) — before ANY external conversation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regulatory opinion letter — before any marketing material references irradiance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Li-Huei Tsai SAB outreach (617-324-0305) — SAB role only, not trial PI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emitter pulse current rating verification (660nm + 808–830nm candidates) — confirm 120–180mA continuous FPC rating before component commitment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Zone module FPC layout specification — 6mm pitch, lever-actuated ZIF, reference photodiode per zone, plasma-activated PDMS windows — must be in PCB layout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Hub tooling: intranasal probe dock + anchor posts for all interface covers + large-radius Boa cable channel + tool-free fan access (quarter-turn captive fastener) — all in hub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Shell tooling: anchor posts for zone slot covers (5 positions, colour-coded) and accessory port covers (3 positions) — in headset shell tooling before first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Lens tooling: sliding rail mount geometry + N42 magnet positions (≥1mm polymer wall all faces) + AgNW coating spec + hard coat over AgNW + EC lens driver electrical contacts spec — before lens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Goggle arm tooling: anchor hook for lens rim guard tether — before arm tooling cut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Partner optician network engagement — contract for S3 Rx clip programme before device ships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eMMC partition architecture + UHDR/SHDR separate encryption scheme — in firmware specification before first firmware is written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Dual-bank OTA bootloader — must be in bootloader from first firmware line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SBIR Phase I application — initiate immediately after company formation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First researcher contact: Rashidi-Ranjbar (neda.rashidi-ranjbar@unityhealth.to), then Jog (mjog@mednet.ucla.edu), then Naeser (mnaeser@bu.edu)</w:t>
      </w:r>
    </w:p>
    <w:p>
      <w:pPr>
        <w:spacing w:after="0" w:before="6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8.2 Completed decisions — locked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Two-tier product strategy (T1 consumer wellness / T2 clinical) with shared platform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600 LEDs (300×660nm + 300×808–830nm) FPC zone modules from launch — no Rev A/Rev B split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400 mW/cm² peak pulsed via firmware duty cycle (Path A, $0 hardware) — pending regulatory opinion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21-channel EEG: FC3, FC4, Oz, A1/A2 (on VNS clips) — full 10-20 + auricular references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NFC anywhere — optical code + resistive pogo authentication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USB-C wired-first default, BT/Wi-Fi toggle, antennas in hub not headset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Boa-style dial + spring-decoupled electrode pods — one adult SKU 52–62cm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5-layer passive EMF shielding + active Helmholtz cancellation + palladium fabric (permanent shielding claim)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Auricular VNS clip = HRV PPG + A1/A2 EEG references (2 spare conductors in existing 6-pin cable)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Standard lens (35% VLT, 108 micro-LEDs/lens, S1 included) + EC premium (+$89, 5–75% VLT) + S3 Rx clip (both lenses)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UHDR/SHDR terminology framework — complete separation, never linked by design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Clinical consent engine: use case library → minimum necessary data mapper → consent document generator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Research partnership: a priori consent (contact/category/blanket), results opt-in, suggestion portal, crowdfunding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POA workflow with human document review, jurisdiction flagging, annual re-verification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Service network: Tier A optical (primary) + Tier B electronics + Tier C retail + depot backstop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interface protection covers tethered to headset, anchor posts in tooling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Predictive maintenance: SHDR fleet database → fleet-trained RUL model → deployed back to devices via OTA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Design brief Revision 1, Revision 2, bibliography (33 entries), researcher candidates (12), and this Revision 3 generated as Word documents</w:t>
      </w:r>
    </w:p>
    <w:sectPr>
      <w:headerReference w:type="default" r:id="rId8"/>
      <w:footerReference w:type="default" r:id="rId9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DEPRECATED — Superseded by neuropulse_design_brief_r5.docx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DEPRECATED — Superseded by neuropulse_design_brief_r5.docx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2026-05-04T22:49:06.010Z</dcterms:created>
  <dcterms:modified xsi:type="dcterms:W3CDTF">2026-05-04T22:49:06.017Z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