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
        <w:rPr>
          <w:b/>
          <w:color w:val="CC0000"/>
          <w:sz w:val="36"/>
        </w:rPr>
        <w:t xml:space="preserve">SUPERSEDED — </w:t>
      </w:r>
    </w:p>
    <w:p>
      <w:pPr>
        <w:spacing w:after="70" w:before="0"/>
        <w:jc w:val="center"/>
      </w:pPr>
      <w:r>
        <w:rPr>
          <w:rFonts w:ascii="Arial" w:cs="Arial" w:eastAsia="Arial" w:hAnsi="Arial"/>
          <w:b/>
          <w:bCs/>
          <w:color w:val="0F6E56"/>
          <w:sz w:val="64"/>
          <w:szCs w:val="64"/>
        </w:rPr>
        <w:t xml:space="preserve">NeuroPulse</w:t>
      </w:r>
    </w:p>
    <w:p>
      <w:pPr>
        <w:spacing w:after="70" w:before="0"/>
        <w:jc w:val="center"/>
      </w:pPr>
      <w:r>
        <w:rPr>
          <w:rFonts w:ascii="Arial" w:cs="Arial" w:eastAsia="Arial" w:hAnsi="Arial"/>
          <w:b/>
          <w:bCs/>
          <w:color w:val="534AB7"/>
          <w:sz w:val="36"/>
          <w:szCs w:val="36"/>
        </w:rPr>
        <w:t>Master Design Brief — Revision 4</w:t>
      </w:r>
    </w:p>
    <w:p>
      <w:pPr>
        <w:spacing w:after="60" w:before="0"/>
        <w:jc w:val="center"/>
      </w:pPr>
      <w:r>
        <w:rPr>
          <w:rFonts w:ascii="Arial" w:cs="Arial" w:eastAsia="Arial" w:hAnsi="Arial"/>
          <w:i/>
          <w:iCs/>
          <w:color w:val="555555"/>
          <w:sz w:val="22"/>
          <w:szCs w:val="22"/>
        </w:rPr>
        <w:t xml:space="preserve">Closed-Loop Multi-Modal Neuromodulation Platform</w:t>
      </w:r>
    </w:p>
    <w:p>
      <w:pPr>
        <w:spacing w:after="280" w:before="0"/>
        <w:jc w:val="center"/>
      </w:pPr>
      <w:r>
        <w:rPr>
          <w:rFonts w:ascii="Arial" w:cs="Arial" w:eastAsia="Arial" w:hAnsi="Arial"/>
          <w:color w:val="999999"/>
          <w:sz w:val="17"/>
          <w:szCs w:val="17"/>
        </w:rPr>
        <w:t>May 4, 2026  ·  May 7, 2026  ·  Revision 4 — zone module engineering package complete; 24-risk register; dual-PD, five-layer keying, gasket, eject lever, PDMS qualification, EEG routing</w:t>
      </w:r>
    </w:p>
    <w:p>
      <w:r>
        <w:br w:type="page"/>
      </w:r>
    </w:p>
    <w:p>
      <w:pPr>
        <w:pStyle w:val="Heading1"/>
        <w:spacing w:after="120" w:before="320"/>
      </w:pPr>
      <w:r>
        <w:rPr>
          <w:rFonts w:ascii="Arial" w:cs="Arial" w:eastAsia="Arial" w:hAnsi="Arial"/>
          <w:b/>
          <w:bCs/>
          <w:color w:val="0F6E56"/>
          <w:sz w:val="34"/>
          <w:szCs w:val="34"/>
        </w:rPr>
        <w:t xml:space="preserve">Revision 3 — Key Additions Since Revision 2</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Category</w:t>
            </w:r>
          </w:p>
        </w:tc>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New decisions added</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UHDR / SHDR data architecture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Complete UHDR/SHDR terminology framework. SHDR linked to device ID + warranty owner only — never user identity. UHDR encrypted with user-held key. Separate eMMC partitions from first firmware line. All boundary cases resolved by derivation rule. Session count in SHDR is unsigned integer with no user link.</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Clinical consent engine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Use case library (9 defined use cases). Minimum necessary data mapper. Plain-language consent document generator (not legal forms). Subscription tiers (Monitor $49, Assess $149, Full Clinical $299, Research $599/mo). Expansion workflow with differential consent and 'approve with questions' path.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Research consent + partnership</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Three a priori consent layers (contact, category, blanket). 9 research categories. Blanket consent still receives per-study engagement notifications. Results opt-in (plain-language summary + paper link + null result notifications). Study suggestion portal (votes, participation intent, pledges). Crowdfunding mechanics (pledge → pilot → grant catalyst). POA workflow with human document review. Researcher portal with pre-identified cohort data.</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Durability engineering</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ITO → AgNW lens coating. Hard clamshell case replaces pouch. Intranasal probe hub dock. Palladium fabric (replaces silver — marketing differentiator + fleet-verified claim). N52 → N42 magnets. 1,000-cycle zone connectors. Interface protection covers (all tethered). Braided aramid USB-C cable. MagSafe hard gold contacts. 22F supercapacitor. IPX4 target. Audio cup user-replaceable mesh frame + mesh cleaning brush.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Calibration + self-maintenance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per zone (eliminates 3-year service calibration visit). Plasma-activated anti-fouling PDMS. Fluxgate zero-field nulling + geomagnetic comparison. Hub NTC cross-calibration of headset NTCs. ADS1299 internal reference self-calibration at session start. EC lens transition time monitoring for contact resistance. Audio cup driver impedance monitoring for mesh fouling. Probe tip reference LED at probe base.</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Software resilience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Dual-bank OTA firmware (Bank A runs while Bank B staged, cryptographic verification before switch). USB-C DFU recovery mode. Safety MCU firmware only updated in maintenance mode. Industrial eMMC + LittleFS. Firmware partition write-protected. Automated nightly incremental UHDR backup. Cloud service commitment in warranty. 7-day OS compatibility SLA. New device migration prompt.</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Service network</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A optical centers (S3 Rx + lens + calibration, 4-hr cert, $400–600 equipment). Tier B electronics repair (FPC, DFU, data recovery, 6-hr cert). Tier C retail triage (Best Buy Geek Squad type, 2-hr cert, no equipment). NeuroPulse depot (backstop + T2 loaner). Sliding rail lens mount (user self-install). Lever ZIF connectors (user zone module swap). Tool-free hub fan. Design changes reduce service dependency substantially.</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Box contents (updated)</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Hard clamshell case (replaces pouch). Braided aramid USB-C cable (spare included). 45W GaN charger (branded NeuroPulse). Mesh cleaning brush. Boa replacement cable + hook tool. Moisture-barrier electrode tip hydration caps. Humidity indicator card. Pre-impregnated cleaning cloth packets. Interface covers (installed + one spare set each type).</w:t>
            </w:r>
          </w:p>
        </w:tc>
      </w:tr>
      <w:tr>
        <w:tc>
          <w:tcPr>
            <w:shd w:val="clear" w:color="auto" w:fill="EBF3FB"/>
          </w:tcPr>
          <w:p>
            <w:r>
              <w:rPr>
                <w:b/>
                <w:sz w:val="18"/>
              </w:rPr>
              <w:t xml:space="preserve">Zone module engineering</w:t>
            </w:r>
          </w:p>
        </w:tc>
        <w:tc>
          <w:tcPr>
            <w:shd w:val="clear" w:color="auto" w:fill="EBF3FB"/>
          </w:tcPr>
          <w:p>
            <w:r>
              <w:rPr>
                <w:sz w:val="18"/>
              </w:rPr>
              <w:t>Dual photodiode PD1/PD2 (RISK-14 Option B). Five-layer zone keying — mechanical key + ZONE_ID resistor + braille/numeral + tactile dots + bone conduction audio (RISK-15). Self-sealing co-molded silicone gasket, no user RTV (RISK-16). Sliding eject lever 3:1 MA ≤1N force (RISK-22). Multi-FPC bundle separation ≥2mm / EEG ≥15mm (RISK-17). EEG cable routing channel molded into outer CFRP surface (RISK-21). PDMS SiO₂ interlayer bonding + 200-cycle IEC 60068-2-14 thermal cycling qualification BLOCKING before production (RISK-04). 24-risk register: 22 MITIGATED, 2 OPEN (RISK-03 regulatory opinion; RISK-20 CFRP Ra confirmation — both external). New documents: NP-HW-FPC-001, NP-PROC-FPC-001, NP-DRV-SHELL-001, NP-FAI-ZM-001, NP-COORD-001, NP-TOOL-ZM-001, NP-PROC-SUP-001.</w:t>
            </w:r>
          </w:p>
        </w:tc>
      </w:tr>
    </w:tbl>
    <w:p>
      <w:r>
        <w:br w:type="page"/>
      </w:r>
    </w:p>
    <w:p>
      <w:pPr>
        <w:pStyle w:val="Heading1"/>
        <w:spacing w:after="120" w:before="320"/>
      </w:pPr>
      <w:r>
        <w:rPr>
          <w:rFonts w:ascii="Arial" w:cs="Arial" w:eastAsia="Arial" w:hAnsi="Arial"/>
          <w:b/>
          <w:bCs/>
          <w:color w:val="0F6E56"/>
          <w:sz w:val="34"/>
          <w:szCs w:val="34"/>
        </w:rPr>
        <w:t xml:space="preserve">1. Executive Summary</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0F6E56" w:sz="3"/>
              <w:left w:val="single" w:color="CCCCCC" w:sz="1"/>
              <w:bottom w:val="single" w:color="CCCCCC" w:sz="1"/>
              <w:right w:val="single" w:color="CCCCCC" w:sz="1"/>
            </w:tcBorders>
            <w:shd w:fill="F4FAF8" w:val="clear"/>
            <w:tcMar>
              <w:top w:type="dxa" w:w="90"/>
              <w:left w:type="dxa" w:w="130"/>
              <w:bottom w:type="dxa" w:w="90"/>
              <w:right w:type="dxa" w:w="130"/>
            </w:tcMar>
          </w:tcPr>
          <w:p>
            <w:pPr>
              <w:spacing w:after="60" w:before="0"/>
            </w:pPr>
            <w:r>
              <w:rPr>
                <w:rFonts w:ascii="Arial" w:cs="Arial" w:eastAsia="Arial" w:hAnsi="Arial"/>
                <w:b/>
                <w:bCs/>
                <w:color w:val="0F6E56"/>
                <w:sz w:val="24"/>
                <w:szCs w:val="24"/>
              </w:rPr>
              <w:t xml:space="preserve">NeuroPulse Home — Tier 1</w:t>
            </w:r>
          </w:p>
          <w:p>
            <w:pPr>
              <w:spacing w:after="80" w:before="0"/>
            </w:pPr>
            <w:r>
              <w:rPr>
                <w:rFonts w:ascii="Arial" w:cs="Arial" w:eastAsia="Arial" w:hAnsi="Arial"/>
                <w:color w:val="555555"/>
                <w:sz w:val="17"/>
                <w:szCs w:val="17"/>
              </w:rPr>
              <w:t xml:space="preserve">Consumer wellness · FDA-exempt · 8 modalities · $449–$1,199</w:t>
            </w:r>
          </w:p>
          <w:p>
            <w:pPr>
              <w:pStyle w:val="ListParagraph"/>
              <w:numPr>
                <w:ilvl w:val="0"/>
                <w:numId w:val="2"/>
              </w:numPr>
              <w:spacing w:after="35" w:before="35"/>
            </w:pPr>
            <w:r>
              <w:rPr>
                <w:rFonts w:ascii="Arial" w:cs="Arial" w:eastAsia="Arial" w:hAnsi="Arial"/>
                <w:color w:val="1A1A2E"/>
                <w:sz w:val="18"/>
                <w:szCs w:val="18"/>
              </w:rPr>
              <w:t xml:space="preserve">600 LEDs (300×660nm + 300×810nm) on FPC zone strips — uniform field, 80,000-hr lifetime</w:t>
            </w:r>
          </w:p>
          <w:p>
            <w:pPr>
              <w:pStyle w:val="ListParagraph"/>
              <w:numPr>
                <w:ilvl w:val="0"/>
                <w:numId w:val="2"/>
              </w:numPr>
              <w:spacing w:after="35" w:before="35"/>
            </w:pPr>
            <w:r>
              <w:rPr>
                <w:rFonts w:ascii="Arial" w:cs="Arial" w:eastAsia="Arial" w:hAnsi="Arial"/>
                <w:color w:val="1A1A2E"/>
                <w:sz w:val="18"/>
                <w:szCs w:val="18"/>
              </w:rPr>
              <w:t xml:space="preserve">400 mW/cm² peak pulsed irradiance (firmware-only, $0 BOM) — matches Vielight Neuro Pro 2 headline spec</w:t>
            </w:r>
          </w:p>
          <w:p>
            <w:pPr>
              <w:pStyle w:val="ListParagraph"/>
              <w:numPr>
                <w:ilvl w:val="0"/>
                <w:numId w:val="2"/>
              </w:numPr>
              <w:spacing w:after="35" w:before="35"/>
            </w:pPr>
            <w:r>
              <w:rPr>
                <w:rFonts w:ascii="Arial" w:cs="Arial" w:eastAsia="Arial" w:hAnsi="Arial"/>
                <w:color w:val="1A1A2E"/>
                <w:sz w:val="18"/>
                <w:szCs w:val="18"/>
              </w:rPr>
              <w:t xml:space="preserve">8-channel semi-dry EEG, autonomous closed-loop EEG-adaptive stimulation without phone</w:t>
            </w:r>
          </w:p>
          <w:p>
            <w:pPr>
              <w:pStyle w:val="ListParagraph"/>
              <w:numPr>
                <w:ilvl w:val="0"/>
                <w:numId w:val="2"/>
              </w:numPr>
              <w:spacing w:after="35" w:before="35"/>
            </w:pPr>
            <w:r>
              <w:rPr>
                <w:rFonts w:ascii="Arial" w:cs="Arial" w:eastAsia="Arial" w:hAnsi="Arial"/>
                <w:color w:val="1A1A2E"/>
                <w:sz w:val="18"/>
                <w:szCs w:val="18"/>
              </w:rPr>
              <w:t xml:space="preserve">5-layer EMF shielding + active Helmholtz cancellation — only consumer brain wearable with measured shielding</w:t>
            </w:r>
          </w:p>
          <w:p>
            <w:pPr>
              <w:pStyle w:val="ListParagraph"/>
              <w:numPr>
                <w:ilvl w:val="0"/>
                <w:numId w:val="2"/>
              </w:numPr>
              <w:spacing w:after="35" w:before="35"/>
            </w:pPr>
            <w:r>
              <w:rPr>
                <w:rFonts w:ascii="Arial" w:cs="Arial" w:eastAsia="Arial" w:hAnsi="Arial"/>
                <w:color w:val="1A1A2E"/>
                <w:sz w:val="18"/>
                <w:szCs w:val="18"/>
              </w:rPr>
              <w:t xml:space="preserve">Pricing: $449 Core · $599 Lite · $849 Standard ★ · $1,199 Premium</w:t>
            </w:r>
          </w:p>
          <w:p>
            <w:pPr>
              <w:pStyle w:val="ListParagraph"/>
              <w:numPr>
                <w:ilvl w:val="0"/>
                <w:numId w:val="2"/>
              </w:numPr>
              <w:spacing w:after="35" w:before="35"/>
            </w:pPr>
            <w:r>
              <w:rPr>
                <w:rFonts w:ascii="Arial" w:cs="Arial" w:eastAsia="Arial" w:hAnsi="Arial"/>
                <w:color w:val="1A1A2E"/>
                <w:sz w:val="18"/>
                <w:szCs w:val="18"/>
              </w:rPr>
              <w:t xml:space="preserve">No mandatory subscription. All core functions offline-capable permanently.</w:t>
            </w:r>
          </w:p>
        </w:tc>
        <w:tc>
          <w:tcPr>
            <w:tcW w:type="dxa" w:w="5940"/>
            <w:tcBorders>
              <w:top w:val="single" w:color="534AB7" w:sz="3"/>
              <w:left w:val="single" w:color="CCCCCC" w:sz="1"/>
              <w:bottom w:val="single" w:color="CCCCCC" w:sz="1"/>
              <w:right w:val="single" w:color="CCCCCC" w:sz="1"/>
            </w:tcBorders>
            <w:shd w:fill="F5F4FF" w:val="clear"/>
            <w:tcMar>
              <w:top w:type="dxa" w:w="90"/>
              <w:left w:type="dxa" w:w="130"/>
              <w:bottom w:type="dxa" w:w="90"/>
              <w:right w:type="dxa" w:w="130"/>
            </w:tcMar>
          </w:tcPr>
          <w:p>
            <w:pPr>
              <w:spacing w:after="60" w:before="0"/>
            </w:pPr>
            <w:r>
              <w:rPr>
                <w:rFonts w:ascii="Arial" w:cs="Arial" w:eastAsia="Arial" w:hAnsi="Arial"/>
                <w:b/>
                <w:bCs/>
                <w:color w:val="534AB7"/>
                <w:sz w:val="24"/>
                <w:szCs w:val="24"/>
              </w:rPr>
              <w:t xml:space="preserve">NeuroPulse Pro — Tier 2</w:t>
            </w:r>
          </w:p>
          <w:p>
            <w:pPr>
              <w:spacing w:after="80" w:before="0"/>
            </w:pPr>
            <w:r>
              <w:rPr>
                <w:rFonts w:ascii="Arial" w:cs="Arial" w:eastAsia="Arial" w:hAnsi="Arial"/>
                <w:color w:val="555555"/>
                <w:sz w:val="17"/>
                <w:szCs w:val="17"/>
              </w:rPr>
              <w:t xml:space="preserve">Clinical/research · FDA 510(k) target · all modalities · $4,999–$13,999</w:t>
            </w:r>
          </w:p>
          <w:p>
            <w:pPr>
              <w:pStyle w:val="ListParagraph"/>
              <w:numPr>
                <w:ilvl w:val="0"/>
                <w:numId w:val="2"/>
              </w:numPr>
              <w:spacing w:after="35" w:before="35"/>
            </w:pPr>
            <w:r>
              <w:rPr>
                <w:rFonts w:ascii="Arial" w:cs="Arial" w:eastAsia="Arial" w:hAnsi="Arial"/>
                <w:color w:val="1A1A2E"/>
                <w:sz w:val="18"/>
                <w:szCs w:val="18"/>
              </w:rPr>
              <w:t xml:space="preserve">21-channel qEEG wet gel: full 10-20 + FC3/FC4 (M1 TMS targeting) + Oz (photoparoxysmal) + A1/A2 (normative database reference)</w:t>
            </w:r>
          </w:p>
          <w:p>
            <w:pPr>
              <w:pStyle w:val="ListParagraph"/>
              <w:numPr>
                <w:ilvl w:val="0"/>
                <w:numId w:val="2"/>
              </w:numPr>
              <w:spacing w:after="35" w:before="35"/>
            </w:pPr>
            <w:r>
              <w:rPr>
                <w:rFonts w:ascii="Arial" w:cs="Arial" w:eastAsia="Arial" w:hAnsi="Arial"/>
                <w:color w:val="1A1A2E"/>
                <w:sz w:val="18"/>
                <w:szCs w:val="18"/>
              </w:rPr>
              <w:t xml:space="preserve">TMS focal figure-8 coil (rTMS/TBS) · 1170nm deep PBM (35–40mm subcortical) · clinical tACS ≤4mA</w:t>
            </w:r>
          </w:p>
          <w:p>
            <w:pPr>
              <w:pStyle w:val="ListParagraph"/>
              <w:numPr>
                <w:ilvl w:val="0"/>
                <w:numId w:val="2"/>
              </w:numPr>
              <w:spacing w:after="35" w:before="35"/>
            </w:pPr>
            <w:r>
              <w:rPr>
                <w:rFonts w:ascii="Arial" w:cs="Arial" w:eastAsia="Arial" w:hAnsi="Arial"/>
                <w:color w:val="1A1A2E"/>
                <w:sz w:val="18"/>
                <w:szCs w:val="18"/>
              </w:rPr>
              <w:t xml:space="preserve">HIPAA cloud · EHR (FHIR R4) · multi-patient dashboard · sLORETA source imaging · LSL streaming</w:t>
            </w:r>
          </w:p>
          <w:p>
            <w:pPr>
              <w:pStyle w:val="ListParagraph"/>
              <w:numPr>
                <w:ilvl w:val="0"/>
                <w:numId w:val="2"/>
              </w:numPr>
              <w:spacing w:after="35" w:before="35"/>
            </w:pPr>
            <w:r>
              <w:rPr>
                <w:rFonts w:ascii="Arial" w:cs="Arial" w:eastAsia="Arial" w:hAnsi="Arial"/>
                <w:color w:val="1A1A2E"/>
                <w:sz w:val="18"/>
                <w:szCs w:val="18"/>
              </w:rPr>
              <w:t xml:space="preserve">Pricing: $4,999 Pro Entry · $13,999 Pro Full · $1,800/yr service (same-day loaner)</w:t>
            </w:r>
          </w:p>
          <w:p>
            <w:pPr>
              <w:pStyle w:val="ListParagraph"/>
              <w:numPr>
                <w:ilvl w:val="0"/>
                <w:numId w:val="2"/>
              </w:numPr>
              <w:spacing w:after="35" w:before="35"/>
            </w:pPr>
            <w:r>
              <w:rPr>
                <w:rFonts w:ascii="Arial" w:cs="Arial" w:eastAsia="Arial" w:hAnsi="Arial"/>
                <w:color w:val="1A1A2E"/>
                <w:sz w:val="18"/>
                <w:szCs w:val="18"/>
              </w:rPr>
              <w:t xml:space="preserve">CPT 90867–90869 TMS reimbursement · 510(k) pathway 18–36 months · $2–5M budget</w:t>
            </w:r>
          </w:p>
        </w:tc>
      </w:tr>
    </w:tbl>
    <w:p>
      <w:r>
        <w:br w:type="page"/>
      </w:r>
    </w:p>
    <w:p>
      <w:pPr>
        <w:pStyle w:val="Heading1"/>
        <w:spacing w:after="120" w:before="320"/>
      </w:pPr>
      <w:r>
        <w:rPr>
          <w:rFonts w:ascii="Arial" w:cs="Arial" w:eastAsia="Arial" w:hAnsi="Arial"/>
          <w:b/>
          <w:bCs/>
          <w:color w:val="0F6E56"/>
          <w:sz w:val="34"/>
          <w:szCs w:val="34"/>
        </w:rPr>
        <w:t xml:space="preserve">2. Data Architecture — UHDR / SHDR Framework</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200"/>
        <w:gridCol w:w="9680"/>
      </w:tblGrid>
      <w:tr>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Record type</w:t>
            </w:r>
          </w:p>
        </w:tc>
        <w:tc>
          <w:tcPr>
            <w:tcW w:type="dxa" w:w="96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Definition, contents, access, and storage</w:t>
            </w:r>
          </w:p>
        </w:tc>
      </w:tr>
      <w:tr>
        <w:tc>
          <w:tcPr>
            <w:tcW w:type="dxa" w:w="2200"/>
            <w:tcBorders>
              <w:top w:val="single" w:color="CCCCCC" w:sz="1"/>
              <w:left w:val="single" w:color="CCCCCC" w:sz="1"/>
              <w:bottom w:val="single" w:color="CCCCCC" w:sz="1"/>
              <w:right w:val="single" w:color="CCCCCC" w:sz="1"/>
            </w:tcBorders>
            <w:shd w:fill="F5F4FF" w:val="clear"/>
            <w:tcMar>
              <w:top w:type="dxa" w:w="60"/>
              <w:left w:type="dxa" w:w="90"/>
              <w:bottom w:type="dxa" w:w="60"/>
              <w:right w:type="dxa" w:w="90"/>
            </w:tcMar>
          </w:tcPr>
          <w:p>
            <w:r>
              <w:rPr>
                <w:rFonts w:ascii="Arial" w:cs="Arial" w:eastAsia="Arial" w:hAnsi="Arial"/>
                <w:b/>
                <w:bCs/>
                <w:color w:val="534AB7"/>
                <w:sz w:val="17"/>
                <w:szCs w:val="17"/>
              </w:rPr>
              <w:t xml:space="preserve">UHDR — User Health Data Record
(user's property, never accessed by NeuroPulse)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DEFINITION: Any record describing the user's biological state, cognitive function, therapeutic response, or health outcomes. Defining test: does this record tell us something about the person? If yes → UHDR.</w:t>
              <w:br/>
              <w:br/>
              <w:t>CONTENTS: EEG waveforms (all channels) · HRV time series · PPG optical signal · Neurofeedback performance scores · Session timestamps and duration · Protocol parameters used per session · Closed-loop adaptation events · PBM dose (J/cm²) per zone · User-entered symptom/outcome logs · Eye-open/closed state during sessions.</w:t>
              <w:br/>
              <w:br/>
              <w:t>ACCESS: User (always, unconditionally). Clinicians (per-element, per-use-case consent, time-limited, audited, revocable). Researchers (anonymized aggregate, separate IRB + explicit research consent). NeuroPulse: NEVER.</w:t>
              <w:br/>
              <w:br/>
              <w:t>STORAGE: On-device eMMC UHDR partition, AES-256 encrypted with user biometric-derived key. NeuroPulse does not hold decryption key. Optional E2E encrypted cloud backup (user-held key). Automatic incremental backup on USB-C connect.</w:t>
            </w:r>
          </w:p>
          <w:p>
            <w:r>
              <w:rPr>
                <w:sz w:val="18"/>
              </w:rPr>
              <w:br/>
              <w:t>Research data flow: All anonymization of UHDR for research purposes occurs on-device (within the NeuroPulse app), generating a fresh extract directly from the AES-256 encrypted source partition for each approved study. NeuroPulse infrastructure receives only the pre-anonymized extract. NeuroPulse never decrypts, accesses, or temporarily holds raw UHDR at any point in the research data pipeline. No persistent per-user anonymized data store is maintained on NeuroPulse servers.</w:t>
            </w:r>
          </w:p>
        </w:tc>
      </w:tr>
      <w:tr>
        <w:tc>
          <w:tcPr>
            <w:tcW w:type="dxa" w:w="2200"/>
            <w:tcBorders>
              <w:top w:val="single" w:color="CCCCCC" w:sz="1"/>
              <w:left w:val="single" w:color="CCCCCC" w:sz="1"/>
              <w:bottom w:val="single" w:color="CCCCCC" w:sz="1"/>
              <w:right w:val="single" w:color="CCCCCC" w:sz="1"/>
            </w:tcBorders>
            <w:shd w:fill="F4FAF8" w:val="clear"/>
            <w:tcMar>
              <w:top w:type="dxa" w:w="60"/>
              <w:left w:type="dxa" w:w="90"/>
              <w:bottom w:type="dxa" w:w="60"/>
              <w:right w:type="dxa" w:w="90"/>
            </w:tcMar>
          </w:tcPr>
          <w:p>
            <w:r>
              <w:rPr>
                <w:rFonts w:ascii="Arial" w:cs="Arial" w:eastAsia="Arial" w:hAnsi="Arial"/>
                <w:b/>
                <w:bCs/>
                <w:color w:val="0F6E56"/>
                <w:sz w:val="17"/>
                <w:szCs w:val="17"/>
              </w:rPr>
              <w:t xml:space="preserve">SHDR — System Health Data Record
(NeuroPulse property, never linked to user identity)</w:t>
            </w:r>
          </w:p>
        </w:tc>
        <w:tc>
          <w:tcPr>
            <w:tcW w:type="dxa" w:w="9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DEFINITION: Any record describing device performance, wear state, and operational history — independent of who is wearing it. Defining test: does this tell us something about the device's condition, containing nothing that reveals user biology? If yes → SHDR.
CONTENTS: LED output ratio per zone · NTC temperature profiles · EMF shielding attenuation ratio · Device session count (unsigned integer, no timestamps) · Consumable session counts per component · USB-C insertion counter · PD negotiation log · Impact events (g-force, orientation — between sessions only) · Fan RPM · Supercapacitor cycles · Firmware version history · OTA success/failure log · Accessory authentication pass/fail · Calibration coefficient history.
ACCESS: NeuroPulse (fleet database, maintenance prediction, reliability improvement). Warranty owner (maintenance alerts derived from SHDR). Researchers (aggregate only, per data sharing agreement).
LINKAGE: SHDR is linked to device ID + warranty owner ID only. Never to user identity. The SHDR database and UHDR storage share no common identifier — they cannot be joined.
STORAGE: On-device eMMC SHDR partition, separate encryption from UHDR. Uploaded to NeuroPulse fleet database on USB-C connect (warranty consent required).</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Boundary case resolution rule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When in doubt → classify as UHDR. Reclassification to SHDR requires positive demonstration of no user biology content.</w:t>
              <w:br/>
              <w:br/>
              <w:t>SPECIFIC RESOLUTIONS: Raw EEG impedance (reflects user scalp biology) → UHDR. Derived trend slope across sessions (reflects electrode tip condition only) → SHDR. Raw accelerometer during active sessions → UHDR. Impact events detected between sessions → SHDR. Raw ambient light values (reveal when/where user uses device) → UHDR. Cumulative UV exposure index (single dimensionless engineering number) → SHDR. Raw VNS contact impedance → UHDR. Contact resistance trend → SHDR. IR eye state during sessions → UHDR. Safety interlock log (device behavior record) → SHDR.</w:t>
            </w:r>
          </w:p>
        </w:tc>
      </w:tr>
    </w:tbl>
    <w:p>
      <w:r>
        <w:br w:type="page"/>
      </w:r>
    </w:p>
    <w:p>
      <w:pPr>
        <w:pStyle w:val="Heading2"/>
      </w:pPr>
      <w:r>
        <w:rPr>
          <w:sz w:val="24"/>
        </w:rPr>
        <w:t>5.3 Research data anonymization architecture (locked)</w:t>
      </w:r>
    </w:p>
    <w:p>
      <w:r>
        <w:rPr>
          <w:sz w:val="18"/>
        </w:rPr>
        <w:t xml:space="preserve">Architecture requirement: All anonymization of UHDR data for research purposes must occur on-device, within the NeuroPulse app, before any data leaves the device. The process for each approved study is:</w:t>
      </w:r>
    </w:p>
    <w:p>
      <w:r>
        <w:rPr>
          <w:sz w:val="18"/>
        </w:rPr>
        <w:t xml:space="preserve">Step 1 — Study approval signal: NeuroPulse server sends the device a signed study descriptor: study ID, anonymization parameters (k-value ≥10, suppression rules, date-rounding interval), and approved UHDR element list. Study descriptor is cryptographically signed by NeuroPulse (same signing infrastructure as session protocols).</w:t>
      </w:r>
    </w:p>
    <w:p>
      <w:r>
        <w:rPr>
          <w:sz w:val="18"/>
        </w:rPr>
        <w:t xml:space="preserve">Step 2 — On-device extract generation: The app reads the encrypted UHDR partition (decryption uses only the user biometric-derived key — app is the only process with transient access during an active session). Anonymization transformations are applied in-app: (a) k-anonymity grouping, (b) date/time rounding to ≥1-week intervals, (c) all direct identifiers removed, (d) quasi-identifier suppression per study descriptor. The anonymized extract is signed with the study ID and device hardware attestation token.</w:t>
      </w:r>
    </w:p>
    <w:p>
      <w:r>
        <w:rPr>
          <w:sz w:val="18"/>
        </w:rPr>
        <w:t xml:space="preserve">Step 3 — Extract transmission: Only the pre-anonymized, signed extract is transmitted to NeuroPulse research infrastructure. Raw UHDR never leaves the device. NeuroPulse servers receive and store only the extract. No persistent per-user anonymized data store is maintained; each study receives its own extract. Extracts are keyed to study ID and device ID only.</w:t>
      </w:r>
    </w:p>
    <w:p>
      <w:r>
        <w:rPr>
          <w:sz w:val="18"/>
        </w:rPr>
        <w:t xml:space="preserve">Step 4 — No server-side re-identification path: NeuroPulse infrastructure cannot re-identify users from extracts: no raw UHDR, no biometric key, no linkage table. The device ID maps only to the SHDR warranty owner record (shipping address + warranty dates) — SHDR contains no user biology. Researchers access only aggregated study datasets with no device ID fields.</w:t>
      </w:r>
    </w:p>
    <w:p>
      <w:r>
        <w:rPr>
          <w:sz w:val="18"/>
        </w:rPr>
        <w:t xml:space="preserve">Consent withdrawal effect: Because anonymization is performed on-device, per-study, on-demand: withdrawing consent permanently blocks the device from processing any future study descriptors. No further extracts are generated or transmitted. This withdrawal is effective for all data periods — including UHDR from sessions that occurred before the withdrawal date — because the source data remains on the device and the extraction step cannot be triggered remotely without device participation. Already-transmitted extracts included in published datasets cannot be individually removed (k-anonymized aggregates cannot be individually withdrawn — irreversibility notice is given at consent time).</w:t>
      </w:r>
    </w:p>
    <w:p>
      <w:r>
        <w:rPr>
          <w:sz w:val="18"/>
        </w:rPr>
        <w:t xml:space="preserve">Audit trail: Study ID, study descriptor hash, extract transmission timestamp, and extract size (byte count, not content) are logged in SHDR. User can inspect which studies their device has contributed to at any time via the app. This log is the user's proof of participation and is never shared with researchers.</w:t>
      </w:r>
    </w:p>
    <w:p>
      <w:pPr>
        <w:pStyle w:val="Heading1"/>
        <w:spacing w:after="120" w:before="320"/>
      </w:pPr>
      <w:r>
        <w:rPr>
          <w:rFonts w:ascii="Arial" w:cs="Arial" w:eastAsia="Arial" w:hAnsi="Arial"/>
          <w:b/>
          <w:bCs/>
          <w:color w:val="0F6E56"/>
          <w:sz w:val="34"/>
          <w:szCs w:val="34"/>
        </w:rPr>
        <w:t xml:space="preserve">3. Clinical Consent Engine</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400"/>
        <w:gridCol w:w="3280"/>
      </w:tblGrid>
      <w:tr>
        <w:tc>
          <w:tcPr>
            <w:tcW w:type="dxa" w:w="2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Subscription tier</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Price</w:t>
            </w:r>
          </w:p>
        </w:tc>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Use cases included</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UHDR elements accessible (with user consent)</w:t>
            </w:r>
          </w:p>
        </w:tc>
        <w:tc>
          <w:tcPr>
            <w:tcW w:type="dxa" w:w="32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clinician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Monitor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Treatment adherence monitoring · Protocol compliance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Session timestamps · Session duration · Protocol parameters used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care, wellness providers, care coordinators checking adherence between visits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Assess</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$149/mo/patient</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Monitor + EEG session review · Neurofeedback performance · Treatment efficacy tracking · Sleep session monitoring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Adds: EEG waveforms · Neurofeedback performance scores · PBM dose logs · Eye-state during session</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Neurologists, psychiatrists, EEG specialists, sleep clinicians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Full Clinical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$299/mo/patient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Assess + Autonomic monitoring (HRV) · Closed-loop response review · Patient-reported outcomes · TMS response 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Adds: HRV time series · PPG optical signal · Closed-loop adaptation events · User-entered symptom logs (if separately consented) · EEG FC3/FC4 channels specifically for TMS</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2 neuromodulation programmes, TMS clinics, integrative psychiatry, Parkinson's specialists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Research</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$599/mo/study</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IRB-defined custom use case combination (reviewed by NeuroPulse before activation)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IRB-approved minimum necessary set only · Anonymized output · k-anonymity ≥10 required · No individual identifiers</w:t>
            </w:r>
          </w:p>
          <w:p>
            <w:r>
              <w:rPr>
                <w:b w:val="0"/>
                <w:sz w:val="18"/>
              </w:rPr>
              <w:br/>
              <w:t>Anonymization occurs on-device. NeuroPulse receives only pre-anonymized extracts per study.</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clinical trials · IRB-approved observational studies · Population meta-analysis</w:t>
            </w:r>
          </w:p>
        </w:tc>
      </w:tr>
    </w:tbl>
    <w:p>
      <w:pPr>
        <w:spacing w:after="0" w:before="60"/>
      </w:pPr>
      <w:r>
        <w:t xml:space="preserve"/>
      </w:r>
    </w:p>
    <w:p>
      <w:pPr>
        <w:pStyle w:val="Heading2"/>
        <w:spacing w:after="90" w:before="240"/>
      </w:pPr>
      <w:r>
        <w:rPr>
          <w:rFonts w:ascii="Arial" w:cs="Arial" w:eastAsia="Arial" w:hAnsi="Arial"/>
          <w:b/>
          <w:bCs/>
          <w:color w:val="534AB7"/>
          <w:sz w:val="24"/>
          <w:szCs w:val="24"/>
        </w:rPr>
        <w:t xml:space="preserve">3.1 A Priori Research Consent — Four Onboarding Screens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400"/>
        <w:gridCol w:w="3080"/>
      </w:tblGrid>
      <w:tr>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Layer</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Question</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yes</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no</w:t>
            </w:r>
          </w:p>
        </w:tc>
        <w:tc>
          <w:tcPr>
            <w:tcW w:type="dxa" w:w="3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Effect on device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L1 — Contact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Can we contact you about future research opportunities?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Provide preferred contact method + frequency limit. POA holders upload POA document (human review, 3 business days). All research contact goes to POA holder if applicable.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research contact sent. Category and blanket consents still recorded. Changeable at any time.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device fully functional regardless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L2 — Category consent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Which research areas would you broadly support? (9 categories: AD/dementia, Depression, PTSD, TBI, Sleep, Attention, Parkinson's, Healthy ageing, Visual health)</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Receives per-project contact requests only for studies in selected categories. Each contact is a fresh per-project decision — no data shared until per-project consent given.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Not contacted for that category. Other categories unaffected. Category selections changeable anytime.</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L3 — Blanket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Do you pre-approve all NeuroPulse-reviewed research uses of your anonymized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Data included in all reviewed studies. STILL receives per-study engagement notifications (not consent requests — the patient is kept informed and can opt out per-study). Anonymization standard: k≥10, no device/user ID, no sub-weekly timestamps, no sub-regional geography.</w:t>
            </w:r>
          </w:p>
          <w:p>
            <w:r>
              <w:rPr>
                <w:b w:val="0"/>
                <w:sz w:val="18"/>
              </w:rPr>
              <w:br/>
              <w:t>Irreversibility notice (displayed at consent time): "Once your anonymized data has been included in a published study, it cannot be individually withdrawn from that dataset — this is a fundamental property of k-anonymized aggregate data. However, because NeuroPulse anonymises your data fresh from your device for each new study, withdrawing consent immediately and permanently stops any further data flowing to any future dataset — including data from sessions that occurred before your withdrawal. Your historical sessions remain on your device under your sole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Per-category and per-project process applies. Not a lesser choice — equal in NeuroPulse's treatment.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L4 — Results + community</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Would you like to hear study results? Would you like to join the suggestion portal?</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Plain-language results notification per contributed study (including null results) + paper link. Access to suggestion/voting/pledge/crowdfunding portal. Suggestions visible to researcher community.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results contact. No portal access. Both changeable at any time in Settings → Research + Privacy.</w:t>
            </w:r>
          </w:p>
          <w:p>
            <w:r>
              <w:rPr>
                <w:b w:val="0"/>
                <w:sz w:val="18"/>
              </w:rPr>
              <w:br/>
              <w:t>Results notification closes the loop for all enrolled participants — including null results. Users who withdrew consent still receive results for studies they previously participated in (notification-only, no new data).</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bl>
    <w:p>
      <w:r>
        <w:br w:type="page"/>
      </w:r>
    </w:p>
    <w:p>
      <w:pPr>
        <w:pStyle w:val="Heading1"/>
        <w:spacing w:after="120" w:before="320"/>
      </w:pPr>
      <w:r>
        <w:rPr>
          <w:rFonts w:ascii="Arial" w:cs="Arial" w:eastAsia="Arial" w:hAnsi="Arial"/>
          <w:b/>
          <w:bCs/>
          <w:color w:val="0F6E56"/>
          <w:sz w:val="34"/>
          <w:szCs w:val="34"/>
        </w:rPr>
        <w:t xml:space="preserve">4. Configurations + Pricing</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800"/>
        <w:gridCol w:w="700"/>
        <w:gridCol w:w="3000"/>
        <w:gridCol w:w="4280"/>
      </w:tblGrid>
      <w:tr>
        <w:tc>
          <w:tcPr>
            <w:tcW w:type="dxa" w:w="15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Configuration</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est.</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COGS</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Retail</w:t>
            </w:r>
          </w:p>
        </w:tc>
        <w:tc>
          <w:tcPr>
            <w:tcW w:type="dxa" w:w="7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GM%</w:t>
            </w:r>
          </w:p>
        </w:tc>
        <w:tc>
          <w:tcPr>
            <w:tcW w:type="dxa" w:w="3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Included modalities + key items</w:t>
            </w:r>
          </w:p>
        </w:tc>
        <w:tc>
          <w:tcPr>
            <w:tcW w:type="dxa" w:w="3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customer + justification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Core — EEG 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$165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$255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$449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4-ch EEG · all connectivity (USB-C/BT/Wi-Fi) · EMF shielding (palladium fabric) · full processor stack · 8GB eMMC · hard clamshell case · interface covers (installed + spare set) · braided aramid cable · 45W GaN charger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Cautious entry buyer. Neurofeedback baseline. B2B modular base unit. Establishes field upgrade path.</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Lite</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$365</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Core + PBM 5 zones (660+810nm, 600 LEDs FPC, 400 mW/cm² peak pulsed) · 8-ch EEG · VNS+HRV auricular clip (A1/A2 EEG references included)</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Wellness-focused consumer. First meaningful PBM config. Targets Neuronic/Vielight alternative seekers below $600.</w:t>
            </w:r>
          </w:p>
        </w:tc>
      </w:tr>
      <w:tr>
        <w:tc>
          <w:tcPr>
            <w:tcW w:type="dxa" w:w="15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Home Standard ★</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$395</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$530</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$849</w:t>
            </w:r>
          </w:p>
        </w:tc>
        <w:tc>
          <w:tcPr>
            <w:tcW w:type="dxa" w:w="7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38%</w:t>
            </w:r>
          </w:p>
        </w:tc>
        <w:tc>
          <w:tcPr>
            <w:tcW w:type="dxa" w:w="30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modalities: PBM 600 LEDs · intranasal bilateral 2λ 3-depth · 8-ch EEG · BES · tDCS · VNS+HRV · audio cups (planar + bone conduction) · standard lens (35% VLT, 108 micro-LEDs/lens) · S1 opaque shade · all covers · hard case</w:t>
            </w:r>
          </w:p>
        </w:tc>
        <w:tc>
          <w:tcPr>
            <w:tcW w:type="dxa" w:w="348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flagship. Biohacker 35–65. All T1 modalities. 50× more transcranial LEDs than Vielight at 17% of price. Primary marketing SKU. Full SHDR fleet telemetry + maintenance predictions.</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Premium</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$450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$610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$1,199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EC lens upgrade (5–75% VLT bistable, +$89 value) · 2yr warranty · priority support · NeuroPulse-branded 45W GaN charger</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High-income buyer, premium lens day-one. Highest T1 gross margin. EC lens + palladium fabric as premium differentiators.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Pro Entry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$820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$1,350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$4,999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73%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+ 21-ch qEEG wet gel (FC3/FC4/Oz/A1/A2) · 1170nm deep PBM LDs + TEC · clinical tACS ≤4mA 16-ch · HIPAA cloud · EDF+ · sLORETA source imaging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Neurology clinic, concussion rehab, academic PI (IRB exemption seeding). CPT 90867–90869 TMS eligible as add-on.</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Pro Full</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$1,480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$13,999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All T2: Pro Entry + TMS focal figure-8 coil hub · multi-patient dashboard · research mode · LSL streaming · scripting API · FHIR R4 EHR · anonymized session tag for clinical multi-patient · $1,800/yr service</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Academic medical center, psychiatry clinic, neuromodulation research lab. Same-day loaner via service contract. Highest absolute gross margin.</w:t>
            </w:r>
          </w:p>
        </w:tc>
      </w:tr>
    </w:tbl>
    <w:p>
      <w:r>
        <w:br w:type="page"/>
      </w:r>
    </w:p>
    <w:p>
      <w:pPr>
        <w:pStyle w:val="Heading1"/>
        <w:spacing w:after="120" w:before="320"/>
      </w:pPr>
      <w:r>
        <w:rPr>
          <w:rFonts w:ascii="Arial" w:cs="Arial" w:eastAsia="Arial" w:hAnsi="Arial"/>
          <w:b/>
          <w:bCs/>
          <w:color w:val="0F6E56"/>
          <w:sz w:val="34"/>
          <w:szCs w:val="34"/>
        </w:rPr>
        <w:t xml:space="preserve">5. Durability + Maintenance Engineering</w:t>
      </w:r>
    </w:p>
    <w:p>
      <w:pPr>
        <w:spacing w:after="0" w:before="40"/>
      </w:pPr>
      <w:r>
        <w:t xml:space="preserve"/>
      </w:r>
    </w:p>
    <w:p>
      <w:pPr>
        <w:pStyle w:val="Heading2"/>
        <w:spacing w:after="90" w:before="240"/>
      </w:pPr>
      <w:r>
        <w:rPr>
          <w:rFonts w:ascii="Arial" w:cs="Arial" w:eastAsia="Arial" w:hAnsi="Arial"/>
          <w:b/>
          <w:bCs/>
          <w:color w:val="534AB7"/>
          <w:sz w:val="24"/>
          <w:szCs w:val="24"/>
        </w:rPr>
        <w:t xml:space="preserve">5.1 All design changes — status and impact</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7080"/>
      </w:tblGrid>
      <w:tr>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Change</w:t>
            </w:r>
          </w:p>
        </w:tc>
        <w:tc>
          <w:tcPr>
            <w:tcW w:type="dxa" w:w="9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Status</w:t>
            </w:r>
          </w:p>
        </w:tc>
        <w:tc>
          <w:tcPr>
            <w:tcW w:type="dxa" w:w="11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delta</w:t>
            </w:r>
          </w:p>
        </w:tc>
        <w:tc>
          <w:tcPr>
            <w:tcW w:type="dxa" w:w="7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Rationale + tooling timing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ITO → AgNW (silver nanowire) conductive lens coating</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+$8–12/lens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ITO has 0.5% strain-to-failure — cracks on any flex or point impact. AgNW tolerates 5–10% flex, compatible with hard coat overlay, maintains 85–90% transmission. Must specify before lens tooling is cut.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Hard clamshell case replaces soft pouch</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PRE-PRODUCTION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+$8–14</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Lens scratching from bag contents certain within first month without case. Molded case includes headset form, lens support, probe dock, accessories tray. Doubles as shipping container.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Intranasal probe hub dock (molded)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Hub retool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Probe dropped probe-first fractures Y-junction. Hub dock is only reliable storage. Cannot be retrofitted — must be in hub tooling from day one.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Palladium-coated EMF shielding fabric</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+$6/headset</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Silver tarnishes 12–18 months daily sweat use. Palladium immune to tarnishing for device lifetime. Fleet SHDR shielding attenuation data will demonstrate stable performance over years — measurable, publishable marketing claim.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Reference photodiode per zone (behind PDMS window)</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 total (5 zones)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Detects LED output drift AND window fouling simultaneously. Eliminates 3-year service center calibration visit entirely. Most important single maintenance engineering decision.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Braided aramid USB-C cable + dual silicone strain relief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+$3–4/cable</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Commodity cables fail at strain relief within 6–18 months. Braided aramid rated 50,000+ flex cycles. Spare in box. Most-handled component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MagSafe hard gold contact faces (&gt;0.5µm cobalt-alloyed)</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Oxidised contacts raise resistance → power throttling during sessions. Hard gold resists wear 10× better than soft gold. 10,000-cycle rating at full current.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22F supercapacitor (from 10F)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+$1.80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Allows 50% capacitance degradation over 5 years while maintaining transient absorption. Hub NTC monitors temperature for aging estimation.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Dual-bank OTA firmware architecture</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PRE-FIRMWARE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 (software)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Failed update bricking is 100% manufacturer-caused. Bank A runs while Bank B staged. Boot switches only after cryptographic hash verification. USB-C DFU recovery if both banks corrupted.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Industrial eMMC (SLC cache, 30,000+ P/E) + LittleFS</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COMPONENT SELECTION</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+$2.40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Consumer eMMC (1,000–3,000 P/E) may fail within 3–5 years at daily use. LittleFS manages bad blocks gracefully. Firmware partition write-protected.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Zone slot connectors: 1,000-cycle rated (Molex SlimStack)</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+$2.00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connectors rated 100–500 cycles — inadequate for modular users. Specify before PCB layout.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Interface protection covers (all tethered)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+$8–9 total</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Zone plugs (Shore 30A silicone, 5 colours, IP54). Port covers (TPE + steel disc + silicone fins). Lens rim guards (Shore 85A TPU, clear). Anchor posts molded into shell at zero cost if specified before first cut.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Audio cup user-replaceable snap-in mesh frame</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+$0.60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Earwax degrades both acoustic and RF shielding functions simultaneously. Snap-in frame enables user cleaning and annual replacement ($9.99/pair).</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Sliding rail lens mount (user self-install)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Eliminates lens alignment jig requirement. User slides damaged lens out, new lens in, clips retention tab. App validates via EC transition + micro-LED test. Eliminates Tier A installation service visits.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Lever-actuated ZIF connectors for zone modules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PRE-PCB LAYOUT</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Included in connector upgrade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ZIF requires tools and care. Lever-actuated ZIF with supplied lever tool enables user zone module self-service.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Automated nightly UHDR backup (incremental)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PRE-LAUNCH SOFTWARE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When on USB-C power, silently encrypts and pushes new UHDRs to backup destination. Failure becomes hardware swap not data loss. Eliminates most data recovery service events.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N52 → N42 magnets in lens rim</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−$0.80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N52 brittle under corner impact. N42 significantly more impact-tolerant with adequate holding force at slightly larger format.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ADS1299 internal reference self-calibration at session start</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FIRMWARE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Routes internal reference to all channels, measures gain/offset, applies correction coefficients. Eliminates EEG amplitude drift over device lifetime. Coefficients logged in SHDR.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Plasma-activated PDMS (anti-fouling) for optical windows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Minimal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Hydrophilic surface repels sebum fouling. Standard microfluidics treatment. Same material, surface treatment at manufacture.</w:t>
            </w:r>
          </w:p>
        </w:tc>
      </w:tr>
      <w:tr>
        <w:tc>
          <w:tcPr/>
          <w:p>
            <w:r>
              <w:rPr>
                <w:b/>
                <w:sz w:val="18"/>
              </w:rPr>
              <w:t xml:space="preserve">Second scalp-side photodiode PD2 per zone (RISK-14 Option B)</w:t>
            </w:r>
          </w:p>
        </w:tc>
        <w:tc>
          <w:tcPr>
            <w:shd w:val="clear" w:color="auto" w:fill="FCE4D6"/>
          </w:tcPr>
          <w:p>
            <w:r>
              <w:rPr>
                <w:sz w:val="18"/>
              </w:rPr>
              <w:t xml:space="preserve">PRE-TOOLING CRITICAL</w:t>
            </w:r>
          </w:p>
        </w:tc>
        <w:tc>
          <w:tcPr/>
          <w:p>
            <w:r>
              <w:rPr>
                <w:sz w:val="18"/>
              </w:rPr>
              <w:t xml:space="preserve">+$0.75–1.50/headset total</w:t>
            </w:r>
          </w:p>
        </w:tc>
        <w:tc>
          <w:tcPr/>
          <w:p>
            <w:r>
              <w:rPr>
                <w:sz w:val="18"/>
              </w:rPr>
              <w:t>Co-located on scalp-facing PDMS surface (pin 19 = PD2_CATHODE). PD1/PD2 ratio in firmware isolates PDMS fouling (PD1↓, PD2 stable) from LED aging (both↓ proportional). Eliminates service ambiguity single-PD could not resolve. T1 and T2 use identical zone module mold — firmware flag only.</w:t>
            </w:r>
          </w:p>
        </w:tc>
      </w:tr>
      <w:tr>
        <w:tc>
          <w:tcPr/>
          <w:p>
            <w:r>
              <w:rPr>
                <w:b/>
                <w:sz w:val="18"/>
              </w:rPr>
              <w:t xml:space="preserve">Five-layer zone module keying (RISK-15)</w:t>
            </w:r>
          </w:p>
        </w:tc>
        <w:tc>
          <w:tcPr>
            <w:shd w:val="clear" w:color="auto" w:fill="FCE4D6"/>
          </w:tcPr>
          <w:p>
            <w:r>
              <w:rPr>
                <w:sz w:val="18"/>
              </w:rPr>
              <w:t xml:space="preserve">PRE-TOOLING CRITICAL</w:t>
            </w:r>
          </w:p>
        </w:tc>
        <w:tc>
          <w:tcPr/>
          <w:p>
            <w:r>
              <w:rPr>
                <w:sz w:val="18"/>
              </w:rPr>
              <w:t xml:space="preserve">Included in tooling</w:t>
            </w:r>
          </w:p>
        </w:tc>
        <w:tc>
          <w:tcPr/>
          <w:p>
            <w:r>
              <w:rPr>
                <w:sz w:val="18"/>
              </w:rPr>
              <w:t>Layer 1: asymmetric mechanical key per zone (physically prevents mis-insertion). Layer 2: ZONE_ID resistor (ZM-01=10kΩ → ZM-05=220kΩ, 1%, pin 18; Hub ADC reads before ENABLE). Layer 3: ISO 17049 braille zone abbreviation + raised numeral on module body. Layer 4: N tactile dots on shell adjacent to each zone slot. Layer 5: bone conduction audio confirms zone name on insertion. Covers color-blind AND blind users. ZONE_ID firmware: 3×ADC at 100ms, ≥2/3 pass required (RISK-18 debounce).</w:t>
            </w:r>
          </w:p>
        </w:tc>
      </w:tr>
      <w:tr>
        <w:tc>
          <w:tcPr/>
          <w:p>
            <w:r>
              <w:rPr>
                <w:b/>
                <w:sz w:val="18"/>
              </w:rPr>
              <w:t>Self-sealing co-molded silicone gasket per zone module (RISK-16 Option A)</w:t>
            </w:r>
          </w:p>
        </w:tc>
        <w:tc>
          <w:tcPr>
            <w:shd w:val="clear" w:color="auto" w:fill="FCE4D6"/>
          </w:tcPr>
          <w:p>
            <w:r>
              <w:rPr>
                <w:sz w:val="18"/>
              </w:rPr>
              <w:t xml:space="preserve">PRE-TOOLING CRITICAL</w:t>
            </w:r>
          </w:p>
        </w:tc>
        <w:tc>
          <w:tcPr/>
          <w:p>
            <w:r>
              <w:rPr>
                <w:sz w:val="18"/>
              </w:rPr>
              <w:t xml:space="preserve">+$0.30–0.60/module</w:t>
            </w:r>
          </w:p>
        </w:tc>
        <w:tc>
          <w:tcPr/>
          <w:p>
            <w:r>
              <w:rPr>
                <w:sz w:val="18"/>
              </w:rPr>
              <w:t>Shore 40–50A UV-stable medical-grade silicone (ISO 10993-5), D-section 2.5mm × 2.0mm, co-molded with mechanical retention groove + silicone primer. Provides IPX4 seal at zone module interface with no user RTV or re-sealing. 20% compression (0.4mm deflection) when seated. FAI-IPX-02 BLOCKING: IPX4 must pass after 10 field swap cycles before production.</w:t>
            </w:r>
          </w:p>
        </w:tc>
      </w:tr>
      <w:tr>
        <w:tc>
          <w:tcPr/>
          <w:p>
            <w:r>
              <w:rPr>
                <w:b/>
                <w:sz w:val="18"/>
              </w:rPr>
              <w:t xml:space="preserve">Zone module sliding eject lever (RISK-22 Option A)</w:t>
            </w:r>
          </w:p>
        </w:tc>
        <w:tc>
          <w:tcPr>
            <w:shd w:val="clear" w:color="auto" w:fill="FCE4D6"/>
          </w:tcPr>
          <w:p>
            <w:r>
              <w:rPr>
                <w:sz w:val="18"/>
              </w:rPr>
              <w:t xml:space="preserve">PRE-TOOLING CRITICAL</w:t>
            </w:r>
          </w:p>
        </w:tc>
        <w:tc>
          <w:tcPr/>
          <w:p>
            <w:r>
              <w:rPr>
                <w:sz w:val="18"/>
              </w:rPr>
              <w:t xml:space="preserve">+$0.40/module</w:t>
            </w:r>
          </w:p>
        </w:tc>
        <w:tc>
          <w:tcPr/>
          <w:p>
            <w:r>
              <w:rPr>
                <w:sz w:val="18"/>
              </w:rPr>
              <w:t>10–12mm lever arm, 3:1 mechanical advantage, reduces extraction force from 2–4 N to ≤1 N at lever tip. Recessed flush when closed; snap-fit detent (0.3–0.5 N release) prevents accidental ejection. 316SS hinge pin press-fit into molded boss. FAI-A15 HFE test: 5 subjects with Parkinson's (Hoehn &amp; Yahr II–III) or post-stroke weakness; ≤10 s extraction, ≤2 attempts.</w:t>
            </w:r>
          </w:p>
        </w:tc>
      </w:tr>
      <w:tr>
        <w:tc>
          <w:tcPr/>
          <w:p>
            <w:r>
              <w:rPr>
                <w:b/>
                <w:sz w:val="18"/>
              </w:rPr>
              <w:t xml:space="preserve">Multi-FPC bundle management inside shell (RISK-17)</w:t>
            </w:r>
          </w:p>
        </w:tc>
        <w:tc>
          <w:tcPr>
            <w:shd w:val="clear" w:color="auto" w:fill="FCE4D6"/>
          </w:tcPr>
          <w:p>
            <w:r>
              <w:rPr>
                <w:sz w:val="18"/>
              </w:rPr>
              <w:t xml:space="preserve">PRE-TOOLING CRITICAL</w:t>
            </w:r>
          </w:p>
        </w:tc>
        <w:tc>
          <w:tcPr/>
          <w:p>
            <w:r>
              <w:rPr>
                <w:sz w:val="18"/>
              </w:rPr>
              <w:t xml:space="preserve">$0 (routing discipline)</w:t>
            </w:r>
          </w:p>
        </w:tc>
        <w:tc>
          <w:tcPr/>
          <w:p>
            <w:r>
              <w:rPr>
                <w:sz w:val="18"/>
              </w:rPr>
              <w:t xml:space="preserve">≥2mm separation between adjacent zone module FPCs (DRC-16). ≥15mm separation between FPC bundle and EEG electrode cables, or grounded 35µm Al foil barrier (DRC-18). 3 anchor bosses per FPC at ≥80mm intervals. All 5 Hub ZIF connectors on same PCB edge. Specified in NP-DRV-SHELL-001 §2.3.</w:t>
            </w:r>
          </w:p>
        </w:tc>
      </w:tr>
      <w:tr>
        <w:tc>
          <w:tcPr/>
          <w:p>
            <w:r>
              <w:rPr>
                <w:b/>
                <w:sz w:val="18"/>
              </w:rPr>
              <w:t xml:space="preserve">EEG electrode cable routing channel in shell (RISK-21)</w:t>
            </w:r>
          </w:p>
        </w:tc>
        <w:tc>
          <w:tcPr>
            <w:shd w:val="clear" w:color="auto" w:fill="FCE4D6"/>
          </w:tcPr>
          <w:p>
            <w:r>
              <w:rPr>
                <w:sz w:val="18"/>
              </w:rPr>
              <w:t xml:space="preserve">PRE-TOOLING CRITICAL</w:t>
            </w:r>
          </w:p>
        </w:tc>
        <w:tc>
          <w:tcPr/>
          <w:p>
            <w:r>
              <w:rPr>
                <w:sz w:val="18"/>
              </w:rPr>
              <w:t xml:space="preserve">$0 (tooling)</w:t>
            </w:r>
          </w:p>
        </w:tc>
        <w:tc>
          <w:tcPr/>
          <w:p>
            <w:r>
              <w:rPr>
                <w:sz w:val="18"/>
              </w:rPr>
              <w:t>Dedicated 8×5mm molded channel on outer CFRP inner surface, opposite side from FPC bundle. Provides ≥15mm separation from zone module FPCs. 3 snap-in cable retention clips at 80mm intervals. Must be in shell tooling spec before first cut. Specified in NP-DRV-SHELL-001 §2.4. OI-09: ME to produce routing diagram before G2 gate.</w:t>
            </w:r>
          </w:p>
        </w:tc>
      </w:tr>
      <w:tr>
        <w:tc>
          <w:tcPr/>
          <w:p>
            <w:r>
              <w:rPr>
                <w:b/>
                <w:sz w:val="18"/>
              </w:rPr>
              <w:t xml:space="preserve">PDMS–PI SiO₂ interlayer bonding process (RISK-04)</w:t>
            </w:r>
          </w:p>
        </w:tc>
        <w:tc>
          <w:tcPr>
            <w:shd w:val="clear" w:color="auto" w:fill="FCE4D6"/>
          </w:tcPr>
          <w:p>
            <w:r>
              <w:rPr>
                <w:sz w:val="18"/>
              </w:rPr>
              <w:t xml:space="preserve">PRE-TOOLING CRITICAL</w:t>
            </w:r>
          </w:p>
        </w:tc>
        <w:tc>
          <w:tcPr/>
          <w:p>
            <w:r>
              <w:rPr>
                <w:sz w:val="18"/>
              </w:rPr>
              <w:t xml:space="preserve">Process cost (CAT-C supplier)</w:t>
            </w:r>
          </w:p>
        </w:tc>
        <w:tc>
          <w:tcPr/>
          <w:p>
            <w:r>
              <w:rPr>
                <w:sz w:val="18"/>
              </w:rPr>
              <w:t xml:space="preserve">75 nm RF magnetron sputtered SiO₂ on PI coverlay + O₂ plasma activation (100 W / 30 sccm / 60 s) of both surfaces. Bond within 10 min of plasma. Cure 120°C / 2 hr / 50 g/cm². Achieves 174–860 N/m peel force (vs 7–12 N/m without interlayer). 200-cycle IEC 60068-2-14 thermal cycling qualification (−10°C/+65°C) BLOCKING before any production FPCs. Batch peel ≥150 N/m per lot. NP-FAI-ZM-001 §3e.</w:t>
            </w:r>
          </w:p>
        </w:tc>
      </w:tr>
    </w:tbl>
    <w:p>
      <w:r>
        <w:br w:type="page"/>
      </w:r>
    </w:p>
    <w:p>
      <w:pPr>
        <w:pStyle w:val="Heading1"/>
        <w:spacing w:after="120" w:before="320"/>
      </w:pPr>
      <w:r>
        <w:rPr>
          <w:rFonts w:ascii="Arial" w:cs="Arial" w:eastAsia="Arial" w:hAnsi="Arial"/>
          <w:b/>
          <w:bCs/>
          <w:color w:val="0F6E56"/>
          <w:sz w:val="34"/>
          <w:szCs w:val="34"/>
        </w:rPr>
        <w:t xml:space="preserve">6. Service Network</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1200"/>
        <w:gridCol w:w="1200"/>
        <w:gridCol w:w="2680"/>
      </w:tblGrid>
      <w:tr>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Tier</w:t>
            </w:r>
          </w:p>
        </w:tc>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Examples</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Service tasks</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Certification</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Equipment cost</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Revenue/yr at scale</w:t>
            </w:r>
          </w:p>
        </w:tc>
        <w:tc>
          <w:tcPr>
            <w:tcW w:type="dxa" w:w="2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Launch timing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A — Optical centers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LensCrafters · Pearle Vision · Independent opticians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S3 Rx clip manufacture + fitting (primary) · Lens replacement (standard + EC) · Calibration (reference surface, app-guided)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4-hr initial · 1-hr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$400–600 loaned calibration reference + $80–120 alignment jig (eliminated by sliding rail — jig becomes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$8K–35K/yr at scale</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Year 1 — already engaged via S3 Rx program. Anchor of entire network.</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Tier B — Electronics repair</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uBreakiFix / Asurion · iFixit partners · Independent repair shops</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module FPC swap · Hub fan replacement · DFU firmware recovery · eMMC data recovery · Impact inspection · Fluxgate calibration (Helmholtz coil reference)</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6-hr initial · 2-hr annual practical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Existing ESD workstation + eMMC recovery adapter ($150–200) + NeuroPulse DFU software (downloaded)</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$4K–18K/yr at scale</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Year 2 — major metros first, expand with fleet. Becomes primary for electronic failures.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C — Retail triage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Best Buy Geek Squad · Apple Authorized Service Providers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Warranty intake + triage · Routing to Tier A/B · Consumable sales · DFU if trained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2-hr initial · 30-min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partner app access only. Consumable 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$1K–7K/yr (triage fee + consumable margin)</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1–2 broadly — legitimacy signal, geographic coverage, routing function.</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NeuroPulse Depot</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Mail-in backstop for all cases local partners cannot handle</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tasks. T2 same-day loaner. eMMC specialist recovery. Fluxgate precision calibration.</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NeuroPulse internal training</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equipment in-house</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Highest margin per task — backstop role not primary channel</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Day 1 — required before any device ships.</w:t>
            </w:r>
          </w:p>
        </w:tc>
      </w:tr>
    </w:tbl>
    <w:p>
      <w:r>
        <w:br w:type="page"/>
      </w:r>
    </w:p>
    <w:p>
      <w:pPr>
        <w:pStyle w:val="Heading1"/>
        <w:spacing w:after="120" w:before="320"/>
      </w:pPr>
      <w:r>
        <w:rPr>
          <w:rFonts w:ascii="Arial" w:cs="Arial" w:eastAsia="Arial" w:hAnsi="Arial"/>
          <w:b/>
          <w:bCs/>
          <w:color w:val="0F6E56"/>
          <w:sz w:val="34"/>
          <w:szCs w:val="34"/>
        </w:rPr>
        <w:t xml:space="preserve">7. Remaining Weaknesses + Open Risks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680"/>
      </w:tblGrid>
      <w:tr>
        <w:tc>
          <w:tcPr>
            <w:tcW w:type="dxa" w:w="12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Severity</w:t>
            </w:r>
          </w:p>
        </w:tc>
        <w:tc>
          <w:tcPr>
            <w:tcW w:type="dxa" w:w="20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Issue</w:t>
            </w:r>
          </w:p>
        </w:tc>
        <w:tc>
          <w:tcPr>
            <w:tcW w:type="dxa" w:w="868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Current status + mitigation</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Zero published clinical trials — 35-trial gap vs Vielight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Every clinical adoption decision, press mention, and regulatory discussion will reference Vielight's 35+ RCTs against NeuroPulse's zero. SBIR Phase I + academic seeding strategy is correct but takes 2–3 years to produce published data. PRIORITY: Commission SBIR Phase I immediately. First contacts: Rashidi-Ranjbar (Toronto PBM MCI RCT), Jog (UCLA HD-tDCS), Naeser (VA Boston TBI/PTSD). The 33-entry bibliography supports 'consistent with established evidence on each component modality' framing at launch.</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400 mW/cm² regulatory opinion not yet obtained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This number cannot appear in any public-facing material, investor deck, or product spec sheet until outside regulatory counsel confirms it is consistent with FDA-exempt wellness positioning and does not implicitly adopt Vielight's medical indications under FTC implied claim doctrine. Commission immediately: $8,000–15,000, 3–5 weeks. Until opinion is in hand, all materials must use '200 mW/cm²' or omit irradiance entirely.</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'NeuroPulse' is an uncleared placeholder name</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Trademark search and clearance in US, EU, Canada, Australia required before any external conversation — researcher outreach, investor pitch, crowdfunding design, regulatory filing. Budget $15,000–25,000. If name conflicts, better to know now than after any public exposure.</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Scientific Advisory Board not formed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Device markets multi-modal 40Hz neuromodulation without any SAB credentialing. Priority: Li-Huei Tsai (MIT, 40Hz GENUS founder) as SAB member — NOT trial PI (Cognito conflict). Contact: 617-324-0305. Glen Jeffery (UCL, retinal PBM) and Margaret Naeser (VA Boston) also natural SAB candidates. 5-person SAB: $50,000–80,000/yr. Must be announced before or concurrent with clinical researcher outreach.</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Vulnerable population edge cases in research consent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Depression/PTSD category patients who contribute data and later wish to withdraw may not understand that already-anonymized data cannot be removed from an ongoing study. Withdrawal flow must disclose at per-project consent: 'Once your anonymized data is included in a study, individual withdrawal is not possible — future contributions can always be stopped.' Required by research ethics (Common Rule) and must appear in consent document before IRB approval of any study using this platform.</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45W GaN charger not universally available</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therapeutic PBM requires 45W USB-C PD. Users with only a 5V/2A phone charger get EEG-only mode. Decision: include branded 45W GaN charger in Home Standard box ($8–12 BOM). App clearly communicates 'power level: full therapeutic' vs 'power level: reduced' at session start. Eliminates friction at first use.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Fluxgate calibration still requires service center visit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eliminates PBM calibration visits. NTC cross-calibration and ADS1299 self-cal eliminate temperature and EEG drift. But fluxgate sensitivity drift (scale factor) requires a Helmholtz test coil providing a known field magnitude — not achievable via geomagnetic comparison alone. Residual requirement: Tier B service center every 3–5 years. Mitigated by: geomagnetic comparison detecting when drift is severe enough to schedule, fleet SHDR trend prediction giving non-urgent lead time, 3–5 year interval being long enough for Tier B network to be well-established first.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iOS/Android OS updates can disrupt app function</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Annual major iOS/Android releases can break USB accessory APIs, background execution, or health APIs without warning. Committed mitigation: participate in Apple/Google developer beta programmes, 7-day OS compatibility SLA, autonomous Mode 3 operation (pre-programmed session from power bank) as structural fallback when app is temporarily broken. This cannot be fully designed away — it is a dependency on platform vendors.</w:t>
            </w:r>
          </w:p>
        </w:tc>
      </w:tr>
      <w:tr>
        <w:tc>
          <w:tcPr>
            <w:shd w:val="clear" w:color="auto" w:fill="FCE4D6"/>
          </w:tcPr>
          <w:p>
            <w:r>
              <w:rPr>
                <w:b/>
                <w:sz w:val="18"/>
              </w:rPr>
              <w:t xml:space="preserve">HIGH (OPEN)</w:t>
            </w:r>
          </w:p>
        </w:tc>
        <w:tc>
          <w:tcPr>
            <w:shd w:val="clear" w:color="auto" w:fill="FCE4D6"/>
          </w:tcPr>
          <w:p>
            <w:r>
              <w:rPr>
                <w:sz w:val="18"/>
              </w:rPr>
              <w:t>CFRP shell slot rim surface finish (Ra ≤ 1.6 µm) — RISK-20</w:t>
              <w:br/>
              <w:t>Molded CFRP typically achieves Ra 1.6–3.2 µm. Gasket seal (RISK-16) requires Ra ≤ 1.6 µm at slot rim. Gap between achievable and required finish is unconfirmed.</w:t>
            </w:r>
          </w:p>
        </w:tc>
        <w:tc>
          <w:tcPr>
            <w:shd w:val="clear" w:color="auto" w:fill="FCE4D6"/>
          </w:tcPr>
          <w:p>
            <w:r>
              <w:rPr>
                <w:sz w:val="18"/>
              </w:rPr>
              <w:t xml:space="preserve">BLOCKING — tooling cannot be released until CFRP tooling supplier provides written confirmation (letter + Ra measurement data from representative coupon) that Ra ≤ 1.6 µm is achievable. If Ra &gt; 1.6 µm: escalate to ME + EE; gasket geometry or shell design must be revised. Tracked in NP-PROC-SUP-001 SUP-M-07/SUP-B-01 and §9.</w:t>
            </w:r>
          </w:p>
        </w:tc>
      </w:tr>
    </w:tbl>
    <w:p>
      <w:r>
        <w:br w:type="page"/>
      </w:r>
    </w:p>
    <w:p>
      <w:pPr>
        <w:pStyle w:val="Heading1"/>
        <w:spacing w:after="120" w:before="320"/>
      </w:pPr>
      <w:r>
        <w:rPr>
          <w:rFonts w:ascii="Arial" w:cs="Arial" w:eastAsia="Arial" w:hAnsi="Arial"/>
          <w:b/>
          <w:bCs/>
          <w:color w:val="0F6E56"/>
          <w:sz w:val="34"/>
          <w:szCs w:val="34"/>
        </w:rPr>
        <w:t xml:space="preserve">8. Open Items + Completed Decisions</w:t>
      </w:r>
    </w:p>
    <w:p>
      <w:pPr>
        <w:pStyle w:val="Heading2"/>
        <w:spacing w:after="90" w:before="240"/>
      </w:pPr>
      <w:r>
        <w:rPr>
          <w:rFonts w:ascii="Arial" w:cs="Arial" w:eastAsia="Arial" w:hAnsi="Arial"/>
          <w:b/>
          <w:bCs/>
          <w:color w:val="534AB7"/>
          <w:sz w:val="24"/>
          <w:szCs w:val="24"/>
        </w:rPr>
        <w:t xml:space="preserve">8.1 Pending decisions — action required before first tooling cut</w:t>
      </w:r>
    </w:p>
    <w:p>
      <w:pPr>
        <w:spacing w:after="0" w:before="60"/>
      </w:pPr>
      <w:r>
        <w:t xml:space="preserve"/>
      </w:r>
    </w:p>
    <w:p>
      <w:r>
        <w:rPr>
          <w:sz w:val="20"/>
        </w:rPr>
        <w:t>• LED emitter pulse current rating verification (660nm + 808–830nm at 120–180mA)</w:t>
      </w:r>
    </w:p>
    <w:p>
      <w:r>
        <w:rPr>
          <w:sz w:val="20"/>
        </w:rPr>
        <w:t>• SAB formation — Tsai outreach first (617-324-0305, SAB role only)</w:t>
      </w:r>
    </w:p>
    <w:p>
      <w:r>
        <w:rPr>
          <w:sz w:val="20"/>
        </w:rPr>
        <w:t>• First researcher contact: Rashidi-Ranjbar, then Jog, then Naeser</w:t>
      </w:r>
    </w:p>
    <w:p>
      <w:r>
        <w:rPr>
          <w:sz w:val="20"/>
        </w:rPr>
        <w:t>• SBIR Phase I application — initiate at company formation</w:t>
      </w:r>
    </w:p>
    <w:p>
      <w:r>
        <w:rPr>
          <w:sz w:val="20"/>
        </w:rPr>
        <w:t>• Partner optician network contract (S3 Rx program)</w:t>
      </w:r>
    </w:p>
    <w:p>
      <w:r>
        <w:rPr>
          <w:sz w:val="20"/>
        </w:rPr>
        <w:t>• Dual-bank OTA bootloader — must be in bootloader from first firmware line</w:t>
      </w:r>
    </w:p>
    <w:p>
      <w:r>
        <w:rPr>
          <w:sz w:val="20"/>
        </w:rPr>
        <w:t>• eMMC partition architecture + UHDR/SHDR separate encryption — before first firmware line</w:t>
      </w:r>
    </w:p>
    <w:p>
      <w:r>
        <w:rPr>
          <w:sz w:val="20"/>
        </w:rPr>
        <w:t>• Goggle arm tooling: anchor hook for lens rim guard tether</w:t>
      </w:r>
    </w:p>
    <w:p>
      <w:r>
        <w:rPr>
          <w:sz w:val="20"/>
        </w:rPr>
        <w:t>• Lens tooling: sliding rail + N42 magnet positions (≥1mm polymer wall) + AgNW spec + hard coat + EC driver contacts</w:t>
      </w:r>
    </w:p>
    <w:p>
      <w:r>
        <w:rPr>
          <w:sz w:val="20"/>
        </w:rPr>
        <w:t>• Shell tooling: anchor posts (5 zone + 3 port positions, color-coded) + EEG cable routing channel (§2.4)</w:t>
      </w:r>
    </w:p>
    <w:p>
      <w:r>
        <w:rPr>
          <w:sz w:val="20"/>
        </w:rPr>
        <w:t>• Hub tooling: intranasal probe dock + anchor posts for all interface covers + large-radius Boa cable channel + tool-free fan</w:t>
      </w:r>
    </w:p>
    <w:p>
      <w:r>
        <w:rPr>
          <w:sz w:val="20"/>
        </w:rPr>
        <w:t>• EEG cable routing path in shell CAD model (NP-DRV-SHELL-001 §2.4 OI-09 — required for DRC-18 verification)</w:t>
      </w:r>
    </w:p>
    <w:p>
      <w:r>
        <w:rPr>
          <w:sz w:val="20"/>
        </w:rPr>
        <w:t>• HFE formative study for sliding eject lever — 5 subjects with Parkinson's/post-stroke grip weakness (NP-FAI-ZM-001 FAI-A15, NP-TOOL-ZM-001 OI-4)</w:t>
      </w:r>
    </w:p>
    <w:p>
      <w:r>
        <w:rPr>
          <w:sz w:val="20"/>
        </w:rPr>
        <w:t>• ZONE_ID firmware debounce specification written into firmware requirements document (3×ADC at 100ms, ≥2/3 pass — RISK-18)</w:t>
      </w:r>
    </w:p>
    <w:p>
      <w:r>
        <w:rPr>
          <w:sz w:val="20"/>
        </w:rPr>
        <w:t>• Zone module mold design review — NP-TOOL-ZM-001 §5 checklist (all 8 features F-01 through F-08) signed off before steel cut</w:t>
      </w:r>
    </w:p>
    <w:p>
      <w:r>
        <w:rPr>
          <w:sz w:val="20"/>
        </w:rPr>
        <w:t>• Zone module FPC layout freeze — PD2 component position must be locked before mold aperture (F-04 in NP-TOOL-ZM-001) can be specified</w:t>
      </w:r>
    </w:p>
    <w:p>
      <w:r>
        <w:rPr>
          <w:sz w:val="20"/>
        </w:rPr>
        <w:t>• PDMS CAT-C supplier selection + IEC 60068-2-14 200-cycle thermal cycling qualification passed (RISK-04 — BLOCKING before any production FPCs built). NP-FAI-ZM-001 FAI-TC02 must be on file.</w:t>
      </w:r>
    </w:p>
    <w:p>
      <w:r>
        <w:rPr>
          <w:sz w:val="20"/>
        </w:rPr>
        <w:t>• CFRP shell slot rim Ra ≤ 1.6 µm — written confirmation from tooling supplier with Ra measurement data (RISK-20 — BLOCKING for tooling release). Supplier qualification item: NP-PROC-SUP-001 SUP-M-07.</w:t>
      </w:r>
    </w:p>
    <w:p>
      <w:r>
        <w:rPr>
          <w:sz w:val="20"/>
        </w:rPr>
        <w:t>• 400 mW/cm² regulatory opinion letter (RISK-03 — BLOCKING for all public material referencing irradiance)</w:t>
      </w:r>
    </w:p>
    <w:p>
      <w:r>
        <w:rPr>
          <w:sz w:val="20"/>
        </w:rPr>
        <w:t>• Product name trademark search and clearance (US/EU/CA/AU) — before ANY external conversation</w:t>
      </w:r>
    </w:p>
    <w:p>
      <w:pPr>
        <w:pStyle w:val="Heading2"/>
        <w:spacing w:after="90" w:before="240"/>
      </w:pPr>
      <w:r>
        <w:rPr>
          <w:rFonts w:ascii="Arial" w:cs="Arial" w:eastAsia="Arial" w:hAnsi="Arial"/>
          <w:b/>
          <w:bCs/>
          <w:color w:val="534AB7"/>
          <w:sz w:val="24"/>
          <w:szCs w:val="24"/>
        </w:rPr>
        <w:t xml:space="preserve">8.2 Completed decisions — locked</w:t>
      </w:r>
    </w:p>
    <w:p>
      <w:pPr>
        <w:pStyle w:val="ListParagraph"/>
        <w:numPr>
          <w:ilvl w:val="0"/>
          <w:numId w:val="2"/>
        </w:numPr>
        <w:spacing w:after="35" w:before="35"/>
      </w:pPr>
      <w:r>
        <w:rPr>
          <w:rFonts w:ascii="Arial" w:cs="Arial" w:eastAsia="Arial" w:hAnsi="Arial"/>
          <w:color w:val="1A1A2E"/>
          <w:sz w:val="18"/>
          <w:szCs w:val="18"/>
        </w:rPr>
        <w:t xml:space="preserve">Two-tier product strategy (T1 consumer wellness / T2 clinical) with shared platform</w:t>
      </w:r>
    </w:p>
    <w:p>
      <w:pPr>
        <w:pStyle w:val="ListParagraph"/>
        <w:numPr>
          <w:ilvl w:val="0"/>
          <w:numId w:val="2"/>
        </w:numPr>
        <w:spacing w:after="35" w:before="35"/>
      </w:pPr>
      <w:r>
        <w:rPr>
          <w:rFonts w:ascii="Arial" w:cs="Arial" w:eastAsia="Arial" w:hAnsi="Arial"/>
          <w:color w:val="1A1A2E"/>
          <w:sz w:val="18"/>
          <w:szCs w:val="18"/>
        </w:rPr>
        <w:t xml:space="preserve">600 LEDs (300×660nm + 300×808–830nm) FPC zone modules from launch — no Rev A/Rev B split</w:t>
      </w:r>
    </w:p>
    <w:p>
      <w:pPr>
        <w:pStyle w:val="ListParagraph"/>
        <w:numPr>
          <w:ilvl w:val="0"/>
          <w:numId w:val="2"/>
        </w:numPr>
        <w:spacing w:after="35" w:before="35"/>
      </w:pPr>
      <w:r>
        <w:rPr>
          <w:rFonts w:ascii="Arial" w:cs="Arial" w:eastAsia="Arial" w:hAnsi="Arial"/>
          <w:color w:val="1A1A2E"/>
          <w:sz w:val="18"/>
          <w:szCs w:val="18"/>
        </w:rPr>
        <w:t xml:space="preserve">400 mW/cm² peak pulsed via firmware duty cycle (Path A, $0 hardware) — pending regulatory opinion</w:t>
      </w:r>
    </w:p>
    <w:p>
      <w:pPr>
        <w:pStyle w:val="ListParagraph"/>
        <w:numPr>
          <w:ilvl w:val="0"/>
          <w:numId w:val="2"/>
        </w:numPr>
        <w:spacing w:after="35" w:before="35"/>
      </w:pPr>
      <w:r>
        <w:rPr>
          <w:rFonts w:ascii="Arial" w:cs="Arial" w:eastAsia="Arial" w:hAnsi="Arial"/>
          <w:color w:val="1A1A2E"/>
          <w:sz w:val="18"/>
          <w:szCs w:val="18"/>
        </w:rPr>
        <w:t xml:space="preserve">21-channel EEG: FC3, FC4, Oz, A1/A2 (on VNS clips) — full 10-20 + auricular references</w:t>
      </w:r>
    </w:p>
    <w:p>
      <w:pPr>
        <w:pStyle w:val="ListParagraph"/>
        <w:numPr>
          <w:ilvl w:val="0"/>
          <w:numId w:val="2"/>
        </w:numPr>
        <w:spacing w:after="35" w:before="35"/>
      </w:pPr>
      <w:r>
        <w:rPr>
          <w:rFonts w:ascii="Arial" w:cs="Arial" w:eastAsia="Arial" w:hAnsi="Arial"/>
          <w:color w:val="1A1A2E"/>
          <w:sz w:val="18"/>
          <w:szCs w:val="18"/>
        </w:rPr>
        <w:t xml:space="preserve">STM32G071 safety MCU (not G031 — SRAM error corrected) — +$0.45 BOM</w:t>
      </w:r>
    </w:p>
    <w:p>
      <w:pPr>
        <w:pStyle w:val="ListParagraph"/>
        <w:numPr>
          <w:ilvl w:val="0"/>
          <w:numId w:val="2"/>
        </w:numPr>
        <w:spacing w:after="35" w:before="35"/>
      </w:pPr>
      <w:r>
        <w:rPr>
          <w:rFonts w:ascii="Arial" w:cs="Arial" w:eastAsia="Arial" w:hAnsi="Arial"/>
          <w:color w:val="1A1A2E"/>
          <w:sz w:val="18"/>
          <w:szCs w:val="18"/>
        </w:rPr>
        <w:t xml:space="preserve">No NFC anywhere — optical code + resistive pogo authentication</w:t>
      </w:r>
    </w:p>
    <w:p>
      <w:pPr>
        <w:pStyle w:val="ListParagraph"/>
        <w:numPr>
          <w:ilvl w:val="0"/>
          <w:numId w:val="2"/>
        </w:numPr>
        <w:spacing w:after="35" w:before="35"/>
      </w:pPr>
      <w:r>
        <w:rPr>
          <w:rFonts w:ascii="Arial" w:cs="Arial" w:eastAsia="Arial" w:hAnsi="Arial"/>
          <w:color w:val="1A1A2E"/>
          <w:sz w:val="18"/>
          <w:szCs w:val="18"/>
        </w:rPr>
        <w:t xml:space="preserve">USB-C wired-first default, BT/Wi-Fi toggle, antennas in hub not headset</w:t>
      </w:r>
    </w:p>
    <w:p>
      <w:pPr>
        <w:pStyle w:val="ListParagraph"/>
        <w:numPr>
          <w:ilvl w:val="0"/>
          <w:numId w:val="2"/>
        </w:numPr>
        <w:spacing w:after="35" w:before="35"/>
      </w:pPr>
      <w:r>
        <w:rPr>
          <w:rFonts w:ascii="Arial" w:cs="Arial" w:eastAsia="Arial" w:hAnsi="Arial"/>
          <w:color w:val="1A1A2E"/>
          <w:sz w:val="18"/>
          <w:szCs w:val="18"/>
        </w:rPr>
        <w:t xml:space="preserve">Boa-style dial + spring-decoupled electrode pods — one adult SKU 52–62cm</w:t>
      </w:r>
    </w:p>
    <w:p>
      <w:pPr>
        <w:pStyle w:val="ListParagraph"/>
        <w:numPr>
          <w:ilvl w:val="0"/>
          <w:numId w:val="2"/>
        </w:numPr>
        <w:spacing w:after="35" w:before="35"/>
      </w:pPr>
      <w:r>
        <w:rPr>
          <w:rFonts w:ascii="Arial" w:cs="Arial" w:eastAsia="Arial" w:hAnsi="Arial"/>
          <w:color w:val="1A1A2E"/>
          <w:sz w:val="18"/>
          <w:szCs w:val="18"/>
        </w:rPr>
        <w:t xml:space="preserve">5-layer passive EMF shielding + active Helmholtz cancellation + palladium fabric (permanent shielding claim)</w:t>
      </w:r>
    </w:p>
    <w:p>
      <w:pPr>
        <w:pStyle w:val="ListParagraph"/>
        <w:numPr>
          <w:ilvl w:val="0"/>
          <w:numId w:val="2"/>
        </w:numPr>
        <w:spacing w:after="35" w:before="35"/>
      </w:pPr>
      <w:r>
        <w:rPr>
          <w:rFonts w:ascii="Arial" w:cs="Arial" w:eastAsia="Arial" w:hAnsi="Arial"/>
          <w:color w:val="1A1A2E"/>
          <w:sz w:val="18"/>
          <w:szCs w:val="18"/>
        </w:rPr>
        <w:t xml:space="preserve">Auricular VNS clip = HRV PPG + A1/A2 EEG references (2 spare conductors in existing 6-pin cable)</w:t>
      </w:r>
    </w:p>
    <w:p>
      <w:r>
        <w:rPr>
          <w:sz w:val="18"/>
        </w:rPr>
        <w:t>HRV biofeedback protocol (software only, $0 BOM): resonance frequency breathing pacer (6 breaths/min default, personalized per user); real-time coherence score (LF peak / LF+HF power); four protocols: standalone coherence training, HRV+taVNS synchronized (stimulation timed to inspiration phase), HRV+EEG dual biofeedback, HRV+PBM simultaneous (replicates 2025 multi-modal RCT). Bone conduction delivers breathing cue. UHDR: HRV time series + session logs.</w:t>
      </w:r>
    </w:p>
    <w:p>
      <w:r>
        <w:rPr>
          <w:sz w:val="18"/>
        </w:rPr>
        <w:t>sLORETA-guided HD-tDCS (T2): 4×1 ring montage (center anode + 4 return cathodes); Ag/AgCl 3.5mm dual-rated electrodes in T2 qEEG cap; 16-ch tACS driver provides independent current sources (no additional stimulation hardware); sLORETA source map → MNI target → automatic 10-20 electrode mapping → personalized current distribution; 40µC/cm² safety MCU limit; ≤2mA/electrode; ~3–5× spatial focality vs standard tDCS. Evidence: Jog/UCLA 2025 (n=71, personalized HD-tDCS); BRIGhTMIND 2024 (n=255, personalized targeting outperforms fixed F3).</w:t>
      </w:r>
    </w:p>
    <w:p>
      <w:r>
        <w:rPr>
          <w:sz w:val="18"/>
        </w:rPr>
        <w:t xml:space="preserve">Cervical VNS (T2 accessory): neck-worn tcVNS module stimulating vagus trunk at carotid sheath; higher vagal activation than auricular branch; safety MCU owns enable with cardiac monitor interlock (auto-cutoff if HR changes &gt;15 BPM in 5s); 510(k) predicate = electroCore gammaCore K163334 (cluster headache) + K173323 (migraine); gel pad consumable; +$35–55 BOM. Indications: cluster headache, migraine, depression adjunct, post-stroke rehabilitation.</w:t>
      </w:r>
    </w:p>
    <w:p>
      <w:pPr>
        <w:pStyle w:val="ListParagraph"/>
        <w:numPr>
          <w:ilvl w:val="0"/>
          <w:numId w:val="2"/>
        </w:numPr>
        <w:spacing w:after="35" w:before="35"/>
      </w:pPr>
      <w:r>
        <w:rPr>
          <w:rFonts w:ascii="Arial" w:cs="Arial" w:eastAsia="Arial" w:hAnsi="Arial"/>
          <w:color w:val="1A1A2E"/>
          <w:sz w:val="18"/>
          <w:szCs w:val="18"/>
        </w:rPr>
        <w:t xml:space="preserve">Standard lens (35% VLT, 108 micro-LEDs/lens, S1 included) + EC premium (+$89, 5–75% VLT) + S3 Rx clip (both lenses)</w:t>
      </w:r>
    </w:p>
    <w:p>
      <w:pPr>
        <w:pStyle w:val="ListParagraph"/>
        <w:numPr>
          <w:ilvl w:val="0"/>
          <w:numId w:val="2"/>
        </w:numPr>
        <w:spacing w:after="35" w:before="35"/>
      </w:pPr>
      <w:r>
        <w:rPr>
          <w:rFonts w:ascii="Arial" w:cs="Arial" w:eastAsia="Arial" w:hAnsi="Arial"/>
          <w:color w:val="1A1A2E"/>
          <w:sz w:val="18"/>
          <w:szCs w:val="18"/>
        </w:rPr>
        <w:t xml:space="preserve">Internal processor retained ($85 BOM) — autonomous closed-loop is primary competitive moat</w:t>
      </w:r>
    </w:p>
    <w:p>
      <w:pPr>
        <w:pStyle w:val="ListParagraph"/>
        <w:numPr>
          <w:ilvl w:val="0"/>
          <w:numId w:val="2"/>
        </w:numPr>
        <w:spacing w:after="35" w:before="35"/>
      </w:pPr>
      <w:r>
        <w:rPr>
          <w:rFonts w:ascii="Arial" w:cs="Arial" w:eastAsia="Arial" w:hAnsi="Arial"/>
          <w:color w:val="1A1A2E"/>
          <w:sz w:val="18"/>
          <w:szCs w:val="18"/>
        </w:rPr>
        <w:t xml:space="preserve">UHDR/SHDR terminology framework — complete separation, never linked by design</w:t>
      </w:r>
    </w:p>
    <w:p>
      <w:pPr>
        <w:pStyle w:val="ListParagraph"/>
        <w:numPr>
          <w:ilvl w:val="0"/>
          <w:numId w:val="2"/>
        </w:numPr>
        <w:spacing w:after="35" w:before="35"/>
      </w:pPr>
      <w:r>
        <w:rPr>
          <w:rFonts w:ascii="Arial" w:cs="Arial" w:eastAsia="Arial" w:hAnsi="Arial"/>
          <w:color w:val="1A1A2E"/>
          <w:sz w:val="18"/>
          <w:szCs w:val="18"/>
        </w:rPr>
        <w:t xml:space="preserve">Clinical consent engine: use case library → minimum necessary data mapper → consent document generator</w:t>
      </w:r>
    </w:p>
    <w:p>
      <w:pPr>
        <w:pStyle w:val="ListParagraph"/>
        <w:numPr>
          <w:ilvl w:val="0"/>
          <w:numId w:val="2"/>
        </w:numPr>
        <w:spacing w:after="35" w:before="35"/>
      </w:pPr>
      <w:r>
        <w:rPr>
          <w:rFonts w:ascii="Arial" w:cs="Arial" w:eastAsia="Arial" w:hAnsi="Arial"/>
          <w:color w:val="1A1A2E"/>
          <w:sz w:val="18"/>
          <w:szCs w:val="18"/>
        </w:rPr>
        <w:t xml:space="preserve">Research partnership: a priori consent (contact/category/blanket), results opt-in, suggestion portal, crowdfunding</w:t>
      </w:r>
    </w:p>
    <w:p>
      <w:pPr>
        <w:pStyle w:val="ListParagraph"/>
        <w:numPr>
          <w:ilvl w:val="0"/>
          <w:numId w:val="2"/>
        </w:numPr>
        <w:spacing w:after="35" w:before="35"/>
      </w:pPr>
      <w:r>
        <w:rPr>
          <w:rFonts w:ascii="Arial" w:cs="Arial" w:eastAsia="Arial" w:hAnsi="Arial"/>
          <w:color w:val="1A1A2E"/>
          <w:sz w:val="18"/>
          <w:szCs w:val="18"/>
        </w:rPr>
        <w:t xml:space="preserve">POA workflow with human document review, jurisdiction flagging, annual re-verification</w:t>
      </w:r>
    </w:p>
    <w:p>
      <w:pPr>
        <w:pStyle w:val="ListParagraph"/>
        <w:numPr>
          <w:ilvl w:val="0"/>
          <w:numId w:val="2"/>
        </w:numPr>
        <w:spacing w:after="35" w:before="35"/>
      </w:pPr>
      <w:r>
        <w:rPr>
          <w:rFonts w:ascii="Arial" w:cs="Arial" w:eastAsia="Arial" w:hAnsi="Arial"/>
          <w:color w:val="1A1A2E"/>
          <w:sz w:val="18"/>
          <w:szCs w:val="18"/>
        </w:rPr>
        <w:t xml:space="preserve">Service network: Tier A optical (primary) + Tier B electronics + Tier C retail + depot backstop</w:t>
      </w:r>
    </w:p>
    <w:p>
      <w:pPr>
        <w:pStyle w:val="ListParagraph"/>
        <w:numPr>
          <w:ilvl w:val="0"/>
          <w:numId w:val="2"/>
        </w:numPr>
        <w:spacing w:after="35" w:before="35"/>
      </w:pPr>
      <w:r>
        <w:rPr>
          <w:rFonts w:ascii="Arial" w:cs="Arial" w:eastAsia="Arial" w:hAnsi="Arial"/>
          <w:color w:val="1A1A2E"/>
          <w:sz w:val="18"/>
          <w:szCs w:val="18"/>
        </w:rPr>
        <w:t xml:space="preserve">All interface protection covers tethered to headset, anchor posts in tooling</w:t>
      </w:r>
    </w:p>
    <w:p>
      <w:pPr>
        <w:pStyle w:val="ListParagraph"/>
        <w:numPr>
          <w:ilvl w:val="0"/>
          <w:numId w:val="2"/>
        </w:numPr>
        <w:spacing w:after="35" w:before="35"/>
      </w:pPr>
      <w:r>
        <w:rPr>
          <w:rFonts w:ascii="Arial" w:cs="Arial" w:eastAsia="Arial" w:hAnsi="Arial"/>
          <w:color w:val="1A1A2E"/>
          <w:sz w:val="18"/>
          <w:szCs w:val="18"/>
        </w:rPr>
        <w:t xml:space="preserve">Predictive maintenance: SHDR fleet database → fleet-trained RUL model → deployed back to devices via OTA</w:t>
      </w:r>
    </w:p>
    <w:p>
      <w:r>
        <w:rPr>
          <w:sz w:val="20"/>
        </w:rPr>
        <w:t>• Engineering documentation package complete: NP-HW-FPC-001, NP-PROC-FPC-001, NP-DRV-SHELL-001, NP-FAI-ZM-001, NP-COORD-001, NP-TOOL-ZM-001, NP-PROC-SUP-001</w:t>
      </w:r>
    </w:p>
    <w:p>
      <w:r>
        <w:rPr>
          <w:sz w:val="20"/>
        </w:rPr>
        <w:t>• Risk register complete: 24 risks (RISK-01 through RISK-24); 22 MITIGATED; 2 OPEN (RISK-03 regulatory opinion; RISK-20 CFRP Ra — both external, pending supplier/counsel)</w:t>
      </w:r>
    </w:p>
    <w:p>
      <w:r>
        <w:rPr>
          <w:sz w:val="20"/>
        </w:rPr>
        <w:t>• Multi-FPC bundle management: ≥2mm inter-FPC separation; ≥15mm FPC-to-EEG cable; 3 anchor bosses per FPC; all 5 Hub ZIF connectors on same PCB edge (RISK-17)</w:t>
      </w:r>
    </w:p>
    <w:p>
      <w:r>
        <w:rPr>
          <w:sz w:val="20"/>
        </w:rPr>
        <w:t>• EEG cable routing: dedicated 8×5mm channel on outer CFRP surface, ≥15mm separation from FPC bundle (RISK-21)</w:t>
      </w:r>
    </w:p>
    <w:p>
      <w:r>
        <w:rPr>
          <w:sz w:val="20"/>
        </w:rPr>
        <w:t>• PDMS bonding process: SiO₂ 75nm interlayer + O₂ plasma, ≥150 N/m peel; 200-cycle IEC 60068-2-14 qualification BLOCKING before production (RISK-04)</w:t>
      </w:r>
    </w:p>
    <w:p>
      <w:r>
        <w:rPr>
          <w:sz w:val="20"/>
        </w:rPr>
        <w:t>• ZONE_ID firmware debounce: 3× ADC reads at 100ms intervals, ≥2/3 must pass before FAULT (RISK-18)</w:t>
      </w:r>
    </w:p>
    <w:p>
      <w:r>
        <w:rPr>
          <w:sz w:val="20"/>
        </w:rPr>
        <w:t>• Sliding eject lever (RISK-22 Option A): 10–12mm arm, 3:1 mechanical advantage, ≤1N extraction force; accessibility target Parkinson's Hoehn &amp; Yahr II–III</w:t>
      </w:r>
    </w:p>
    <w:p>
      <w:r>
        <w:rPr>
          <w:sz w:val="20"/>
        </w:rPr>
        <w:t>• Self-sealing gasket (RISK-16 Option A): co-molded Shore 40–50A silicone, no user RTV, IPX4 rated after 10 field swap cycles</w:t>
      </w:r>
    </w:p>
    <w:p>
      <w:r>
        <w:rPr>
          <w:sz w:val="20"/>
        </w:rPr>
        <w:t>• Five-layer zone keying (RISK-15): mechanical key + ZONE_ID resistor + braille/numeral + tactile shell dots + bone conduction audio; works for color-blind and blind users</w:t>
      </w:r>
    </w:p>
    <w:p>
      <w:r>
        <w:rPr>
          <w:sz w:val="20"/>
        </w:rPr>
        <w:t>• Dual photodiode (RISK-14 Option B): PD2 on scalp-facing PDMS surface; PD1/PD2 ratio separates fouling from LED aging; T1 and T2 use identical zone module mold</w:t>
      </w:r>
    </w:p>
    <w:p>
      <w:r>
        <w:rPr>
          <w:sz w:val="20"/>
        </w:rPr>
        <w:t>• FPC 20-pin pinout locked: pin 18 = ZONE_ID (ZM-01=10kΩ → ZM-05=220kΩ, 1% 0402); pin 19 = PD2_CATHODE (scalp-side reference photodiode)</w:t>
      </w:r>
    </w:p>
    <w:p>
      <w:pPr>
        <w:pStyle w:val="ListParagraph"/>
        <w:numPr>
          <w:ilvl w:val="0"/>
          <w:numId w:val="2"/>
        </w:numPr>
        <w:spacing w:after="35" w:before="35"/>
      </w:pPr>
      <w:r>
        <w:rPr>
          <w:rFonts w:ascii="Arial" w:cs="Arial" w:eastAsia="Arial" w:hAnsi="Arial"/>
          <w:color w:val="1A1A2E"/>
          <w:sz w:val="18"/>
          <w:szCs w:val="18"/>
        </w:rPr>
        <w:t>Design brief Revision 1, Revision 2, bibliography (33 entries), researcher candidates (12), Revision 3, and this Revision 4 generated as Word documents</w:t>
      </w:r>
    </w:p>
    <w:sectPr>
      <w:headerReference w:type="default" r:id="rId8"/>
      <w:footerReference w:type="default" r:id="rId9"/>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neuropulse_design_brief_r5.docx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neuropulse_design_brief_r5.docx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9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2026-05-04T22:49:06.010Z</dcterms:created>
  <dcterms:modified xsi:type="dcterms:W3CDTF">2026-05-04T22:49:06.017Z</dcterms:modified>
</cp:coreProperties>
</file>

<file path=docProps/custom.xml><?xml version="1.0" encoding="utf-8"?>
<Properties xmlns="http://schemas.openxmlformats.org/officeDocument/2006/custom-properties" xmlns:vt="http://schemas.openxmlformats.org/officeDocument/2006/docPropsVTypes"/>
</file>