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rPr>
                <w:sz w:val="16"/>
              </w:rPr>
              <w:t xml:space="preserve">CLOSED — spec in NP-HW-FPC-001 §11.4; firmware req to be written</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 xml:space="preserve">OPEN — §2.4 in progress (RISK-21)</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rPr>
                <w:sz w:val="16"/>
              </w:rPr>
              <w:t xml:space="preserve">OPEN — firmware req to be written</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 xml:space="preserve">FPC layout freeze + PD2 aperture position (Issue #10): NP-HW-FPC-001 Rev D released with PD2 at X = 33.0 mm, Y = 39.0 mm. F-04 in NP-TOOL-ZM-001 updated. OI-3 closed. Enables mould design review (NP-TOOL-ZM-001 §5). DRC-18 CAD verification to follow at G2 (G2-11).</w:t>
            </w:r>
          </w:p>
        </w:tc>
        <w:tc>
          <w:tcPr>
            <w:tcW w:w="1584" w:type="dxa"/>
            <w:shd w:val="clear" w:color="auto" w:fill="E2EFDA"/>
          </w:tcPr>
          <w:p>
            <w:r>
              <w:rPr>
                <w:sz w:val="16"/>
              </w:rPr>
              <w:t xml:space="preserve">CLOSED — 2026-05-09</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 xml:space="preserve">OPEN — §2.4 in progress (RISK-21)</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