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003366"/>
          <w:sz w:val="22"/>
        </w:rPr>
        <w:t>NeuroPulse</w:t>
      </w:r>
    </w:p>
    <w:p>
      <w:pPr>
        <w:jc w:val="center"/>
      </w:pPr>
      <w:r>
        <w:rPr>
          <w:b/>
          <w:color w:val="003366"/>
          <w:sz w:val="34"/>
        </w:rPr>
        <w:t>Zone Module FPC — Procurement Requirements</w:t>
      </w:r>
    </w:p>
    <w:p>
      <w:pPr>
        <w:spacing w:after="40"/>
        <w:jc w:val="center"/>
      </w:pPr>
      <w:r>
        <w:rPr>
          <w:b/>
          <w:sz w:val="20"/>
        </w:rPr>
        <w:t xml:space="preserve">Document ID:  </w:t>
      </w:r>
      <w:r>
        <w:rPr>
          <w:sz w:val="20"/>
        </w:rPr>
        <w:t>NP-PROC-FPC-001</w:t>
      </w:r>
    </w:p>
    <w:p>
      <w:pPr>
        <w:spacing w:after="40"/>
        <w:jc w:val="center"/>
      </w:pPr>
      <w:r>
        <w:rPr>
          <w:b/>
          <w:sz w:val="20"/>
        </w:rPr>
        <w:t xml:space="preserve">Revision:  </w:t>
      </w:r>
      <w:r>
        <w:rPr>
          <w:sz w:val="20"/>
        </w:rPr>
        <w:t>A  —  2026-05-06</w:t>
      </w:r>
    </w:p>
    <w:p>
      <w:pPr>
        <w:spacing w:after="40"/>
        <w:jc w:val="center"/>
      </w:pPr>
      <w:r>
        <w:rPr>
          <w:b/>
          <w:sz w:val="20"/>
        </w:rPr>
        <w:t xml:space="preserve">Status:  </w:t>
      </w:r>
      <w:r>
        <w:rPr>
          <w:sz w:val="20"/>
        </w:rPr>
        <w:t>Active — must be reviewed before first purchase orders are placed</w:t>
      </w:r>
    </w:p>
    <w:p>
      <w:pPr>
        <w:spacing w:after="40"/>
        <w:jc w:val="center"/>
      </w:pPr>
      <w:r>
        <w:rPr>
          <w:b/>
          <w:sz w:val="20"/>
        </w:rPr>
        <w:t xml:space="preserve">Applies to:  </w:t>
      </w:r>
      <w:r>
        <w:rPr>
          <w:sz w:val="20"/>
        </w:rPr>
        <w:t>All components for Zone Module FPC (NP-HW-FPC-001 Rev C)</w:t>
      </w:r>
    </w:p>
    <w:p>
      <w:pPr>
        <w:spacing w:after="40"/>
        <w:jc w:val="center"/>
      </w:pPr>
      <w:r>
        <w:rPr>
          <w:b/>
          <w:sz w:val="20"/>
        </w:rPr>
        <w:t xml:space="preserve">Owner:  </w:t>
      </w:r>
      <w:r>
        <w:rPr>
          <w:sz w:val="20"/>
        </w:rPr>
        <w:t>Supply Chain / Hardware Engineering</w:t>
      </w:r>
    </w:p>
    <w:p>
      <w:pPr>
        <w:spacing w:after="40"/>
        <w:jc w:val="center"/>
      </w:pPr>
      <w:r>
        <w:rPr>
          <w:b/>
          <w:sz w:val="20"/>
        </w:rPr>
        <w:t xml:space="preserve">Risk register:  </w:t>
      </w:r>
      <w:r>
        <w:rPr>
          <w:sz w:val="20"/>
        </w:rPr>
        <w:t>NP-HW-FPC-001 Risk Register — items RISK-01, RISK-07, RISK-08 addressed here</w:t>
      </w:r>
    </w:p>
    <w:p>
      <w:pPr>
        <w:spacing w:before="200"/>
        <w:jc w:val="center"/>
      </w:pPr>
      <w:r>
        <w:rPr>
          <w:i/>
          <w:sz w:val="20"/>
        </w:rPr>
        <w:t>This document defines mandatory procurement specifications that must appear on purchase orders, supplier qualification letters, and incoming inspection instructions. Specifications not stated here that conflict with supplier defaults will result in non-conforming parts being delivered without notification.</w:t>
      </w:r>
    </w:p>
    <w:p>
      <w:r>
        <w:br w:type="page"/>
      </w:r>
    </w:p>
    <w:p>
      <w:pPr>
        <w:spacing w:before="280" w:after="80"/>
      </w:pPr>
      <w:r>
        <w:rPr>
          <w:b/>
          <w:color w:val="003366"/>
          <w:sz w:val="26"/>
        </w:rPr>
        <w:t>1.  SCOPE AND PURPOSE</w:t>
      </w:r>
    </w:p>
    <w:p>
      <w:pPr>
        <w:ind w:firstLine="288"/>
      </w:pPr>
      <w:r>
        <w:t>This document specifies procurement requirements for components used in the NeuroPulse Zone Module Flexible Printed Circuit (NP-HW-FPC-001). It exists because several component parameters critical to device performance and safety are not enforced by default supplier processes — they must be explicitly stated on purchase orders or they will not be controlled. Requirements are derived from risk analysis in the companion risk register (NP-HW-FPC-001 Risk Register Rev A).</w:t>
      </w:r>
    </w:p>
    <w:p>
      <w:pPr>
        <w:ind w:firstLine="288"/>
      </w:pPr>
      <w:r>
        <w:t>All specifications in this document are MANDATORY unless marked ADVISORY. A purchase order that omits a mandatory specification is non-conforming and must not be placed without written approval from the Hardware Engineering Lead.</w:t>
      </w:r>
    </w:p>
    <w:tbl>
      <w:tblPr>
        <w:tblStyle w:val="TableGrid"/>
        <w:tblW w:type="auto" w:w="0"/>
        <w:tblLook w:firstColumn="1" w:firstRow="1" w:lastColumn="0" w:lastRow="0" w:noHBand="0" w:noVBand="1" w:val="04A0"/>
      </w:tblPr>
      <w:tblGrid>
        <w:gridCol w:w="3120"/>
        <w:gridCol w:w="3120"/>
        <w:gridCol w:w="3120"/>
      </w:tblGrid>
      <w:tr>
        <w:tc>
          <w:tcPr>
            <w:tcW w:type="dxa" w:w="3456"/>
          </w:tcPr>
          <w:p>
            <w:pPr>
              <w:spacing w:after="0"/>
            </w:pPr>
            <w:r>
              <w:rPr>
                <w:b/>
                <w:sz w:val="19"/>
              </w:rPr>
              <w:t>Component category</w:t>
            </w:r>
          </w:p>
        </w:tc>
        <w:tc>
          <w:tcPr>
            <w:tcW w:type="dxa" w:w="2880"/>
          </w:tcPr>
          <w:p>
            <w:pPr>
              <w:spacing w:after="0"/>
            </w:pPr>
            <w:r>
              <w:rPr>
                <w:b/>
                <w:sz w:val="19"/>
              </w:rPr>
              <w:t>Risk register origin</w:t>
            </w:r>
          </w:p>
        </w:tc>
        <w:tc>
          <w:tcPr>
            <w:tcW w:type="dxa" w:w="1008"/>
          </w:tcPr>
          <w:p>
            <w:pPr>
              <w:spacing w:after="0"/>
            </w:pPr>
            <w:r>
              <w:rPr>
                <w:b/>
                <w:sz w:val="19"/>
              </w:rPr>
              <w:t>Section</w:t>
            </w:r>
          </w:p>
        </w:tc>
      </w:tr>
      <w:tr>
        <w:tc>
          <w:tcPr>
            <w:tcW w:type="dxa" w:w="3456"/>
          </w:tcPr>
          <w:p>
            <w:pPr>
              <w:spacing w:after="0"/>
            </w:pPr>
            <w:r>
              <w:rPr>
                <w:sz w:val="19"/>
              </w:rPr>
              <w:t>LED emitters — 660 nm and 808–830 nm</w:t>
            </w:r>
          </w:p>
        </w:tc>
        <w:tc>
          <w:tcPr>
            <w:tcW w:type="dxa" w:w="2880"/>
          </w:tcPr>
          <w:p>
            <w:pPr>
              <w:spacing w:after="0"/>
            </w:pPr>
            <w:r>
              <w:rPr>
                <w:sz w:val="19"/>
              </w:rPr>
              <w:t>RISK-08 (Vf binning)</w:t>
            </w:r>
          </w:p>
        </w:tc>
        <w:tc>
          <w:tcPr>
            <w:tcW w:type="dxa" w:w="1008"/>
          </w:tcPr>
          <w:p>
            <w:pPr>
              <w:spacing w:after="0"/>
            </w:pPr>
            <w:r>
              <w:rPr>
                <w:sz w:val="19"/>
              </w:rPr>
              <w:t>§2</w:t>
            </w:r>
          </w:p>
        </w:tc>
      </w:tr>
      <w:tr>
        <w:tc>
          <w:tcPr>
            <w:tcW w:type="dxa" w:w="3456"/>
          </w:tcPr>
          <w:p>
            <w:pPr>
              <w:spacing w:after="0"/>
            </w:pPr>
            <w:r>
              <w:rPr>
                <w:sz w:val="19"/>
              </w:rPr>
              <w:t>LED driver IC — Infineon BCR421W</w:t>
            </w:r>
          </w:p>
        </w:tc>
        <w:tc>
          <w:tcPr>
            <w:tcW w:type="dxa" w:w="2880"/>
          </w:tcPr>
          <w:p>
            <w:pPr>
              <w:spacing w:after="0"/>
            </w:pPr>
            <w:r>
              <w:rPr>
                <w:sz w:val="19"/>
              </w:rPr>
              <w:t>RISK-07 (variant confusion)</w:t>
            </w:r>
          </w:p>
        </w:tc>
        <w:tc>
          <w:tcPr>
            <w:tcW w:type="dxa" w:w="1008"/>
          </w:tcPr>
          <w:p>
            <w:pPr>
              <w:spacing w:after="0"/>
            </w:pPr>
            <w:r>
              <w:rPr>
                <w:sz w:val="19"/>
              </w:rPr>
              <w:t>§3</w:t>
            </w:r>
          </w:p>
        </w:tc>
      </w:tr>
      <w:tr>
        <w:tc>
          <w:tcPr>
            <w:tcW w:type="dxa" w:w="3456"/>
          </w:tcPr>
          <w:p>
            <w:pPr>
              <w:spacing w:after="0"/>
            </w:pPr>
            <w:r>
              <w:rPr>
                <w:sz w:val="19"/>
              </w:rPr>
              <w:t>Zone module connector — Hirose FH34S / JAE FF03</w:t>
            </w:r>
          </w:p>
        </w:tc>
        <w:tc>
          <w:tcPr>
            <w:tcW w:type="dxa" w:w="2880"/>
          </w:tcPr>
          <w:p>
            <w:pPr>
              <w:spacing w:after="0"/>
            </w:pPr>
            <w:r>
              <w:rPr>
                <w:sz w:val="19"/>
              </w:rPr>
              <w:t>RISK-01 (wrong connector family)</w:t>
            </w:r>
          </w:p>
        </w:tc>
        <w:tc>
          <w:tcPr>
            <w:tcW w:type="dxa" w:w="1008"/>
          </w:tcPr>
          <w:p>
            <w:pPr>
              <w:spacing w:after="0"/>
            </w:pPr>
            <w:r>
              <w:rPr>
                <w:sz w:val="19"/>
              </w:rPr>
              <w:t>§4</w:t>
            </w:r>
          </w:p>
        </w:tc>
      </w:tr>
      <w:tr>
        <w:tc>
          <w:tcPr>
            <w:tcW w:type="dxa" w:w="3456"/>
          </w:tcPr>
          <w:p>
            <w:pPr>
              <w:spacing w:after="0"/>
            </w:pPr>
            <w:r>
              <w:rPr>
                <w:sz w:val="19"/>
              </w:rPr>
              <w:t>FPC fabrication — copper type and weight</w:t>
            </w:r>
          </w:p>
        </w:tc>
        <w:tc>
          <w:tcPr>
            <w:tcW w:type="dxa" w:w="2880"/>
          </w:tcPr>
          <w:p>
            <w:pPr>
              <w:spacing w:after="0"/>
            </w:pPr>
            <w:r>
              <w:rPr>
                <w:sz w:val="19"/>
              </w:rPr>
              <w:t>RISK-02 (current capacity), RISK-10 (ED vs RA)</w:t>
            </w:r>
          </w:p>
        </w:tc>
        <w:tc>
          <w:tcPr>
            <w:tcW w:type="dxa" w:w="1008"/>
          </w:tcPr>
          <w:p>
            <w:pPr>
              <w:spacing w:after="0"/>
            </w:pPr>
            <w:r>
              <w:rPr>
                <w:sz w:val="19"/>
              </w:rPr>
              <w:t>§5</w:t>
            </w:r>
          </w:p>
        </w:tc>
      </w:tr>
      <w:tr>
        <w:tc>
          <w:tcPr>
            <w:tcW w:type="dxa" w:w="3456"/>
          </w:tcPr>
          <w:p>
            <w:pPr>
              <w:spacing w:after="0"/>
            </w:pPr>
            <w:r>
              <w:rPr>
                <w:sz w:val="19"/>
              </w:rPr>
              <w:t>PDMS optical window material</w:t>
            </w:r>
          </w:p>
        </w:tc>
        <w:tc>
          <w:tcPr>
            <w:tcW w:type="dxa" w:w="2880"/>
          </w:tcPr>
          <w:p>
            <w:pPr>
              <w:spacing w:after="0"/>
            </w:pPr>
            <w:r>
              <w:rPr>
                <w:sz w:val="19"/>
              </w:rPr>
              <w:t>RISK-04 (CTE delamination)</w:t>
            </w:r>
          </w:p>
        </w:tc>
        <w:tc>
          <w:tcPr>
            <w:tcW w:type="dxa" w:w="1008"/>
          </w:tcPr>
          <w:p>
            <w:pPr>
              <w:spacing w:after="0"/>
            </w:pPr>
            <w:r>
              <w:rPr>
                <w:sz w:val="19"/>
              </w:rPr>
              <w:t>§6</w:t>
            </w:r>
          </w:p>
        </w:tc>
      </w:tr>
      <w:tr>
        <w:tc>
          <w:tcPr>
            <w:tcW w:type="dxa" w:w="3456"/>
          </w:tcPr>
          <w:p>
            <w:pPr>
              <w:spacing w:after="0"/>
            </w:pPr>
            <w:r>
              <w:rPr>
                <w:sz w:val="19"/>
              </w:rPr>
              <w:t>Incoming inspection requirements</w:t>
            </w:r>
          </w:p>
        </w:tc>
        <w:tc>
          <w:tcPr>
            <w:tcW w:type="dxa" w:w="2880"/>
          </w:tcPr>
          <w:p>
            <w:pPr>
              <w:spacing w:after="0"/>
            </w:pPr>
            <w:r>
              <w:rPr>
                <w:sz w:val="19"/>
              </w:rPr>
              <w:t>All above</w:t>
            </w:r>
          </w:p>
        </w:tc>
        <w:tc>
          <w:tcPr>
            <w:tcW w:type="dxa" w:w="1008"/>
          </w:tcPr>
          <w:p>
            <w:pPr>
              <w:spacing w:after="0"/>
            </w:pPr>
            <w:r>
              <w:rPr>
                <w:sz w:val="19"/>
              </w:rPr>
              <w:t>§7</w:t>
            </w:r>
          </w:p>
        </w:tc>
      </w:tr>
    </w:tbl>
    <w:p/>
    <w:p>
      <w:pPr>
        <w:spacing w:before="280" w:after="80"/>
      </w:pPr>
      <w:r>
        <w:rPr>
          <w:b/>
          <w:color w:val="003366"/>
          <w:sz w:val="26"/>
        </w:rPr>
        <w:t>2.  LED EMITTERS — 660 nm AND 808–830 nm</w:t>
      </w:r>
    </w:p>
    <w:p>
      <w:pPr>
        <w:ind w:left="288"/>
      </w:pPr>
      <w:r>
        <w:rPr>
          <w:i/>
          <w:color w:val="CC4400"/>
          <w:sz w:val="19"/>
        </w:rPr>
        <w:t>⚠  RISK-08 (HIGH): Commodity LED emitters ship in Vf bins of ±0.20–0.30 V as standard. This width causes current imbalance between parallel strings even with per-string constant-current drivers, reducing dose accuracy and accelerating premature LED failure. The specifications below MUST appear on every purchase order.</w:t>
      </w:r>
    </w:p>
    <w:p>
      <w:pPr>
        <w:spacing w:before="200" w:after="60"/>
      </w:pPr>
      <w:r>
        <w:rPr>
          <w:b/>
          <w:color w:val="003366"/>
          <w:sz w:val="22"/>
        </w:rPr>
        <w:t>2.1  Forward Voltage (Vf) Bin Specification</w:t>
      </w:r>
    </w:p>
    <w:p>
      <w:pPr>
        <w:ind w:firstLine="288"/>
      </w:pPr>
      <w:r>
        <w:t>This is the most critical procurement specification in this document. Vf bin width directly determines current matching between LED strings. Wide bins cause current hogging even when per-string constant-current drivers are used, because the driver's compliance headroom is consumed unevenly across strings.</w:t>
      </w:r>
    </w:p>
    <w:tbl>
      <w:tblPr>
        <w:tblStyle w:val="TableGrid"/>
        <w:tblW w:type="auto" w:w="0"/>
        <w:tblLook w:firstColumn="1" w:firstRow="1" w:lastColumn="0" w:lastRow="0" w:noHBand="0" w:noVBand="1" w:val="04A0"/>
      </w:tblPr>
      <w:tblGrid>
        <w:gridCol w:w="3120"/>
        <w:gridCol w:w="3120"/>
        <w:gridCol w:w="3120"/>
      </w:tblGrid>
      <w:tr>
        <w:tc>
          <w:tcPr>
            <w:tcW w:type="dxa" w:w="4032"/>
          </w:tcPr>
          <w:p>
            <w:pPr>
              <w:spacing w:after="0"/>
            </w:pPr>
            <w:r>
              <w:rPr>
                <w:b/>
                <w:sz w:val="19"/>
              </w:rPr>
              <w:t>Parameter</w:t>
            </w:r>
          </w:p>
        </w:tc>
        <w:tc>
          <w:tcPr>
            <w:tcW w:type="dxa" w:w="2592"/>
          </w:tcPr>
          <w:p>
            <w:pPr>
              <w:spacing w:after="0"/>
            </w:pPr>
            <w:r>
              <w:rPr>
                <w:b/>
                <w:sz w:val="19"/>
              </w:rPr>
              <w:t>660 nm LED</w:t>
            </w:r>
          </w:p>
        </w:tc>
        <w:tc>
          <w:tcPr>
            <w:tcW w:type="dxa" w:w="2592"/>
          </w:tcPr>
          <w:p>
            <w:pPr>
              <w:spacing w:after="0"/>
            </w:pPr>
            <w:r>
              <w:rPr>
                <w:b/>
                <w:sz w:val="19"/>
              </w:rPr>
              <w:t>808–830 nm LED</w:t>
            </w:r>
          </w:p>
        </w:tc>
      </w:tr>
      <w:tr>
        <w:tc>
          <w:tcPr>
            <w:tcW w:type="dxa" w:w="4032"/>
          </w:tcPr>
          <w:p>
            <w:pPr>
              <w:spacing w:after="0"/>
            </w:pPr>
            <w:r>
              <w:rPr>
                <w:sz w:val="19"/>
              </w:rPr>
              <w:t>Nominal forward voltage at 150 mA, 25°C</w:t>
            </w:r>
          </w:p>
        </w:tc>
        <w:tc>
          <w:tcPr>
            <w:tcW w:type="dxa" w:w="2592"/>
          </w:tcPr>
          <w:p>
            <w:pPr>
              <w:spacing w:after="0"/>
            </w:pPr>
            <w:r>
              <w:rPr>
                <w:sz w:val="19"/>
              </w:rPr>
              <w:t>2.0–2.2 V (confirm from datasheet)</w:t>
            </w:r>
          </w:p>
        </w:tc>
        <w:tc>
          <w:tcPr>
            <w:tcW w:type="dxa" w:w="2592"/>
          </w:tcPr>
          <w:p>
            <w:pPr>
              <w:spacing w:after="0"/>
            </w:pPr>
            <w:r>
              <w:rPr>
                <w:sz w:val="19"/>
              </w:rPr>
              <w:t>1.6–1.8 V (confirm from datasheet)</w:t>
            </w:r>
          </w:p>
        </w:tc>
      </w:tr>
      <w:tr>
        <w:tc>
          <w:tcPr>
            <w:tcW w:type="dxa" w:w="4032"/>
          </w:tcPr>
          <w:p>
            <w:pPr>
              <w:spacing w:after="0"/>
            </w:pPr>
            <w:r>
              <w:rPr>
                <w:sz w:val="19"/>
              </w:rPr>
              <w:t>MAXIMUM Vf bin width — within a single purchase order</w:t>
            </w:r>
          </w:p>
        </w:tc>
        <w:tc>
          <w:tcPr>
            <w:tcW w:type="dxa" w:w="2592"/>
          </w:tcPr>
          <w:p>
            <w:pPr>
              <w:spacing w:after="0"/>
            </w:pPr>
            <w:r>
              <w:rPr>
                <w:sz w:val="19"/>
              </w:rPr>
              <w:t>± 0.10 V</w:t>
            </w:r>
          </w:p>
        </w:tc>
        <w:tc>
          <w:tcPr>
            <w:tcW w:type="dxa" w:w="2592"/>
          </w:tcPr>
          <w:p>
            <w:pPr>
              <w:spacing w:after="0"/>
            </w:pPr>
            <w:r>
              <w:rPr>
                <w:sz w:val="19"/>
              </w:rPr>
              <w:t>± 0.10 V</w:t>
            </w:r>
          </w:p>
        </w:tc>
      </w:tr>
      <w:tr>
        <w:tc>
          <w:tcPr>
            <w:tcW w:type="dxa" w:w="4032"/>
          </w:tcPr>
          <w:p>
            <w:pPr>
              <w:spacing w:after="0"/>
            </w:pPr>
            <w:r>
              <w:rPr>
                <w:sz w:val="19"/>
              </w:rPr>
              <w:t>MAXIMUM Vf bin width — between purchase orders (lot-to-lot)</w:t>
            </w:r>
          </w:p>
        </w:tc>
        <w:tc>
          <w:tcPr>
            <w:tcW w:type="dxa" w:w="2592"/>
          </w:tcPr>
          <w:p>
            <w:pPr>
              <w:spacing w:after="0"/>
            </w:pPr>
            <w:r>
              <w:rPr>
                <w:sz w:val="19"/>
              </w:rPr>
              <w:t>± 0.15 V</w:t>
            </w:r>
          </w:p>
        </w:tc>
        <w:tc>
          <w:tcPr>
            <w:tcW w:type="dxa" w:w="2592"/>
          </w:tcPr>
          <w:p>
            <w:pPr>
              <w:spacing w:after="0"/>
            </w:pPr>
            <w:r>
              <w:rPr>
                <w:sz w:val="19"/>
              </w:rPr>
              <w:t>± 0.15 V</w:t>
            </w:r>
          </w:p>
        </w:tc>
      </w:tr>
      <w:tr>
        <w:tc>
          <w:tcPr>
            <w:tcW w:type="dxa" w:w="4032"/>
          </w:tcPr>
          <w:p>
            <w:pPr>
              <w:spacing w:after="0"/>
            </w:pPr>
            <w:r>
              <w:rPr>
                <w:sz w:val="19"/>
              </w:rPr>
              <w:t>Vf measurement condition</w:t>
            </w:r>
          </w:p>
        </w:tc>
        <w:tc>
          <w:tcPr>
            <w:tcW w:type="dxa" w:w="2592"/>
          </w:tcPr>
          <w:p>
            <w:pPr>
              <w:spacing w:after="0"/>
            </w:pPr>
            <w:r>
              <w:rPr>
                <w:sz w:val="19"/>
              </w:rPr>
              <w:t>150 mA DC, junction at 25°C, 10 ms pulse to avoid self-heating</w:t>
            </w:r>
          </w:p>
        </w:tc>
        <w:tc>
          <w:tcPr>
            <w:tcW w:type="dxa" w:w="2592"/>
          </w:tcPr>
          <w:p>
            <w:pPr>
              <w:spacing w:after="0"/>
            </w:pPr>
            <w:r>
              <w:rPr>
                <w:sz w:val="19"/>
              </w:rPr>
              <w:t>Same</w:t>
            </w:r>
          </w:p>
        </w:tc>
      </w:tr>
      <w:tr>
        <w:tc>
          <w:tcPr>
            <w:tcW w:type="dxa" w:w="4032"/>
          </w:tcPr>
          <w:p>
            <w:pPr>
              <w:spacing w:after="0"/>
            </w:pPr>
            <w:r>
              <w:rPr>
                <w:sz w:val="19"/>
              </w:rPr>
              <w:t>Vf distribution data required with each lot</w:t>
            </w:r>
          </w:p>
        </w:tc>
        <w:tc>
          <w:tcPr>
            <w:tcW w:type="dxa" w:w="2592"/>
          </w:tcPr>
          <w:p>
            <w:pPr>
              <w:spacing w:after="0"/>
            </w:pPr>
            <w:r>
              <w:rPr>
                <w:sz w:val="19"/>
              </w:rPr>
              <w:t>Yes — mean, σ, min, max across sampled units</w:t>
            </w:r>
          </w:p>
        </w:tc>
        <w:tc>
          <w:tcPr>
            <w:tcW w:type="dxa" w:w="2592"/>
          </w:tcPr>
          <w:p>
            <w:pPr>
              <w:spacing w:after="0"/>
            </w:pPr>
            <w:r>
              <w:rPr>
                <w:sz w:val="19"/>
              </w:rPr>
              <w:t>Yes</w:t>
            </w:r>
          </w:p>
        </w:tc>
      </w:tr>
      <w:tr>
        <w:tc>
          <w:tcPr>
            <w:tcW w:type="dxa" w:w="4032"/>
          </w:tcPr>
          <w:p>
            <w:pPr>
              <w:spacing w:after="0"/>
            </w:pPr>
            <w:r>
              <w:rPr>
                <w:sz w:val="19"/>
              </w:rPr>
              <w:t>Minimum sample size for Vf distribution certificate</w:t>
            </w:r>
          </w:p>
        </w:tc>
        <w:tc>
          <w:tcPr>
            <w:tcW w:type="dxa" w:w="2592"/>
          </w:tcPr>
          <w:p>
            <w:pPr>
              <w:spacing w:after="0"/>
            </w:pPr>
            <w:r>
              <w:rPr>
                <w:sz w:val="19"/>
              </w:rPr>
              <w:t>50 units per delivery lot</w:t>
            </w:r>
          </w:p>
        </w:tc>
        <w:tc>
          <w:tcPr>
            <w:tcW w:type="dxa" w:w="2592"/>
          </w:tcPr>
          <w:p>
            <w:pPr>
              <w:spacing w:after="0"/>
            </w:pPr>
            <w:r>
              <w:rPr>
                <w:sz w:val="19"/>
              </w:rPr>
              <w:t>50 units per delivery lot</w:t>
            </w:r>
          </w:p>
        </w:tc>
      </w:tr>
    </w:tbl>
    <w:p/>
    <w:p>
      <w:pPr>
        <w:ind w:left="288"/>
      </w:pPr>
      <w:r>
        <w:rPr>
          <w:i/>
          <w:color w:val="CC4400"/>
          <w:sz w:val="19"/>
        </w:rPr>
        <w:t>⚠  The ±0.10 V within-order bin width is tighter than commodity specification. Major LED suppliers (Seoul Semiconductor, Osram, Luminus) can meet this with explicit PO specification — but it must be stated. Without it, the supplier ships from mixed bin stock. Confirm bin availability and any price premium before first order.</w:t>
      </w:r>
    </w:p>
    <w:p>
      <w:pPr>
        <w:spacing w:before="140"/>
      </w:pPr>
      <w:r>
        <w:rPr>
          <w:b/>
          <w:sz w:val="21"/>
        </w:rPr>
        <w:t>2.1.1  Purchase Order Language — Vf Bin</w:t>
      </w:r>
    </w:p>
    <w:p>
      <w:pPr>
        <w:ind w:firstLine="288"/>
      </w:pPr>
      <w:r>
        <w:t>The following text must appear verbatim in the "Special Requirements" or "Additional Specifications" section of every LED emitter purchase order:</w:t>
      </w:r>
    </w:p>
    <w:p>
      <w:pPr>
        <w:spacing w:before="120" w:after="120"/>
        <w:ind w:left="576" w:right="576"/>
      </w:pPr>
      <w:r>
        <w:rPr>
          <w:i/>
          <w:sz w:val="21"/>
        </w:rPr>
        <w:t>"All units in this order shall be from a single forward voltage (Vf) bin. Maximum Vf spread within the order: ±0.10 V, measured at [150 mA DC / 10 ms pulse / junction at 25°C]. Supplier must provide a Vf distribution certificate (mean, standard deviation, minimum, maximum) based on a minimum sample of 50 units from this lot. Orders shipped without a Vf distribution certificate will be rejected at incoming inspection."</w:t>
      </w:r>
    </w:p>
    <w:p>
      <w:pPr>
        <w:spacing w:before="200" w:after="60"/>
      </w:pPr>
      <w:r>
        <w:rPr>
          <w:b/>
          <w:color w:val="003366"/>
          <w:sz w:val="22"/>
        </w:rPr>
        <w:t>2.2  Wavelength Bin Specification</w:t>
      </w:r>
    </w:p>
    <w:tbl>
      <w:tblPr>
        <w:tblStyle w:val="TableGrid"/>
        <w:tblW w:type="auto" w:w="0"/>
        <w:tblLook w:firstColumn="1" w:firstRow="1" w:lastColumn="0" w:lastRow="0" w:noHBand="0" w:noVBand="1" w:val="04A0"/>
      </w:tblPr>
      <w:tblGrid>
        <w:gridCol w:w="3120"/>
        <w:gridCol w:w="3120"/>
        <w:gridCol w:w="3120"/>
      </w:tblGrid>
      <w:tr>
        <w:tc>
          <w:tcPr>
            <w:tcW w:type="dxa" w:w="4032"/>
          </w:tcPr>
          <w:p>
            <w:pPr>
              <w:spacing w:after="0"/>
            </w:pPr>
            <w:r>
              <w:rPr>
                <w:b/>
                <w:sz w:val="19"/>
              </w:rPr>
              <w:t>Parameter</w:t>
            </w:r>
          </w:p>
        </w:tc>
        <w:tc>
          <w:tcPr>
            <w:tcW w:type="dxa" w:w="2592"/>
          </w:tcPr>
          <w:p>
            <w:pPr>
              <w:spacing w:after="0"/>
            </w:pPr>
            <w:r>
              <w:rPr>
                <w:b/>
                <w:sz w:val="19"/>
              </w:rPr>
              <w:t>660 nm LED</w:t>
            </w:r>
          </w:p>
        </w:tc>
        <w:tc>
          <w:tcPr>
            <w:tcW w:type="dxa" w:w="2592"/>
          </w:tcPr>
          <w:p>
            <w:pPr>
              <w:spacing w:after="0"/>
            </w:pPr>
            <w:r>
              <w:rPr>
                <w:b/>
                <w:sz w:val="19"/>
              </w:rPr>
              <w:t>808–830 nm LED</w:t>
            </w:r>
          </w:p>
        </w:tc>
      </w:tr>
      <w:tr>
        <w:tc>
          <w:tcPr>
            <w:tcW w:type="dxa" w:w="4032"/>
          </w:tcPr>
          <w:p>
            <w:pPr>
              <w:spacing w:after="0"/>
            </w:pPr>
            <w:r>
              <w:rPr>
                <w:sz w:val="19"/>
              </w:rPr>
              <w:t>Peak wavelength range</w:t>
            </w:r>
          </w:p>
        </w:tc>
        <w:tc>
          <w:tcPr>
            <w:tcW w:type="dxa" w:w="2592"/>
          </w:tcPr>
          <w:p>
            <w:pPr>
              <w:spacing w:after="0"/>
            </w:pPr>
            <w:r>
              <w:rPr>
                <w:sz w:val="19"/>
              </w:rPr>
              <w:t>655–670 nm</w:t>
            </w:r>
          </w:p>
        </w:tc>
        <w:tc>
          <w:tcPr>
            <w:tcW w:type="dxa" w:w="2592"/>
          </w:tcPr>
          <w:p>
            <w:pPr>
              <w:spacing w:after="0"/>
            </w:pPr>
            <w:r>
              <w:rPr>
                <w:sz w:val="19"/>
              </w:rPr>
              <w:t>805–835 nm</w:t>
            </w:r>
          </w:p>
        </w:tc>
      </w:tr>
      <w:tr>
        <w:tc>
          <w:tcPr>
            <w:tcW w:type="dxa" w:w="4032"/>
          </w:tcPr>
          <w:p>
            <w:pPr>
              <w:spacing w:after="0"/>
            </w:pPr>
            <w:r>
              <w:rPr>
                <w:sz w:val="19"/>
              </w:rPr>
              <w:t>Maximum wavelength spread within order</w:t>
            </w:r>
          </w:p>
        </w:tc>
        <w:tc>
          <w:tcPr>
            <w:tcW w:type="dxa" w:w="2592"/>
          </w:tcPr>
          <w:p>
            <w:pPr>
              <w:spacing w:after="0"/>
            </w:pPr>
            <w:r>
              <w:rPr>
                <w:sz w:val="19"/>
              </w:rPr>
              <w:t>± 5 nm</w:t>
            </w:r>
          </w:p>
        </w:tc>
        <w:tc>
          <w:tcPr>
            <w:tcW w:type="dxa" w:w="2592"/>
          </w:tcPr>
          <w:p>
            <w:pPr>
              <w:spacing w:after="0"/>
            </w:pPr>
            <w:r>
              <w:rPr>
                <w:sz w:val="19"/>
              </w:rPr>
              <w:t>± 10 nm</w:t>
            </w:r>
          </w:p>
        </w:tc>
      </w:tr>
      <w:tr>
        <w:tc>
          <w:tcPr>
            <w:tcW w:type="dxa" w:w="4032"/>
          </w:tcPr>
          <w:p>
            <w:pPr>
              <w:spacing w:after="0"/>
            </w:pPr>
            <w:r>
              <w:rPr>
                <w:sz w:val="19"/>
              </w:rPr>
              <w:t>Measurement condition</w:t>
            </w:r>
          </w:p>
        </w:tc>
        <w:tc>
          <w:tcPr>
            <w:tcW w:type="dxa" w:w="2592"/>
          </w:tcPr>
          <w:p>
            <w:pPr>
              <w:spacing w:after="0"/>
            </w:pPr>
            <w:r>
              <w:rPr>
                <w:sz w:val="19"/>
              </w:rPr>
              <w:t>At 150 mA, 25°C junction temperature</w:t>
            </w:r>
          </w:p>
        </w:tc>
        <w:tc>
          <w:tcPr>
            <w:tcW w:type="dxa" w:w="2592"/>
          </w:tcPr>
          <w:p>
            <w:pPr>
              <w:spacing w:after="0"/>
            </w:pPr>
            <w:r>
              <w:rPr>
                <w:sz w:val="19"/>
              </w:rPr>
              <w:t>Same</w:t>
            </w:r>
          </w:p>
        </w:tc>
      </w:tr>
      <w:tr>
        <w:tc>
          <w:tcPr>
            <w:tcW w:type="dxa" w:w="4032"/>
          </w:tcPr>
          <w:p>
            <w:pPr>
              <w:spacing w:after="0"/>
            </w:pPr>
            <w:r>
              <w:rPr>
                <w:sz w:val="19"/>
              </w:rPr>
              <w:t>Wavelength certificate required</w:t>
            </w:r>
          </w:p>
        </w:tc>
        <w:tc>
          <w:tcPr>
            <w:tcW w:type="dxa" w:w="2592"/>
          </w:tcPr>
          <w:p>
            <w:pPr>
              <w:spacing w:after="0"/>
            </w:pPr>
            <w:r>
              <w:rPr>
                <w:sz w:val="19"/>
              </w:rPr>
              <w:t>Yes — peak λ mean and range</w:t>
            </w:r>
          </w:p>
        </w:tc>
        <w:tc>
          <w:tcPr>
            <w:tcW w:type="dxa" w:w="2592"/>
          </w:tcPr>
          <w:p>
            <w:pPr>
              <w:spacing w:after="0"/>
            </w:pPr>
            <w:r>
              <w:rPr>
                <w:sz w:val="19"/>
              </w:rPr>
              <w:t>Yes</w:t>
            </w:r>
          </w:p>
        </w:tc>
      </w:tr>
    </w:tbl>
    <w:p/>
    <w:p>
      <w:pPr>
        <w:ind w:left="288"/>
      </w:pPr>
      <w:r>
        <w:rPr>
          <w:i/>
          <w:sz w:val="19"/>
        </w:rPr>
        <w:t>Wavelength tolerance is less critical than Vf for current matching, but matters for dose metering calibration. The reference photodiode calibration coefficient (irradiance-per-unit photocurrent) is wavelength-dependent. If lot-to-lot wavelength shifts exceed ±10 nm, the factory calibration coefficient must be recalculated for that lot.</w:t>
      </w:r>
    </w:p>
    <w:p>
      <w:pPr>
        <w:spacing w:before="200" w:after="60"/>
      </w:pPr>
      <w:r>
        <w:rPr>
          <w:b/>
          <w:color w:val="003366"/>
          <w:sz w:val="22"/>
        </w:rPr>
        <w:t>2.3  Thermal and Package Specification</w:t>
      </w:r>
    </w:p>
    <w:tbl>
      <w:tblPr>
        <w:tblStyle w:val="TableGrid"/>
        <w:tblW w:type="auto" w:w="0"/>
        <w:tblLook w:firstColumn="1" w:firstRow="1" w:lastColumn="0" w:lastRow="0" w:noHBand="0" w:noVBand="1" w:val="04A0"/>
      </w:tblPr>
      <w:tblGrid>
        <w:gridCol w:w="3120"/>
        <w:gridCol w:w="3120"/>
        <w:gridCol w:w="3120"/>
      </w:tblGrid>
      <w:tr>
        <w:tc>
          <w:tcPr>
            <w:tcW w:type="dxa" w:w="3600"/>
          </w:tcPr>
          <w:p>
            <w:pPr>
              <w:spacing w:after="0"/>
            </w:pPr>
            <w:r>
              <w:rPr>
                <w:b/>
                <w:sz w:val="19"/>
              </w:rPr>
              <w:t>Parameter</w:t>
            </w:r>
          </w:p>
        </w:tc>
        <w:tc>
          <w:tcPr>
            <w:tcW w:type="dxa" w:w="2592"/>
          </w:tcPr>
          <w:p>
            <w:pPr>
              <w:spacing w:after="0"/>
            </w:pPr>
            <w:r>
              <w:rPr>
                <w:b/>
                <w:sz w:val="19"/>
              </w:rPr>
              <w:t>Requirement</w:t>
            </w:r>
          </w:p>
        </w:tc>
        <w:tc>
          <w:tcPr>
            <w:tcW w:type="dxa" w:w="3600"/>
          </w:tcPr>
          <w:p>
            <w:pPr>
              <w:spacing w:after="0"/>
            </w:pPr>
            <w:r>
              <w:rPr>
                <w:b/>
                <w:sz w:val="19"/>
              </w:rPr>
              <w:t>Notes</w:t>
            </w:r>
          </w:p>
        </w:tc>
      </w:tr>
      <w:tr>
        <w:tc>
          <w:tcPr>
            <w:tcW w:type="dxa" w:w="3600"/>
          </w:tcPr>
          <w:p>
            <w:pPr>
              <w:spacing w:after="0"/>
            </w:pPr>
            <w:r>
              <w:rPr>
                <w:sz w:val="19"/>
              </w:rPr>
              <w:t>Package</w:t>
            </w:r>
          </w:p>
        </w:tc>
        <w:tc>
          <w:tcPr>
            <w:tcW w:type="dxa" w:w="2592"/>
          </w:tcPr>
          <w:p>
            <w:pPr>
              <w:spacing w:after="0"/>
            </w:pPr>
            <w:r>
              <w:rPr>
                <w:sz w:val="19"/>
              </w:rPr>
              <w:t>SMD 2835 or equivalent ceramic substrate</w:t>
            </w:r>
          </w:p>
        </w:tc>
        <w:tc>
          <w:tcPr>
            <w:tcW w:type="dxa" w:w="3600"/>
          </w:tcPr>
          <w:p>
            <w:pPr>
              <w:spacing w:after="0"/>
            </w:pPr>
            <w:r>
              <w:rPr>
                <w:sz w:val="19"/>
              </w:rPr>
              <w:t>Must be compatible with FPC reflow process (peak 245°C, 30 s)</w:t>
            </w:r>
          </w:p>
        </w:tc>
      </w:tr>
      <w:tr>
        <w:tc>
          <w:tcPr>
            <w:tcW w:type="dxa" w:w="3600"/>
          </w:tcPr>
          <w:p>
            <w:pPr>
              <w:spacing w:after="0"/>
            </w:pPr>
            <w:r>
              <w:rPr>
                <w:sz w:val="19"/>
              </w:rPr>
              <w:t>Junction-to-case thermal resistance (θjc)</w:t>
            </w:r>
          </w:p>
        </w:tc>
        <w:tc>
          <w:tcPr>
            <w:tcW w:type="dxa" w:w="2592"/>
          </w:tcPr>
          <w:p>
            <w:pPr>
              <w:spacing w:after="0"/>
            </w:pPr>
            <w:r>
              <w:rPr>
                <w:sz w:val="19"/>
              </w:rPr>
              <w:t>&lt; 15 °C/W</w:t>
            </w:r>
          </w:p>
        </w:tc>
        <w:tc>
          <w:tcPr>
            <w:tcW w:type="dxa" w:w="3600"/>
          </w:tcPr>
          <w:p>
            <w:pPr>
              <w:spacing w:after="0"/>
            </w:pPr>
            <w:r>
              <w:rPr>
                <w:sz w:val="19"/>
              </w:rPr>
              <w:t>Required for IEC 60601 surface temperature compliance model</w:t>
            </w:r>
          </w:p>
        </w:tc>
      </w:tr>
      <w:tr>
        <w:tc>
          <w:tcPr>
            <w:tcW w:type="dxa" w:w="3600"/>
          </w:tcPr>
          <w:p>
            <w:pPr>
              <w:spacing w:after="0"/>
            </w:pPr>
            <w:r>
              <w:rPr>
                <w:sz w:val="19"/>
              </w:rPr>
              <w:t>Maximum junction temperature (Tj_max)</w:t>
            </w:r>
          </w:p>
        </w:tc>
        <w:tc>
          <w:tcPr>
            <w:tcW w:type="dxa" w:w="2592"/>
          </w:tcPr>
          <w:p>
            <w:pPr>
              <w:spacing w:after="0"/>
            </w:pPr>
            <w:r>
              <w:rPr>
                <w:sz w:val="19"/>
              </w:rPr>
              <w:t>≥ 125°C</w:t>
            </w:r>
          </w:p>
        </w:tc>
        <w:tc>
          <w:tcPr>
            <w:tcW w:type="dxa" w:w="3600"/>
          </w:tcPr>
          <w:p>
            <w:pPr>
              <w:spacing w:after="0"/>
            </w:pPr>
            <w:r>
              <w:rPr>
                <w:sz w:val="19"/>
              </w:rPr>
              <w:t>Operating headroom above 62°C throttle threshold</w:t>
            </w:r>
          </w:p>
        </w:tc>
      </w:tr>
      <w:tr>
        <w:tc>
          <w:tcPr>
            <w:tcW w:type="dxa" w:w="3600"/>
          </w:tcPr>
          <w:p>
            <w:pPr>
              <w:spacing w:after="0"/>
            </w:pPr>
            <w:r>
              <w:rPr>
                <w:sz w:val="19"/>
              </w:rPr>
              <w:t>Forward current — absolute maximum (If_max)</w:t>
            </w:r>
          </w:p>
        </w:tc>
        <w:tc>
          <w:tcPr>
            <w:tcW w:type="dxa" w:w="2592"/>
          </w:tcPr>
          <w:p>
            <w:pPr>
              <w:spacing w:after="0"/>
            </w:pPr>
            <w:r>
              <w:rPr>
                <w:sz w:val="19"/>
              </w:rPr>
              <w:t>≥ 350 mA</w:t>
            </w:r>
          </w:p>
        </w:tc>
        <w:tc>
          <w:tcPr>
            <w:tcW w:type="dxa" w:w="3600"/>
          </w:tcPr>
          <w:p>
            <w:pPr>
              <w:spacing w:after="0"/>
            </w:pPr>
            <w:r>
              <w:rPr>
                <w:sz w:val="19"/>
              </w:rPr>
              <w:t>Must exceed 180 mA operating max with 2× margin</w:t>
            </w:r>
          </w:p>
        </w:tc>
      </w:tr>
      <w:tr>
        <w:tc>
          <w:tcPr>
            <w:tcW w:type="dxa" w:w="3600"/>
          </w:tcPr>
          <w:p>
            <w:pPr>
              <w:spacing w:after="0"/>
            </w:pPr>
            <w:r>
              <w:rPr>
                <w:sz w:val="19"/>
              </w:rPr>
              <w:t>Pulse current rating</w:t>
            </w:r>
          </w:p>
        </w:tc>
        <w:tc>
          <w:tcPr>
            <w:tcW w:type="dxa" w:w="2592"/>
          </w:tcPr>
          <w:p>
            <w:pPr>
              <w:spacing w:after="0"/>
            </w:pPr>
            <w:r>
              <w:rPr>
                <w:sz w:val="19"/>
              </w:rPr>
              <w:t>Confirm ≥ 180 mA at ≤ 25% duty cycle, ≤ 1 ms pulse width</w:t>
            </w:r>
          </w:p>
        </w:tc>
        <w:tc>
          <w:tcPr>
            <w:tcW w:type="dxa" w:w="3600"/>
          </w:tcPr>
          <w:p>
            <w:pPr>
              <w:spacing w:after="0"/>
            </w:pPr>
            <w:r>
              <w:rPr>
                <w:sz w:val="19"/>
              </w:rPr>
              <w:t>Required before BOM lock — see CLAUDE.md §13.4</w:t>
            </w:r>
          </w:p>
        </w:tc>
      </w:tr>
      <w:tr>
        <w:tc>
          <w:tcPr>
            <w:tcW w:type="dxa" w:w="3600"/>
          </w:tcPr>
          <w:p>
            <w:pPr>
              <w:spacing w:after="0"/>
            </w:pPr>
            <w:r>
              <w:rPr>
                <w:sz w:val="19"/>
              </w:rPr>
              <w:t>Rated lifetime L70</w:t>
            </w:r>
          </w:p>
        </w:tc>
        <w:tc>
          <w:tcPr>
            <w:tcW w:type="dxa" w:w="2592"/>
          </w:tcPr>
          <w:p>
            <w:pPr>
              <w:spacing w:after="0"/>
            </w:pPr>
            <w:r>
              <w:rPr>
                <w:sz w:val="19"/>
              </w:rPr>
              <w:t>≥ 80,000 hours at 150 mA nominal</w:t>
            </w:r>
          </w:p>
        </w:tc>
        <w:tc>
          <w:tcPr>
            <w:tcW w:type="dxa" w:w="3600"/>
          </w:tcPr>
          <w:p>
            <w:pPr>
              <w:spacing w:after="0"/>
            </w:pPr>
            <w:r>
              <w:rPr>
                <w:sz w:val="19"/>
              </w:rPr>
              <w:t>L70 = time to 70% of initial luminous flux</w:t>
            </w:r>
          </w:p>
        </w:tc>
      </w:tr>
      <w:tr>
        <w:tc>
          <w:tcPr>
            <w:tcW w:type="dxa" w:w="3600"/>
          </w:tcPr>
          <w:p>
            <w:pPr>
              <w:spacing w:after="0"/>
            </w:pPr>
            <w:r>
              <w:rPr>
                <w:sz w:val="19"/>
              </w:rPr>
              <w:t>Moisture sensitivity level (MSL)</w:t>
            </w:r>
          </w:p>
        </w:tc>
        <w:tc>
          <w:tcPr>
            <w:tcW w:type="dxa" w:w="2592"/>
          </w:tcPr>
          <w:p>
            <w:pPr>
              <w:spacing w:after="0"/>
            </w:pPr>
            <w:r>
              <w:rPr>
                <w:sz w:val="19"/>
              </w:rPr>
              <w:t>MSL 3 or better</w:t>
            </w:r>
          </w:p>
        </w:tc>
        <w:tc>
          <w:tcPr>
            <w:tcW w:type="dxa" w:w="3600"/>
          </w:tcPr>
          <w:p>
            <w:pPr>
              <w:spacing w:after="0"/>
            </w:pPr>
            <w:r>
              <w:rPr>
                <w:sz w:val="19"/>
              </w:rPr>
              <w:t>Must be stored and handled per IPC/JEDEC J-STD-033</w:t>
            </w:r>
          </w:p>
        </w:tc>
      </w:tr>
      <w:tr>
        <w:tc>
          <w:tcPr>
            <w:tcW w:type="dxa" w:w="3600"/>
          </w:tcPr>
          <w:p>
            <w:pPr>
              <w:spacing w:after="0"/>
            </w:pPr>
            <w:r>
              <w:rPr>
                <w:sz w:val="19"/>
              </w:rPr>
              <w:t>RoHS compliance</w:t>
            </w:r>
          </w:p>
        </w:tc>
        <w:tc>
          <w:tcPr>
            <w:tcW w:type="dxa" w:w="2592"/>
          </w:tcPr>
          <w:p>
            <w:pPr>
              <w:spacing w:after="0"/>
            </w:pPr>
            <w:r>
              <w:rPr>
                <w:sz w:val="19"/>
              </w:rPr>
              <w:t>Required</w:t>
            </w:r>
          </w:p>
        </w:tc>
        <w:tc>
          <w:tcPr>
            <w:tcW w:type="dxa" w:w="3600"/>
          </w:tcPr>
          <w:p>
            <w:pPr>
              <w:spacing w:after="0"/>
            </w:pPr>
            <w:r>
              <w:rPr>
                <w:sz w:val="19"/>
              </w:rPr>
              <w:t>IEC 63000 / EU Directive 2011/65/EU</w:t>
            </w:r>
          </w:p>
        </w:tc>
      </w:tr>
    </w:tbl>
    <w:p/>
    <w:p>
      <w:pPr>
        <w:ind w:left="288"/>
      </w:pPr>
      <w:r>
        <w:rPr>
          <w:i/>
          <w:color w:val="CC4400"/>
          <w:sz w:val="19"/>
        </w:rPr>
        <w:t>⚠  Pulse current rating at 120–180 mA for both wavelengths has not yet been confirmed from supplier datasheets. This must be verified before first LED order is placed. See CLAUDE.md §13.4 open issue.</w:t>
      </w:r>
    </w:p>
    <w:p>
      <w:pPr>
        <w:spacing w:before="200" w:after="60"/>
      </w:pPr>
      <w:r>
        <w:rPr>
          <w:b/>
          <w:color w:val="003366"/>
          <w:sz w:val="22"/>
        </w:rPr>
        <w:t>2.4  Incoming Inspection — LED Emitters</w:t>
      </w:r>
    </w:p>
    <w:p>
      <w:pPr>
        <w:ind w:firstLine="288"/>
      </w:pPr>
      <w:r>
        <w:t>Every delivery lot must be inspected before use in production. Incoming inspection failure results in lot quarantine and supplier notification. Do not use quarantined lots without written disposition from Hardware Engineering.</w:t>
      </w:r>
    </w:p>
    <w:tbl>
      <w:tblPr>
        <w:tblStyle w:val="TableGrid"/>
        <w:tblW w:type="auto" w:w="0"/>
        <w:tblLook w:firstColumn="1" w:firstRow="1" w:lastColumn="0" w:lastRow="0" w:noHBand="0" w:noVBand="1" w:val="04A0"/>
      </w:tblPr>
      <w:tblGrid>
        <w:gridCol w:w="2340"/>
        <w:gridCol w:w="2340"/>
        <w:gridCol w:w="2340"/>
        <w:gridCol w:w="2340"/>
      </w:tblGrid>
      <w:tr>
        <w:tc>
          <w:tcPr>
            <w:tcW w:type="dxa" w:w="2160"/>
          </w:tcPr>
          <w:p>
            <w:pPr>
              <w:spacing w:after="0"/>
            </w:pPr>
            <w:r>
              <w:rPr>
                <w:b/>
                <w:sz w:val="19"/>
              </w:rPr>
              <w:t>Inspection item</w:t>
            </w:r>
          </w:p>
        </w:tc>
        <w:tc>
          <w:tcPr>
            <w:tcW w:type="dxa" w:w="2592"/>
          </w:tcPr>
          <w:p>
            <w:pPr>
              <w:spacing w:after="0"/>
            </w:pPr>
            <w:r>
              <w:rPr>
                <w:b/>
                <w:sz w:val="19"/>
              </w:rPr>
              <w:t>Method</w:t>
            </w:r>
          </w:p>
        </w:tc>
        <w:tc>
          <w:tcPr>
            <w:tcW w:type="dxa" w:w="1728"/>
          </w:tcPr>
          <w:p>
            <w:pPr>
              <w:spacing w:after="0"/>
            </w:pPr>
            <w:r>
              <w:rPr>
                <w:b/>
                <w:sz w:val="19"/>
              </w:rPr>
              <w:t>Sample size</w:t>
            </w:r>
          </w:p>
        </w:tc>
        <w:tc>
          <w:tcPr>
            <w:tcW w:type="dxa" w:w="3888"/>
          </w:tcPr>
          <w:p>
            <w:pPr>
              <w:spacing w:after="0"/>
            </w:pPr>
            <w:r>
              <w:rPr>
                <w:b/>
                <w:sz w:val="19"/>
              </w:rPr>
              <w:t>Accept / Reject criterion</w:t>
            </w:r>
          </w:p>
        </w:tc>
      </w:tr>
      <w:tr>
        <w:tc>
          <w:tcPr>
            <w:tcW w:type="dxa" w:w="2160"/>
          </w:tcPr>
          <w:p>
            <w:pPr>
              <w:spacing w:after="0"/>
            </w:pPr>
            <w:r>
              <w:rPr>
                <w:sz w:val="19"/>
              </w:rPr>
              <w:t>Vf distribution verification</w:t>
            </w:r>
          </w:p>
        </w:tc>
        <w:tc>
          <w:tcPr>
            <w:tcW w:type="dxa" w:w="2592"/>
          </w:tcPr>
          <w:p>
            <w:pPr>
              <w:spacing w:after="0"/>
            </w:pPr>
            <w:r>
              <w:rPr>
                <w:sz w:val="19"/>
              </w:rPr>
              <w:t>Measure Vf at 150 mA, 10 ms pulse, 25°C on sample units. Compare to supplier certificate.</w:t>
            </w:r>
          </w:p>
        </w:tc>
        <w:tc>
          <w:tcPr>
            <w:tcW w:type="dxa" w:w="1728"/>
          </w:tcPr>
          <w:p>
            <w:pPr>
              <w:spacing w:after="0"/>
            </w:pPr>
            <w:r>
              <w:rPr>
                <w:sz w:val="19"/>
              </w:rPr>
              <w:t>10 units per lot (minimum)</w:t>
            </w:r>
          </w:p>
        </w:tc>
        <w:tc>
          <w:tcPr>
            <w:tcW w:type="dxa" w:w="3888"/>
          </w:tcPr>
          <w:p>
            <w:pPr>
              <w:spacing w:after="0"/>
            </w:pPr>
            <w:r>
              <w:rPr>
                <w:sz w:val="19"/>
              </w:rPr>
              <w:t>Accept: all measured Vf within ±0.10 V of lot mean stated on certificate. Reject: any unit outside ±0.15 V of lot mean, or certificate not provided.</w:t>
            </w:r>
          </w:p>
        </w:tc>
      </w:tr>
      <w:tr>
        <w:tc>
          <w:tcPr>
            <w:tcW w:type="dxa" w:w="2160"/>
          </w:tcPr>
          <w:p>
            <w:pPr>
              <w:spacing w:after="0"/>
            </w:pPr>
            <w:r>
              <w:rPr>
                <w:sz w:val="19"/>
              </w:rPr>
              <w:t>Peak wavelength spot-check</w:t>
            </w:r>
          </w:p>
        </w:tc>
        <w:tc>
          <w:tcPr>
            <w:tcW w:type="dxa" w:w="2592"/>
          </w:tcPr>
          <w:p>
            <w:pPr>
              <w:spacing w:after="0"/>
            </w:pPr>
            <w:r>
              <w:rPr>
                <w:sz w:val="19"/>
              </w:rPr>
              <w:t>Measure λ_peak on spectrometer at 150 mA, 25°C.</w:t>
            </w:r>
          </w:p>
        </w:tc>
        <w:tc>
          <w:tcPr>
            <w:tcW w:type="dxa" w:w="1728"/>
          </w:tcPr>
          <w:p>
            <w:pPr>
              <w:spacing w:after="0"/>
            </w:pPr>
            <w:r>
              <w:rPr>
                <w:sz w:val="19"/>
              </w:rPr>
              <w:t>5 units per lot</w:t>
            </w:r>
          </w:p>
        </w:tc>
        <w:tc>
          <w:tcPr>
            <w:tcW w:type="dxa" w:w="3888"/>
          </w:tcPr>
          <w:p>
            <w:pPr>
              <w:spacing w:after="0"/>
            </w:pPr>
            <w:r>
              <w:rPr>
                <w:sz w:val="19"/>
              </w:rPr>
              <w:t>Accept: λ_peak within stated wavelength range ± 5 nm. Reject: any unit outside range.</w:t>
            </w:r>
          </w:p>
        </w:tc>
      </w:tr>
      <w:tr>
        <w:tc>
          <w:tcPr>
            <w:tcW w:type="dxa" w:w="2160"/>
          </w:tcPr>
          <w:p>
            <w:pPr>
              <w:spacing w:after="0"/>
            </w:pPr>
            <w:r>
              <w:rPr>
                <w:sz w:val="19"/>
              </w:rPr>
              <w:t>Package and marking</w:t>
            </w:r>
          </w:p>
        </w:tc>
        <w:tc>
          <w:tcPr>
            <w:tcW w:type="dxa" w:w="2592"/>
          </w:tcPr>
          <w:p>
            <w:pPr>
              <w:spacing w:after="0"/>
            </w:pPr>
            <w:r>
              <w:rPr>
                <w:sz w:val="19"/>
              </w:rPr>
              <w:t>Visual inspection vs. datasheet.</w:t>
            </w:r>
          </w:p>
        </w:tc>
        <w:tc>
          <w:tcPr>
            <w:tcW w:type="dxa" w:w="1728"/>
          </w:tcPr>
          <w:p>
            <w:pPr>
              <w:spacing w:after="0"/>
            </w:pPr>
            <w:r>
              <w:rPr>
                <w:sz w:val="19"/>
              </w:rPr>
              <w:t>100% of reel labels; 5 physical units</w:t>
            </w:r>
          </w:p>
        </w:tc>
        <w:tc>
          <w:tcPr>
            <w:tcW w:type="dxa" w:w="3888"/>
          </w:tcPr>
          <w:p>
            <w:pPr>
              <w:spacing w:after="0"/>
            </w:pPr>
            <w:r>
              <w:rPr>
                <w:sz w:val="19"/>
              </w:rPr>
              <w:t>Reject: wrong part number, damaged tape, missing/illegible marking.</w:t>
            </w:r>
          </w:p>
        </w:tc>
      </w:tr>
      <w:tr>
        <w:tc>
          <w:tcPr>
            <w:tcW w:type="dxa" w:w="2160"/>
          </w:tcPr>
          <w:p>
            <w:pPr>
              <w:spacing w:after="0"/>
            </w:pPr>
            <w:r>
              <w:rPr>
                <w:sz w:val="19"/>
              </w:rPr>
              <w:t>MSL date code</w:t>
            </w:r>
          </w:p>
        </w:tc>
        <w:tc>
          <w:tcPr>
            <w:tcW w:type="dxa" w:w="2592"/>
          </w:tcPr>
          <w:p>
            <w:pPr>
              <w:spacing w:after="0"/>
            </w:pPr>
            <w:r>
              <w:rPr>
                <w:sz w:val="19"/>
              </w:rPr>
              <w:t>Check reel label for exposure time and floor life.</w:t>
            </w:r>
          </w:p>
        </w:tc>
        <w:tc>
          <w:tcPr>
            <w:tcW w:type="dxa" w:w="1728"/>
          </w:tcPr>
          <w:p>
            <w:pPr>
              <w:spacing w:after="0"/>
            </w:pPr>
            <w:r>
              <w:rPr>
                <w:sz w:val="19"/>
              </w:rPr>
              <w:t>100% of reels</w:t>
            </w:r>
          </w:p>
        </w:tc>
        <w:tc>
          <w:tcPr>
            <w:tcW w:type="dxa" w:w="3888"/>
          </w:tcPr>
          <w:p>
            <w:pPr>
              <w:spacing w:after="0"/>
            </w:pPr>
            <w:r>
              <w:rPr>
                <w:sz w:val="19"/>
              </w:rPr>
              <w:t>Reject: floor life expired or not stated.</w:t>
            </w:r>
          </w:p>
        </w:tc>
      </w:tr>
      <w:tr>
        <w:tc>
          <w:tcPr>
            <w:tcW w:type="dxa" w:w="2160"/>
          </w:tcPr>
          <w:p>
            <w:pPr>
              <w:spacing w:after="0"/>
            </w:pPr>
            <w:r>
              <w:rPr>
                <w:sz w:val="19"/>
              </w:rPr>
              <w:t>Certificate of conformance (CoC)</w:t>
            </w:r>
          </w:p>
        </w:tc>
        <w:tc>
          <w:tcPr>
            <w:tcW w:type="dxa" w:w="2592"/>
          </w:tcPr>
          <w:p>
            <w:pPr>
              <w:spacing w:after="0"/>
            </w:pPr>
            <w:r>
              <w:rPr>
                <w:sz w:val="19"/>
              </w:rPr>
              <w:t>Verify CoC accompanies shipment and references PO number.</w:t>
            </w:r>
          </w:p>
        </w:tc>
        <w:tc>
          <w:tcPr>
            <w:tcW w:type="dxa" w:w="1728"/>
          </w:tcPr>
          <w:p>
            <w:pPr>
              <w:spacing w:after="0"/>
            </w:pPr>
            <w:r>
              <w:rPr>
                <w:sz w:val="19"/>
              </w:rPr>
              <w:t>Per shipment</w:t>
            </w:r>
          </w:p>
        </w:tc>
        <w:tc>
          <w:tcPr>
            <w:tcW w:type="dxa" w:w="3888"/>
          </w:tcPr>
          <w:p>
            <w:pPr>
              <w:spacing w:after="0"/>
            </w:pPr>
            <w:r>
              <w:rPr>
                <w:sz w:val="19"/>
              </w:rPr>
              <w:t>Reject shipment if CoC absent.</w:t>
            </w:r>
          </w:p>
        </w:tc>
      </w:tr>
    </w:tbl>
    <w:p/>
    <w:p>
      <w:pPr>
        <w:spacing w:before="200" w:after="60"/>
      </w:pPr>
      <w:r>
        <w:rPr>
          <w:b/>
          <w:color w:val="003366"/>
          <w:sz w:val="22"/>
        </w:rPr>
        <w:t>2.5  Out-of-Specification Lot Disposition</w:t>
      </w:r>
    </w:p>
    <w:p>
      <w:pPr>
        <w:ind w:firstLine="288"/>
      </w:pPr>
      <w:r>
        <w:t>If incoming inspection reveals a lot that does not meet the Vf bin specification, the following disposition process applies:</w:t>
      </w:r>
    </w:p>
    <w:p>
      <w:pPr>
        <w:pStyle w:val="ListNumber"/>
        <w:spacing w:after="60"/>
      </w:pPr>
      <w:r>
        <w:rPr>
          <w:sz w:val="21"/>
        </w:rPr>
        <w:t>Quarantine the lot immediately. Label reels "HOLD — PENDING DISPOSITION". Do not allow use in production.</w:t>
      </w:r>
    </w:p>
    <w:p>
      <w:pPr>
        <w:pStyle w:val="ListNumber"/>
        <w:spacing w:after="60"/>
      </w:pPr>
      <w:r>
        <w:rPr>
          <w:sz w:val="21"/>
        </w:rPr>
        <w:t>Notify the supplier within 2 business days with the measured data and the specific PO specification that was not met. Request a replacement lot from a conforming bin.</w:t>
      </w:r>
    </w:p>
    <w:p>
      <w:pPr>
        <w:pStyle w:val="ListNumber"/>
        <w:spacing w:after="60"/>
      </w:pPr>
      <w:r>
        <w:rPr>
          <w:sz w:val="21"/>
        </w:rPr>
        <w:t>Hardware Engineering Lead assesses whether the out-of-spec lot can be used with design adjustment. Options: (a) Use if Vf spread is ≤ ±0.15 V and all strings within a zone module are sorted from the same narrow sub-bin — requires manual sorting process; (b) Use at reduced current (lower RSET value) to reduce current-hogging risk — reduces irradiance proportionally; (c) Return to supplier for replacement.</w:t>
      </w:r>
    </w:p>
    <w:p>
      <w:pPr>
        <w:pStyle w:val="ListNumber"/>
        <w:spacing w:after="60"/>
      </w:pPr>
      <w:r>
        <w:rPr>
          <w:sz w:val="21"/>
        </w:rPr>
        <w:t>Document disposition decision in the lot traveller. Any "use-as-is" decision requires written sign-off from Hardware Engineering Lead and Quality.</w:t>
      </w:r>
    </w:p>
    <w:p>
      <w:pPr>
        <w:pStyle w:val="ListNumber"/>
        <w:spacing w:after="60"/>
      </w:pPr>
      <w:r>
        <w:rPr>
          <w:sz w:val="21"/>
        </w:rPr>
        <w:t>If a supplier repeatedly ships out-of-spec lots, qualify an alternative supplier from the approved backup list (§2.6) before placing next order.</w:t>
      </w:r>
    </w:p>
    <w:p>
      <w:pPr>
        <w:spacing w:before="200" w:after="60"/>
      </w:pPr>
      <w:r>
        <w:rPr>
          <w:b/>
          <w:color w:val="003366"/>
          <w:sz w:val="22"/>
        </w:rPr>
        <w:t>2.6  Approved Supplier List — LED Emitters</w:t>
      </w:r>
    </w:p>
    <w:tbl>
      <w:tblPr>
        <w:tblStyle w:val="TableGrid"/>
        <w:tblW w:type="auto" w:w="0"/>
        <w:tblLook w:firstColumn="1" w:firstRow="1" w:lastColumn="0" w:lastRow="0" w:noHBand="0" w:noVBand="1" w:val="04A0"/>
      </w:tblPr>
      <w:tblGrid>
        <w:gridCol w:w="2340"/>
        <w:gridCol w:w="2340"/>
        <w:gridCol w:w="2340"/>
        <w:gridCol w:w="2340"/>
      </w:tblGrid>
      <w:tr>
        <w:tc>
          <w:tcPr>
            <w:tcW w:type="dxa" w:w="2592"/>
          </w:tcPr>
          <w:p>
            <w:pPr>
              <w:spacing w:after="0"/>
            </w:pPr>
            <w:r>
              <w:rPr>
                <w:b/>
                <w:sz w:val="19"/>
              </w:rPr>
              <w:t>Supplier</w:t>
            </w:r>
          </w:p>
        </w:tc>
        <w:tc>
          <w:tcPr>
            <w:tcW w:type="dxa" w:w="1152"/>
          </w:tcPr>
          <w:p>
            <w:pPr>
              <w:spacing w:after="0"/>
            </w:pPr>
            <w:r>
              <w:rPr>
                <w:b/>
                <w:sz w:val="19"/>
              </w:rPr>
              <w:t>Status</w:t>
            </w:r>
          </w:p>
        </w:tc>
        <w:tc>
          <w:tcPr>
            <w:tcW w:type="dxa" w:w="2592"/>
          </w:tcPr>
          <w:p>
            <w:pPr>
              <w:spacing w:after="0"/>
            </w:pPr>
            <w:r>
              <w:rPr>
                <w:b/>
                <w:sz w:val="19"/>
              </w:rPr>
              <w:t>Wavelengths covered</w:t>
            </w:r>
          </w:p>
        </w:tc>
        <w:tc>
          <w:tcPr>
            <w:tcW w:type="dxa" w:w="4032"/>
          </w:tcPr>
          <w:p>
            <w:pPr>
              <w:spacing w:after="0"/>
            </w:pPr>
            <w:r>
              <w:rPr>
                <w:b/>
                <w:sz w:val="19"/>
              </w:rPr>
              <w:t>Contact / Notes</w:t>
            </w:r>
          </w:p>
        </w:tc>
      </w:tr>
      <w:tr>
        <w:tc>
          <w:tcPr>
            <w:tcW w:type="dxa" w:w="2592"/>
          </w:tcPr>
          <w:p>
            <w:pPr>
              <w:spacing w:after="0"/>
            </w:pPr>
            <w:r>
              <w:rPr>
                <w:sz w:val="19"/>
              </w:rPr>
              <w:t>Seoul Semiconductor</w:t>
            </w:r>
          </w:p>
        </w:tc>
        <w:tc>
          <w:tcPr>
            <w:tcW w:type="dxa" w:w="1152"/>
          </w:tcPr>
          <w:p>
            <w:pPr>
              <w:spacing w:after="0"/>
            </w:pPr>
            <w:r>
              <w:rPr>
                <w:sz w:val="19"/>
              </w:rPr>
              <w:t>Primary</w:t>
            </w:r>
          </w:p>
        </w:tc>
        <w:tc>
          <w:tcPr>
            <w:tcW w:type="dxa" w:w="2592"/>
          </w:tcPr>
          <w:p>
            <w:pPr>
              <w:spacing w:after="0"/>
            </w:pPr>
            <w:r>
              <w:rPr>
                <w:sz w:val="19"/>
              </w:rPr>
              <w:t>660 nm + 808–830 nm</w:t>
            </w:r>
          </w:p>
        </w:tc>
        <w:tc>
          <w:tcPr>
            <w:tcW w:type="dxa" w:w="4032"/>
          </w:tcPr>
          <w:p>
            <w:pPr>
              <w:spacing w:after="0"/>
            </w:pPr>
            <w:r>
              <w:rPr>
                <w:sz w:val="19"/>
              </w:rPr>
              <w:t>Confirm Vf bin capability before first order</w:t>
            </w:r>
          </w:p>
        </w:tc>
      </w:tr>
      <w:tr>
        <w:tc>
          <w:tcPr>
            <w:tcW w:type="dxa" w:w="2592"/>
          </w:tcPr>
          <w:p>
            <w:pPr>
              <w:spacing w:after="0"/>
            </w:pPr>
            <w:r>
              <w:rPr>
                <w:sz w:val="19"/>
              </w:rPr>
              <w:t>Osram (ams-OSRAM)</w:t>
            </w:r>
          </w:p>
        </w:tc>
        <w:tc>
          <w:tcPr>
            <w:tcW w:type="dxa" w:w="1152"/>
          </w:tcPr>
          <w:p>
            <w:pPr>
              <w:spacing w:after="0"/>
            </w:pPr>
            <w:r>
              <w:rPr>
                <w:sz w:val="19"/>
              </w:rPr>
              <w:t>Primary</w:t>
            </w:r>
          </w:p>
        </w:tc>
        <w:tc>
          <w:tcPr>
            <w:tcW w:type="dxa" w:w="2592"/>
          </w:tcPr>
          <w:p>
            <w:pPr>
              <w:spacing w:after="0"/>
            </w:pPr>
            <w:r>
              <w:rPr>
                <w:sz w:val="19"/>
              </w:rPr>
              <w:t>660 nm + 808–830 nm</w:t>
            </w:r>
          </w:p>
        </w:tc>
        <w:tc>
          <w:tcPr>
            <w:tcW w:type="dxa" w:w="4032"/>
          </w:tcPr>
          <w:p>
            <w:pPr>
              <w:spacing w:after="0"/>
            </w:pPr>
            <w:r>
              <w:rPr>
                <w:sz w:val="19"/>
              </w:rPr>
              <w:t>Confirm Vf bin capability before first order</w:t>
            </w:r>
          </w:p>
        </w:tc>
      </w:tr>
      <w:tr>
        <w:tc>
          <w:tcPr>
            <w:tcW w:type="dxa" w:w="2592"/>
          </w:tcPr>
          <w:p>
            <w:pPr>
              <w:spacing w:after="0"/>
            </w:pPr>
            <w:r>
              <w:rPr>
                <w:sz w:val="19"/>
              </w:rPr>
              <w:t>Luminus Devices</w:t>
            </w:r>
          </w:p>
        </w:tc>
        <w:tc>
          <w:tcPr>
            <w:tcW w:type="dxa" w:w="1152"/>
          </w:tcPr>
          <w:p>
            <w:pPr>
              <w:spacing w:after="0"/>
            </w:pPr>
            <w:r>
              <w:rPr>
                <w:sz w:val="19"/>
              </w:rPr>
              <w:t>Backup</w:t>
            </w:r>
          </w:p>
        </w:tc>
        <w:tc>
          <w:tcPr>
            <w:tcW w:type="dxa" w:w="2592"/>
          </w:tcPr>
          <w:p>
            <w:pPr>
              <w:spacing w:after="0"/>
            </w:pPr>
            <w:r>
              <w:rPr>
                <w:sz w:val="19"/>
              </w:rPr>
              <w:t>660 nm + 808–830 nm</w:t>
            </w:r>
          </w:p>
        </w:tc>
        <w:tc>
          <w:tcPr>
            <w:tcW w:type="dxa" w:w="4032"/>
          </w:tcPr>
          <w:p>
            <w:pPr>
              <w:spacing w:after="0"/>
            </w:pPr>
            <w:r>
              <w:rPr>
                <w:sz w:val="19"/>
              </w:rPr>
              <w:t>Qualify if primary suppliers cannot meet ±0.10 V bin requirement</w:t>
            </w:r>
          </w:p>
        </w:tc>
      </w:tr>
    </w:tbl>
    <w:p/>
    <w:p>
      <w:pPr>
        <w:ind w:left="288"/>
      </w:pPr>
      <w:r>
        <w:rPr>
          <w:i/>
          <w:sz w:val="19"/>
        </w:rPr>
        <w:t>No supplier is yet fully qualified. "Primary" status means the supplier has been identified as likely capable. Full qualification requires: (1) sample lot with Vf certificate; (2) incoming inspection pass; (3) prototype build and functional test. Qualification must be completed before production orders are placed.</w:t>
      </w:r>
    </w:p>
    <w:p>
      <w:pPr>
        <w:spacing w:before="280" w:after="80"/>
      </w:pPr>
      <w:r>
        <w:rPr>
          <w:b/>
          <w:color w:val="003366"/>
          <w:sz w:val="26"/>
        </w:rPr>
        <w:t>3.  LED DRIVER IC — INFINEON BCR421W</w:t>
      </w:r>
    </w:p>
    <w:p>
      <w:pPr>
        <w:ind w:left="288"/>
      </w:pPr>
      <w:r>
        <w:rPr>
          <w:i/>
          <w:color w:val="CC4400"/>
          <w:sz w:val="19"/>
        </w:rPr>
        <w:t>⚠  RISK-07 (MITIGATED): BCR421U (150 mA max) and BCR421W (350 mA max) are different variants with the same package (SOT-323) and similar appearance. Only BCR421W is approved. BCR421U must never be substituted, even if BCR421W is on allocation.</w:t>
      </w:r>
    </w:p>
    <w:tbl>
      <w:tblPr>
        <w:tblStyle w:val="TableGrid"/>
        <w:tblW w:type="auto" w:w="0"/>
        <w:tblLook w:firstColumn="1" w:firstRow="1" w:lastColumn="0" w:lastRow="0" w:noHBand="0" w:noVBand="1" w:val="04A0"/>
      </w:tblPr>
      <w:tblGrid>
        <w:gridCol w:w="4680"/>
        <w:gridCol w:w="4680"/>
      </w:tblGrid>
      <w:tr>
        <w:tc>
          <w:tcPr>
            <w:tcW w:type="dxa" w:w="3168"/>
          </w:tcPr>
          <w:p>
            <w:pPr>
              <w:spacing w:after="0"/>
            </w:pPr>
            <w:r>
              <w:rPr>
                <w:b/>
                <w:sz w:val="19"/>
              </w:rPr>
              <w:t>Parameter</w:t>
            </w:r>
          </w:p>
        </w:tc>
        <w:tc>
          <w:tcPr>
            <w:tcW w:type="dxa" w:w="7200"/>
          </w:tcPr>
          <w:p>
            <w:pPr>
              <w:spacing w:after="0"/>
            </w:pPr>
            <w:r>
              <w:rPr>
                <w:b/>
                <w:sz w:val="19"/>
              </w:rPr>
              <w:t>Required specification</w:t>
            </w:r>
          </w:p>
        </w:tc>
      </w:tr>
      <w:tr>
        <w:tc>
          <w:tcPr>
            <w:tcW w:type="dxa" w:w="3168"/>
          </w:tcPr>
          <w:p>
            <w:pPr>
              <w:spacing w:after="0"/>
            </w:pPr>
            <w:r>
              <w:rPr>
                <w:sz w:val="19"/>
              </w:rPr>
              <w:t>Approved part number</w:t>
            </w:r>
          </w:p>
        </w:tc>
        <w:tc>
          <w:tcPr>
            <w:tcW w:type="dxa" w:w="7200"/>
          </w:tcPr>
          <w:p>
            <w:pPr>
              <w:spacing w:after="0"/>
            </w:pPr>
            <w:r>
              <w:rPr>
                <w:sz w:val="19"/>
              </w:rPr>
              <w:t>Infineon BCR421W (350 mA rated) ONLY</w:t>
            </w:r>
          </w:p>
        </w:tc>
      </w:tr>
      <w:tr>
        <w:tc>
          <w:tcPr>
            <w:tcW w:type="dxa" w:w="3168"/>
          </w:tcPr>
          <w:p>
            <w:pPr>
              <w:spacing w:after="0"/>
            </w:pPr>
            <w:r>
              <w:rPr>
                <w:sz w:val="19"/>
              </w:rPr>
              <w:t>Explicitly excluded part numbers</w:t>
            </w:r>
          </w:p>
        </w:tc>
        <w:tc>
          <w:tcPr>
            <w:tcW w:type="dxa" w:w="7200"/>
          </w:tcPr>
          <w:p>
            <w:pPr>
              <w:spacing w:after="0"/>
            </w:pPr>
            <w:r>
              <w:rPr>
                <w:sz w:val="19"/>
              </w:rPr>
              <w:t>BCR421U (150 mA max — NEVER substitute). Any other BCR42x variant requires Hardware Engineering written approval.</w:t>
            </w:r>
          </w:p>
        </w:tc>
      </w:tr>
      <w:tr>
        <w:tc>
          <w:tcPr>
            <w:tcW w:type="dxa" w:w="3168"/>
          </w:tcPr>
          <w:p>
            <w:pPr>
              <w:spacing w:after="0"/>
            </w:pPr>
            <w:r>
              <w:rPr>
                <w:sz w:val="19"/>
              </w:rPr>
              <w:t>Package</w:t>
            </w:r>
          </w:p>
        </w:tc>
        <w:tc>
          <w:tcPr>
            <w:tcW w:type="dxa" w:w="7200"/>
          </w:tcPr>
          <w:p>
            <w:pPr>
              <w:spacing w:after="0"/>
            </w:pPr>
            <w:r>
              <w:rPr>
                <w:sz w:val="19"/>
              </w:rPr>
              <w:t>SOT-323 (SC-70), 3-pin</w:t>
            </w:r>
          </w:p>
        </w:tc>
      </w:tr>
      <w:tr>
        <w:tc>
          <w:tcPr>
            <w:tcW w:type="dxa" w:w="3168"/>
          </w:tcPr>
          <w:p>
            <w:pPr>
              <w:spacing w:after="0"/>
            </w:pPr>
            <w:r>
              <w:rPr>
                <w:sz w:val="19"/>
              </w:rPr>
              <w:t>Current setting</w:t>
            </w:r>
          </w:p>
        </w:tc>
        <w:tc>
          <w:tcPr>
            <w:tcW w:type="dxa" w:w="7200"/>
          </w:tcPr>
          <w:p>
            <w:pPr>
              <w:spacing w:after="0"/>
            </w:pPr>
            <w:r>
              <w:rPr>
                <w:sz w:val="19"/>
              </w:rPr>
              <w:t>Via external RSET resistor — value TBD pending regulatory opinion letter. Do NOT populate RSET until RSET value is released by Hardware Engineering.</w:t>
            </w:r>
          </w:p>
        </w:tc>
      </w:tr>
      <w:tr>
        <w:tc>
          <w:tcPr>
            <w:tcW w:type="dxa" w:w="3168"/>
          </w:tcPr>
          <w:p>
            <w:pPr>
              <w:spacing w:after="0"/>
            </w:pPr>
            <w:r>
              <w:rPr>
                <w:sz w:val="19"/>
              </w:rPr>
              <w:t>Backup / alternate (approved)</w:t>
            </w:r>
          </w:p>
        </w:tc>
        <w:tc>
          <w:tcPr>
            <w:tcW w:type="dxa" w:w="7200"/>
          </w:tcPr>
          <w:p>
            <w:pPr>
              <w:spacing w:after="0"/>
            </w:pPr>
            <w:r>
              <w:rPr>
                <w:sz w:val="19"/>
              </w:rPr>
              <w:t>Zetex ZXLD381 (350 mA, SOT-23-3)  |  Diodes Inc. AL5809 (350 mA, SOT-23-3). Both require RSET recalculation from respective datasheets before use.</w:t>
            </w:r>
          </w:p>
        </w:tc>
      </w:tr>
      <w:tr>
        <w:tc>
          <w:tcPr>
            <w:tcW w:type="dxa" w:w="3168"/>
          </w:tcPr>
          <w:p>
            <w:pPr>
              <w:spacing w:after="0"/>
            </w:pPr>
            <w:r>
              <w:rPr>
                <w:sz w:val="19"/>
              </w:rPr>
              <w:t>Approved supplier</w:t>
            </w:r>
          </w:p>
        </w:tc>
        <w:tc>
          <w:tcPr>
            <w:tcW w:type="dxa" w:w="7200"/>
          </w:tcPr>
          <w:p>
            <w:pPr>
              <w:spacing w:after="0"/>
            </w:pPr>
            <w:r>
              <w:rPr>
                <w:sz w:val="19"/>
              </w:rPr>
              <w:t>Infineon Technologies — authorised distributor only (Mouser, DigiKey, Arrow, Avnet)</w:t>
            </w:r>
          </w:p>
        </w:tc>
      </w:tr>
      <w:tr>
        <w:tc>
          <w:tcPr>
            <w:tcW w:type="dxa" w:w="3168"/>
          </w:tcPr>
          <w:p>
            <w:pPr>
              <w:spacing w:after="0"/>
            </w:pPr>
            <w:r>
              <w:rPr>
                <w:sz w:val="19"/>
              </w:rPr>
              <w:t>Counterfeit risk</w:t>
            </w:r>
          </w:p>
        </w:tc>
        <w:tc>
          <w:tcPr>
            <w:tcW w:type="dxa" w:w="7200"/>
          </w:tcPr>
          <w:p>
            <w:pPr>
              <w:spacing w:after="0"/>
            </w:pPr>
            <w:r>
              <w:rPr>
                <w:sz w:val="19"/>
              </w:rPr>
              <w:t>HIGH — SOT-23/SOT-323 linear regulators are heavily counterfeited. Purchase from authorised distributor only. Request certificate of authenticity for orders &gt; 500 units.</w:t>
            </w:r>
          </w:p>
        </w:tc>
      </w:tr>
      <w:tr>
        <w:tc>
          <w:tcPr>
            <w:tcW w:type="dxa" w:w="3168"/>
          </w:tcPr>
          <w:p>
            <w:pPr>
              <w:spacing w:after="0"/>
            </w:pPr>
            <w:r>
              <w:rPr>
                <w:sz w:val="19"/>
              </w:rPr>
              <w:t>RoHS compliance</w:t>
            </w:r>
          </w:p>
        </w:tc>
        <w:tc>
          <w:tcPr>
            <w:tcW w:type="dxa" w:w="7200"/>
          </w:tcPr>
          <w:p>
            <w:pPr>
              <w:spacing w:after="0"/>
            </w:pPr>
            <w:r>
              <w:rPr>
                <w:sz w:val="19"/>
              </w:rPr>
              <w:t>Required</w:t>
            </w:r>
          </w:p>
        </w:tc>
      </w:tr>
    </w:tbl>
    <w:p/>
    <w:p>
      <w:pPr>
        <w:spacing w:before="140"/>
      </w:pPr>
      <w:r>
        <w:rPr>
          <w:b/>
          <w:sz w:val="21"/>
        </w:rPr>
        <w:t>Purchase Order Language — BCR421W</w:t>
      </w:r>
    </w:p>
    <w:p>
      <w:pPr>
        <w:spacing w:before="120" w:after="120"/>
        <w:ind w:left="576" w:right="576"/>
      </w:pPr>
      <w:r>
        <w:rPr>
          <w:i/>
          <w:sz w:val="21"/>
        </w:rPr>
        <w:t>"Part number: Infineon BCR421W. Package: SOT-323. SUBSTITUTION NOT PERMITTED — BCR421U and all other BCR42x variants are explicitly excluded. If BCR421W is on allocation or unavailable, contact Hardware Engineering before placing an order for any alternative part. Purchase from authorised distributor only. Certificate of conformance required."</w:t>
      </w:r>
    </w:p>
    <w:p>
      <w:pPr>
        <w:spacing w:before="280" w:after="80"/>
      </w:pPr>
      <w:r>
        <w:rPr>
          <w:b/>
          <w:color w:val="003366"/>
          <w:sz w:val="26"/>
        </w:rPr>
        <w:t>4.  ZONE MODULE CONNECTOR — HIROSE FH34S / JAE FF03</w:t>
      </w:r>
    </w:p>
    <w:p>
      <w:pPr>
        <w:ind w:left="288"/>
      </w:pPr>
      <w:r>
        <w:rPr>
          <w:i/>
          <w:color w:val="007733"/>
          <w:sz w:val="19"/>
        </w:rPr>
        <w:t>✓  RISK-01 (MITIGATED): Molex SlimStack removed from specification. Hirose FH34S is the correct connector family for this application.</w:t>
      </w:r>
    </w:p>
    <w:tbl>
      <w:tblPr>
        <w:tblStyle w:val="TableGrid"/>
        <w:tblW w:type="auto" w:w="0"/>
        <w:tblLook w:firstColumn="1" w:firstRow="1" w:lastColumn="0" w:lastRow="0" w:noHBand="0" w:noVBand="1" w:val="04A0"/>
      </w:tblPr>
      <w:tblGrid>
        <w:gridCol w:w="4680"/>
        <w:gridCol w:w="4680"/>
      </w:tblGrid>
      <w:tr>
        <w:tc>
          <w:tcPr>
            <w:tcW w:type="dxa" w:w="3168"/>
          </w:tcPr>
          <w:p>
            <w:pPr>
              <w:spacing w:after="0"/>
            </w:pPr>
            <w:r>
              <w:rPr>
                <w:b/>
                <w:sz w:val="19"/>
              </w:rPr>
              <w:t>Parameter</w:t>
            </w:r>
          </w:p>
        </w:tc>
        <w:tc>
          <w:tcPr>
            <w:tcW w:type="dxa" w:w="7200"/>
          </w:tcPr>
          <w:p>
            <w:pPr>
              <w:spacing w:after="0"/>
            </w:pPr>
            <w:r>
              <w:rPr>
                <w:b/>
                <w:sz w:val="19"/>
              </w:rPr>
              <w:t>Required specification</w:t>
            </w:r>
          </w:p>
        </w:tc>
      </w:tr>
      <w:tr>
        <w:tc>
          <w:tcPr>
            <w:tcW w:type="dxa" w:w="3168"/>
          </w:tcPr>
          <w:p>
            <w:pPr>
              <w:spacing w:after="0"/>
            </w:pPr>
            <w:r>
              <w:rPr>
                <w:sz w:val="19"/>
              </w:rPr>
              <w:t>Primary approved part number</w:t>
            </w:r>
          </w:p>
        </w:tc>
        <w:tc>
          <w:tcPr>
            <w:tcW w:type="dxa" w:w="7200"/>
          </w:tcPr>
          <w:p>
            <w:pPr>
              <w:spacing w:after="0"/>
            </w:pPr>
            <w:r>
              <w:rPr>
                <w:sz w:val="19"/>
              </w:rPr>
              <w:t>Hirose FH34S-20S-0.5SH(50)  —  20-position, 0.5 mm pitch, back-flip lever ZIF, SMT</w:t>
            </w:r>
          </w:p>
        </w:tc>
      </w:tr>
      <w:tr>
        <w:tc>
          <w:tcPr>
            <w:tcW w:type="dxa" w:w="3168"/>
          </w:tcPr>
          <w:p>
            <w:pPr>
              <w:spacing w:after="0"/>
            </w:pPr>
            <w:r>
              <w:rPr>
                <w:sz w:val="19"/>
              </w:rPr>
              <w:t>Backup approved part number</w:t>
            </w:r>
          </w:p>
        </w:tc>
        <w:tc>
          <w:tcPr>
            <w:tcW w:type="dxa" w:w="7200"/>
          </w:tcPr>
          <w:p>
            <w:pPr>
              <w:spacing w:after="0"/>
            </w:pPr>
            <w:r>
              <w:rPr>
                <w:sz w:val="19"/>
              </w:rPr>
              <w:t>JAE FF03 series  —  0.5 mm pitch, high-cycle FPC connector</w:t>
            </w:r>
          </w:p>
        </w:tc>
      </w:tr>
      <w:tr>
        <w:tc>
          <w:tcPr>
            <w:tcW w:type="dxa" w:w="3168"/>
          </w:tcPr>
          <w:p>
            <w:pPr>
              <w:spacing w:after="0"/>
            </w:pPr>
            <w:r>
              <w:rPr>
                <w:sz w:val="19"/>
              </w:rPr>
              <w:t>Explicitly excluded families</w:t>
            </w:r>
          </w:p>
        </w:tc>
        <w:tc>
          <w:tcPr>
            <w:tcW w:type="dxa" w:w="7200"/>
          </w:tcPr>
          <w:p>
            <w:pPr>
              <w:spacing w:after="0"/>
            </w:pPr>
            <w:r>
              <w:rPr>
                <w:sz w:val="19"/>
              </w:rPr>
              <w:t>Molex SlimStack (board-to-board — incompatible with FPC). Molex 52610 / 52745 / 52892 series (rated 20–30 cycles — below requirement). ANY 0.35 mm pitch connector (current per pin too high for power rails at 0.9 A RMS).</w:t>
            </w:r>
          </w:p>
        </w:tc>
      </w:tr>
      <w:tr>
        <w:tc>
          <w:tcPr>
            <w:tcW w:type="dxa" w:w="3168"/>
          </w:tcPr>
          <w:p>
            <w:pPr>
              <w:spacing w:after="0"/>
            </w:pPr>
            <w:r>
              <w:rPr>
                <w:sz w:val="19"/>
              </w:rPr>
              <w:t>Rated insertion cycles</w:t>
            </w:r>
          </w:p>
        </w:tc>
        <w:tc>
          <w:tcPr>
            <w:tcW w:type="dxa" w:w="7200"/>
          </w:tcPr>
          <w:p>
            <w:pPr>
              <w:spacing w:after="0"/>
            </w:pPr>
            <w:r>
              <w:rPr>
                <w:sz w:val="19"/>
              </w:rPr>
              <w:t>≥ 1,000 — MUST BE CONFIRMED FROM FULL HIROSE FH34S DATASHEET before BOM lock. Product marketing states ≥1,000 cycles; confirm in test conditions table.</w:t>
            </w:r>
          </w:p>
        </w:tc>
      </w:tr>
      <w:tr>
        <w:tc>
          <w:tcPr>
            <w:tcW w:type="dxa" w:w="3168"/>
          </w:tcPr>
          <w:p>
            <w:pPr>
              <w:spacing w:after="0"/>
            </w:pPr>
            <w:r>
              <w:rPr>
                <w:sz w:val="19"/>
              </w:rPr>
              <w:t>Contact current rating</w:t>
            </w:r>
          </w:p>
        </w:tc>
        <w:tc>
          <w:tcPr>
            <w:tcW w:type="dxa" w:w="7200"/>
          </w:tcPr>
          <w:p>
            <w:pPr>
              <w:spacing w:after="0"/>
            </w:pPr>
            <w:r>
              <w:rPr>
                <w:sz w:val="19"/>
              </w:rPr>
              <w:t>≥ 0.5 A per contact</w:t>
            </w:r>
          </w:p>
        </w:tc>
      </w:tr>
      <w:tr>
        <w:tc>
          <w:tcPr>
            <w:tcW w:type="dxa" w:w="3168"/>
          </w:tcPr>
          <w:p>
            <w:pPr>
              <w:spacing w:after="0"/>
            </w:pPr>
            <w:r>
              <w:rPr>
                <w:sz w:val="19"/>
              </w:rPr>
              <w:t>Pitch</w:t>
            </w:r>
          </w:p>
        </w:tc>
        <w:tc>
          <w:tcPr>
            <w:tcW w:type="dxa" w:w="7200"/>
          </w:tcPr>
          <w:p>
            <w:pPr>
              <w:spacing w:after="0"/>
            </w:pPr>
            <w:r>
              <w:rPr>
                <w:sz w:val="19"/>
              </w:rPr>
              <w:t>0.5 mm (NOT 0.35 mm)</w:t>
            </w:r>
          </w:p>
        </w:tc>
      </w:tr>
      <w:tr>
        <w:tc>
          <w:tcPr>
            <w:tcW w:type="dxa" w:w="3168"/>
          </w:tcPr>
          <w:p>
            <w:pPr>
              <w:spacing w:after="0"/>
            </w:pPr>
            <w:r>
              <w:rPr>
                <w:sz w:val="19"/>
              </w:rPr>
              <w:t>Actuation</w:t>
            </w:r>
          </w:p>
        </w:tc>
        <w:tc>
          <w:tcPr>
            <w:tcW w:type="dxa" w:w="7200"/>
          </w:tcPr>
          <w:p>
            <w:pPr>
              <w:spacing w:after="0"/>
            </w:pPr>
            <w:r>
              <w:rPr>
                <w:sz w:val="19"/>
              </w:rPr>
              <w:t>Back-flip lever ZIF — zero insertion force, tool-free extraction</w:t>
            </w:r>
          </w:p>
        </w:tc>
      </w:tr>
      <w:tr>
        <w:tc>
          <w:tcPr>
            <w:tcW w:type="dxa" w:w="3168"/>
          </w:tcPr>
          <w:p>
            <w:pPr>
              <w:spacing w:after="0"/>
            </w:pPr>
            <w:r>
              <w:rPr>
                <w:sz w:val="19"/>
              </w:rPr>
              <w:t>Mated height</w:t>
            </w:r>
          </w:p>
        </w:tc>
        <w:tc>
          <w:tcPr>
            <w:tcW w:type="dxa" w:w="7200"/>
          </w:tcPr>
          <w:p>
            <w:pPr>
              <w:spacing w:after="0"/>
            </w:pPr>
            <w:r>
              <w:rPr>
                <w:sz w:val="19"/>
              </w:rPr>
              <w:t>1.0 mm maximum</w:t>
            </w:r>
          </w:p>
        </w:tc>
      </w:tr>
      <w:tr>
        <w:tc>
          <w:tcPr>
            <w:tcW w:type="dxa" w:w="3168"/>
          </w:tcPr>
          <w:p>
            <w:pPr>
              <w:spacing w:after="0"/>
            </w:pPr>
            <w:r>
              <w:rPr>
                <w:sz w:val="19"/>
              </w:rPr>
              <w:t>Operating temperature</w:t>
            </w:r>
          </w:p>
        </w:tc>
        <w:tc>
          <w:tcPr>
            <w:tcW w:type="dxa" w:w="7200"/>
          </w:tcPr>
          <w:p>
            <w:pPr>
              <w:spacing w:after="0"/>
            </w:pPr>
            <w:r>
              <w:rPr>
                <w:sz w:val="19"/>
              </w:rPr>
              <w:t>−40°C to +85°C minimum</w:t>
            </w:r>
          </w:p>
        </w:tc>
      </w:tr>
      <w:tr>
        <w:tc>
          <w:tcPr>
            <w:tcW w:type="dxa" w:w="3168"/>
          </w:tcPr>
          <w:p>
            <w:pPr>
              <w:spacing w:after="0"/>
            </w:pPr>
            <w:r>
              <w:rPr>
                <w:sz w:val="19"/>
              </w:rPr>
              <w:t>Approved supplier</w:t>
            </w:r>
          </w:p>
        </w:tc>
        <w:tc>
          <w:tcPr>
            <w:tcW w:type="dxa" w:w="7200"/>
          </w:tcPr>
          <w:p>
            <w:pPr>
              <w:spacing w:after="0"/>
            </w:pPr>
            <w:r>
              <w:rPr>
                <w:sz w:val="19"/>
              </w:rPr>
              <w:t>Hirose Electric — authorised distributor (DigiKey, Mouser, Arrow)</w:t>
            </w:r>
          </w:p>
        </w:tc>
      </w:tr>
      <w:tr>
        <w:tc>
          <w:tcPr>
            <w:tcW w:type="dxa" w:w="3168"/>
          </w:tcPr>
          <w:p>
            <w:pPr>
              <w:spacing w:after="0"/>
            </w:pPr>
            <w:r>
              <w:rPr>
                <w:sz w:val="19"/>
              </w:rPr>
              <w:t>RoHS compliance</w:t>
            </w:r>
          </w:p>
        </w:tc>
        <w:tc>
          <w:tcPr>
            <w:tcW w:type="dxa" w:w="7200"/>
          </w:tcPr>
          <w:p>
            <w:pPr>
              <w:spacing w:after="0"/>
            </w:pPr>
            <w:r>
              <w:rPr>
                <w:sz w:val="19"/>
              </w:rPr>
              <w:t>Required</w:t>
            </w:r>
          </w:p>
        </w:tc>
      </w:tr>
    </w:tbl>
    <w:p/>
    <w:p>
      <w:pPr>
        <w:ind w:left="288"/>
      </w:pPr>
      <w:r>
        <w:rPr>
          <w:i/>
          <w:color w:val="CC4400"/>
          <w:sz w:val="19"/>
        </w:rPr>
        <w:t>⚠  Before placing the first connector order: pull the complete FH34S datasheet from hirose.com and confirm that the "Endurance" or "Insertion/Withdrawal cycles" specification in the test conditions table states ≥ 1,000 cycles. If the full datasheet does not confirm this, contact Hirose applications engineering for written confirmation before placing the order.</w:t>
      </w:r>
    </w:p>
    <w:p>
      <w:pPr>
        <w:spacing w:before="140"/>
      </w:pPr>
      <w:r>
        <w:rPr>
          <w:b/>
          <w:sz w:val="21"/>
        </w:rPr>
        <w:t>Incoming Inspection — Connector</w:t>
      </w:r>
    </w:p>
    <w:p>
      <w:pPr>
        <w:pStyle w:val="ListNumber"/>
        <w:spacing w:after="60"/>
      </w:pPr>
      <w:r>
        <w:rPr>
          <w:sz w:val="21"/>
        </w:rPr>
        <w:t>Verify part marking against approved part number FH34S-20S-0.5SH(50).</w:t>
      </w:r>
    </w:p>
    <w:p>
      <w:pPr>
        <w:pStyle w:val="ListNumber"/>
        <w:spacing w:after="60"/>
      </w:pPr>
      <w:r>
        <w:rPr>
          <w:sz w:val="21"/>
        </w:rPr>
        <w:t>Verify position count (20) and pitch (0.5 mm) on 5 sample units using calibrated pin gauge.</w:t>
      </w:r>
    </w:p>
    <w:p>
      <w:pPr>
        <w:pStyle w:val="ListNumber"/>
        <w:spacing w:after="60"/>
      </w:pPr>
      <w:r>
        <w:rPr>
          <w:sz w:val="21"/>
        </w:rPr>
        <w:t>Perform 5 insertion/extraction cycles on 3 sample units. Verify lever actuates correctly and FPC tail seats without resistance. Measure contact resistance at pins 1 and 20 before and after: must be &lt; 50 mΩ per contact.</w:t>
      </w:r>
    </w:p>
    <w:p>
      <w:pPr>
        <w:pStyle w:val="ListNumber"/>
        <w:spacing w:after="60"/>
      </w:pPr>
      <w:r>
        <w:rPr>
          <w:sz w:val="21"/>
        </w:rPr>
        <w:t>Certificate of conformance from Hirose or authorised distributor must accompany each shipment.</w:t>
      </w:r>
    </w:p>
    <w:p>
      <w:pPr>
        <w:spacing w:before="280" w:after="80"/>
      </w:pPr>
      <w:r>
        <w:rPr>
          <w:b/>
          <w:color w:val="003366"/>
          <w:sz w:val="26"/>
        </w:rPr>
        <w:t>5.  FPC FABRICATION REQUIREMENTS</w:t>
      </w:r>
    </w:p>
    <w:p>
      <w:pPr>
        <w:ind w:left="288"/>
      </w:pPr>
      <w:r>
        <w:rPr>
          <w:i/>
          <w:color w:val="CC4400"/>
          <w:sz w:val="19"/>
        </w:rPr>
        <w:t>⚠  RISK-10 (MEDIUM): FPC fabricators default to electrodeposited (ED) copper. ED copper fails under dynamic flex. This requirement MUST appear on the fabrication drawing AND in the purchase order.</w:t>
      </w:r>
    </w:p>
    <w:tbl>
      <w:tblPr>
        <w:tblStyle w:val="TableGrid"/>
        <w:tblW w:type="auto" w:w="0"/>
        <w:tblLook w:firstColumn="1" w:firstRow="1" w:lastColumn="0" w:lastRow="0" w:noHBand="0" w:noVBand="1" w:val="04A0"/>
      </w:tblPr>
      <w:tblGrid>
        <w:gridCol w:w="3120"/>
        <w:gridCol w:w="3120"/>
        <w:gridCol w:w="3120"/>
      </w:tblGrid>
      <w:tr>
        <w:tc>
          <w:tcPr>
            <w:tcW w:type="dxa" w:w="2592"/>
          </w:tcPr>
          <w:p>
            <w:pPr>
              <w:spacing w:after="0"/>
            </w:pPr>
            <w:r>
              <w:rPr>
                <w:b/>
                <w:sz w:val="19"/>
              </w:rPr>
              <w:t>Parameter</w:t>
            </w:r>
          </w:p>
        </w:tc>
        <w:tc>
          <w:tcPr>
            <w:tcW w:type="dxa" w:w="3744"/>
          </w:tcPr>
          <w:p>
            <w:pPr>
              <w:spacing w:after="0"/>
            </w:pPr>
            <w:r>
              <w:rPr>
                <w:b/>
                <w:sz w:val="19"/>
              </w:rPr>
              <w:t>Required specification</w:t>
            </w:r>
          </w:p>
        </w:tc>
        <w:tc>
          <w:tcPr>
            <w:tcW w:type="dxa" w:w="4032"/>
          </w:tcPr>
          <w:p>
            <w:pPr>
              <w:spacing w:after="0"/>
            </w:pPr>
            <w:r>
              <w:rPr>
                <w:b/>
                <w:sz w:val="19"/>
              </w:rPr>
              <w:t>Default if not stated (WRONG)</w:t>
            </w:r>
          </w:p>
        </w:tc>
      </w:tr>
      <w:tr>
        <w:tc>
          <w:tcPr>
            <w:tcW w:type="dxa" w:w="2592"/>
          </w:tcPr>
          <w:p>
            <w:pPr>
              <w:spacing w:after="0"/>
            </w:pPr>
            <w:r>
              <w:rPr>
                <w:sz w:val="19"/>
              </w:rPr>
              <w:t>Copper type</w:t>
            </w:r>
          </w:p>
        </w:tc>
        <w:tc>
          <w:tcPr>
            <w:tcW w:type="dxa" w:w="3744"/>
          </w:tcPr>
          <w:p>
            <w:pPr>
              <w:spacing w:after="0"/>
            </w:pPr>
            <w:r>
              <w:rPr>
                <w:sz w:val="19"/>
              </w:rPr>
              <w:t>ROLLED ANNEALED (RA) copper — mandatory</w:t>
            </w:r>
          </w:p>
        </w:tc>
        <w:tc>
          <w:tcPr>
            <w:tcW w:type="dxa" w:w="4032"/>
          </w:tcPr>
          <w:p>
            <w:pPr>
              <w:spacing w:after="0"/>
            </w:pPr>
            <w:r>
              <w:rPr>
                <w:sz w:val="19"/>
              </w:rPr>
              <w:t>Electrodeposited (ED) copper</w:t>
            </w:r>
          </w:p>
        </w:tc>
      </w:tr>
      <w:tr>
        <w:tc>
          <w:tcPr>
            <w:tcW w:type="dxa" w:w="2592"/>
          </w:tcPr>
          <w:p>
            <w:pPr>
              <w:spacing w:after="0"/>
            </w:pPr>
            <w:r>
              <w:rPr>
                <w:sz w:val="19"/>
              </w:rPr>
              <w:t>Copper weight</w:t>
            </w:r>
          </w:p>
        </w:tc>
        <w:tc>
          <w:tcPr>
            <w:tcW w:type="dxa" w:w="3744"/>
          </w:tcPr>
          <w:p>
            <w:pPr>
              <w:spacing w:after="0"/>
            </w:pPr>
            <w:r>
              <w:rPr>
                <w:sz w:val="19"/>
              </w:rPr>
              <w:t>1 oz (35 µm) on all layers</w:t>
            </w:r>
          </w:p>
        </w:tc>
        <w:tc>
          <w:tcPr>
            <w:tcW w:type="dxa" w:w="4032"/>
          </w:tcPr>
          <w:p>
            <w:pPr>
              <w:spacing w:after="0"/>
            </w:pPr>
            <w:r>
              <w:rPr>
                <w:sz w:val="19"/>
              </w:rPr>
              <w:t>May be substituted with 0.5 oz if not specified</w:t>
            </w:r>
          </w:p>
        </w:tc>
      </w:tr>
      <w:tr>
        <w:tc>
          <w:tcPr>
            <w:tcW w:type="dxa" w:w="2592"/>
          </w:tcPr>
          <w:p>
            <w:pPr>
              <w:spacing w:after="0"/>
            </w:pPr>
            <w:r>
              <w:rPr>
                <w:sz w:val="19"/>
              </w:rPr>
              <w:t>Minimum power trace width</w:t>
            </w:r>
          </w:p>
        </w:tc>
        <w:tc>
          <w:tcPr>
            <w:tcW w:type="dxa" w:w="3744"/>
          </w:tcPr>
          <w:p>
            <w:pPr>
              <w:spacing w:after="0"/>
            </w:pPr>
            <w:r>
              <w:rPr>
                <w:sz w:val="19"/>
              </w:rPr>
              <w:t>≥ 2.0 mm for all VLED and GND power rails — see NP-HW-FPC-001 §10.1</w:t>
            </w:r>
          </w:p>
        </w:tc>
        <w:tc>
          <w:tcPr>
            <w:tcW w:type="dxa" w:w="4032"/>
          </w:tcPr>
          <w:p>
            <w:pPr>
              <w:spacing w:after="0"/>
            </w:pPr>
            <w:r>
              <w:rPr>
                <w:sz w:val="19"/>
              </w:rPr>
              <w:t>Trace width not enforced — layout engineer's discretion</w:t>
            </w:r>
          </w:p>
        </w:tc>
      </w:tr>
      <w:tr>
        <w:tc>
          <w:tcPr>
            <w:tcW w:type="dxa" w:w="2592"/>
          </w:tcPr>
          <w:p>
            <w:pPr>
              <w:spacing w:after="0"/>
            </w:pPr>
            <w:r>
              <w:rPr>
                <w:sz w:val="19"/>
              </w:rPr>
              <w:t>Substrate</w:t>
            </w:r>
          </w:p>
        </w:tc>
        <w:tc>
          <w:tcPr>
            <w:tcW w:type="dxa" w:w="3744"/>
          </w:tcPr>
          <w:p>
            <w:pPr>
              <w:spacing w:after="0"/>
            </w:pPr>
            <w:r>
              <w:rPr>
                <w:sz w:val="19"/>
              </w:rPr>
              <w:t>Polyimide (PI), 25 µm</w:t>
            </w:r>
          </w:p>
        </w:tc>
        <w:tc>
          <w:tcPr>
            <w:tcW w:type="dxa" w:w="4032"/>
          </w:tcPr>
          <w:p>
            <w:pPr>
              <w:spacing w:after="0"/>
            </w:pPr>
            <w:r>
              <w:rPr>
                <w:sz w:val="19"/>
              </w:rPr>
              <w:t>May substitute polyester (PET) — not acceptable</w:t>
            </w:r>
          </w:p>
        </w:tc>
      </w:tr>
      <w:tr>
        <w:tc>
          <w:tcPr>
            <w:tcW w:type="dxa" w:w="2592"/>
          </w:tcPr>
          <w:p>
            <w:pPr>
              <w:spacing w:after="0"/>
            </w:pPr>
            <w:r>
              <w:rPr>
                <w:sz w:val="19"/>
              </w:rPr>
              <w:t>Adhesive</w:t>
            </w:r>
          </w:p>
        </w:tc>
        <w:tc>
          <w:tcPr>
            <w:tcW w:type="dxa" w:w="3744"/>
          </w:tcPr>
          <w:p>
            <w:pPr>
              <w:spacing w:after="0"/>
            </w:pPr>
            <w:r>
              <w:rPr>
                <w:sz w:val="19"/>
              </w:rPr>
              <w:t>Acrylic or adhesiveless laminate — NO epoxy</w:t>
            </w:r>
          </w:p>
        </w:tc>
        <w:tc>
          <w:tcPr>
            <w:tcW w:type="dxa" w:w="4032"/>
          </w:tcPr>
          <w:p>
            <w:pPr>
              <w:spacing w:after="0"/>
            </w:pPr>
            <w:r>
              <w:rPr>
                <w:sz w:val="19"/>
              </w:rPr>
              <w:t>Epoxy adhesive (lower thermal performance)</w:t>
            </w:r>
          </w:p>
        </w:tc>
      </w:tr>
      <w:tr>
        <w:tc>
          <w:tcPr>
            <w:tcW w:type="dxa" w:w="2592"/>
          </w:tcPr>
          <w:p>
            <w:pPr>
              <w:spacing w:after="0"/>
            </w:pPr>
            <w:r>
              <w:rPr>
                <w:sz w:val="19"/>
              </w:rPr>
              <w:t>Surface finish</w:t>
            </w:r>
          </w:p>
        </w:tc>
        <w:tc>
          <w:tcPr>
            <w:tcW w:type="dxa" w:w="3744"/>
          </w:tcPr>
          <w:p>
            <w:pPr>
              <w:spacing w:after="0"/>
            </w:pPr>
            <w:r>
              <w:rPr>
                <w:sz w:val="19"/>
              </w:rPr>
              <w:t>ENIG on signal pads; hard gold ≥ 0.5 µm (cobalt-alloyed) on connector tail pads</w:t>
            </w:r>
          </w:p>
        </w:tc>
        <w:tc>
          <w:tcPr>
            <w:tcW w:type="dxa" w:w="4032"/>
          </w:tcPr>
          <w:p>
            <w:pPr>
              <w:spacing w:after="0"/>
            </w:pPr>
            <w:r>
              <w:rPr>
                <w:sz w:val="19"/>
              </w:rPr>
              <w:t>ENIG only — insufficient wear resistance on connector tail</w:t>
            </w:r>
          </w:p>
        </w:tc>
      </w:tr>
      <w:tr>
        <w:tc>
          <w:tcPr>
            <w:tcW w:type="dxa" w:w="2592"/>
          </w:tcPr>
          <w:p>
            <w:pPr>
              <w:spacing w:after="0"/>
            </w:pPr>
            <w:r>
              <w:rPr>
                <w:sz w:val="19"/>
              </w:rPr>
              <w:t>Dynamic bend radius</w:t>
            </w:r>
          </w:p>
        </w:tc>
        <w:tc>
          <w:tcPr>
            <w:tcW w:type="dxa" w:w="3744"/>
          </w:tcPr>
          <w:p>
            <w:pPr>
              <w:spacing w:after="0"/>
            </w:pPr>
            <w:r>
              <w:rPr>
                <w:sz w:val="19"/>
              </w:rPr>
              <w:t>≥ 25 mm at all bend zones — must be stated on drawing</w:t>
            </w:r>
          </w:p>
        </w:tc>
        <w:tc>
          <w:tcPr>
            <w:tcW w:type="dxa" w:w="4032"/>
          </w:tcPr>
          <w:p>
            <w:pPr>
              <w:spacing w:after="0"/>
            </w:pPr>
            <w:r>
              <w:rPr>
                <w:sz w:val="19"/>
              </w:rPr>
              <w:t>No bend radius enforcement</w:t>
            </w:r>
          </w:p>
        </w:tc>
      </w:tr>
      <w:tr>
        <w:tc>
          <w:tcPr>
            <w:tcW w:type="dxa" w:w="2592"/>
          </w:tcPr>
          <w:p>
            <w:pPr>
              <w:spacing w:after="0"/>
            </w:pPr>
            <w:r>
              <w:rPr>
                <w:sz w:val="19"/>
              </w:rPr>
              <w:t>IPC class</w:t>
            </w:r>
          </w:p>
        </w:tc>
        <w:tc>
          <w:tcPr>
            <w:tcW w:type="dxa" w:w="3744"/>
          </w:tcPr>
          <w:p>
            <w:pPr>
              <w:spacing w:after="0"/>
            </w:pPr>
            <w:r>
              <w:rPr>
                <w:sz w:val="19"/>
              </w:rPr>
              <w:t>Class 2 minimum</w:t>
            </w:r>
          </w:p>
        </w:tc>
        <w:tc>
          <w:tcPr>
            <w:tcW w:type="dxa" w:w="4032"/>
          </w:tcPr>
          <w:p>
            <w:pPr>
              <w:spacing w:after="0"/>
            </w:pPr>
            <w:r>
              <w:rPr>
                <w:sz w:val="19"/>
              </w:rPr>
              <w:t>Class 1</w:t>
            </w:r>
          </w:p>
        </w:tc>
      </w:tr>
      <w:tr>
        <w:tc>
          <w:tcPr>
            <w:tcW w:type="dxa" w:w="2592"/>
          </w:tcPr>
          <w:p>
            <w:pPr>
              <w:spacing w:after="0"/>
            </w:pPr>
            <w:r>
              <w:rPr>
                <w:sz w:val="19"/>
              </w:rPr>
              <w:t>Flammability</w:t>
            </w:r>
          </w:p>
        </w:tc>
        <w:tc>
          <w:tcPr>
            <w:tcW w:type="dxa" w:w="3744"/>
          </w:tcPr>
          <w:p>
            <w:pPr>
              <w:spacing w:after="0"/>
            </w:pPr>
            <w:r>
              <w:rPr>
                <w:sz w:val="19"/>
              </w:rPr>
              <w:t>UL 94 V-0</w:t>
            </w:r>
          </w:p>
        </w:tc>
        <w:tc>
          <w:tcPr>
            <w:tcW w:type="dxa" w:w="4032"/>
          </w:tcPr>
          <w:p>
            <w:pPr>
              <w:spacing w:after="0"/>
            </w:pPr>
            <w:r>
              <w:rPr>
                <w:sz w:val="19"/>
              </w:rPr>
              <w:t>Not specified</w:t>
            </w:r>
          </w:p>
        </w:tc>
      </w:tr>
      <w:tr>
        <w:tc>
          <w:tcPr>
            <w:tcW w:type="dxa" w:w="2592"/>
          </w:tcPr>
          <w:p>
            <w:pPr>
              <w:spacing w:after="0"/>
            </w:pPr>
            <w:r>
              <w:rPr>
                <w:sz w:val="19"/>
              </w:rPr>
              <w:t>Certificate of conformance</w:t>
            </w:r>
          </w:p>
        </w:tc>
        <w:tc>
          <w:tcPr>
            <w:tcW w:type="dxa" w:w="3744"/>
          </w:tcPr>
          <w:p>
            <w:pPr>
              <w:spacing w:after="0"/>
            </w:pPr>
            <w:r>
              <w:rPr>
                <w:sz w:val="19"/>
              </w:rPr>
              <w:t>Required per lot</w:t>
            </w:r>
          </w:p>
        </w:tc>
        <w:tc>
          <w:tcPr>
            <w:tcW w:type="dxa" w:w="4032"/>
          </w:tcPr>
          <w:p>
            <w:pPr>
              <w:spacing w:after="0"/>
            </w:pPr>
            <w:r>
              <w:rPr>
                <w:sz w:val="19"/>
              </w:rPr>
              <w:t>Not provided unless requested</w:t>
            </w:r>
          </w:p>
        </w:tc>
      </w:tr>
    </w:tbl>
    <w:p/>
    <w:p>
      <w:pPr>
        <w:spacing w:before="140"/>
      </w:pPr>
      <w:r>
        <w:rPr>
          <w:b/>
          <w:sz w:val="21"/>
        </w:rPr>
        <w:t>Purchase Order Language — FPC Fabrication</w:t>
      </w:r>
    </w:p>
    <w:p>
      <w:pPr>
        <w:spacing w:before="120" w:after="120"/>
        <w:ind w:left="576" w:right="576"/>
      </w:pPr>
      <w:r>
        <w:rPr>
          <w:i/>
          <w:sz w:val="21"/>
        </w:rPr>
        <w:t>"COPPER TYPE: ROLLED ANNEALED (RA) — ELECTRODEPOSITED (ED) COPPER IS NOT ACCEPTABLE AND WILL RESULT IN REJECTION OF THE ENTIRE LOT. COPPER WEIGHT: 1 OZ (35 µm) ON ALL LAYERS. MINIMUM POWER TRACE WIDTH: 2.0 mm ON ALL VLED AND GND RAILS AS SHOWN ON DRAWING. IPC CLASS 2. UL 94 V-0. CERTIFICATE OF CONFORMANCE REQUIRED."</w:t>
      </w:r>
    </w:p>
    <w:p>
      <w:pPr>
        <w:spacing w:before="140"/>
      </w:pPr>
      <w:r>
        <w:rPr>
          <w:b/>
          <w:sz w:val="21"/>
        </w:rPr>
        <w:t>Incoming Inspection — FPC</w:t>
      </w:r>
    </w:p>
    <w:p>
      <w:pPr>
        <w:pStyle w:val="ListNumber"/>
        <w:spacing w:after="60"/>
      </w:pPr>
      <w:r>
        <w:rPr>
          <w:sz w:val="21"/>
        </w:rPr>
        <w:t>Request material certification confirming RA copper from FPC fabricator. Reject lot if only ED copper certification is provided.</w:t>
      </w:r>
    </w:p>
    <w:p>
      <w:pPr>
        <w:pStyle w:val="ListNumber"/>
        <w:spacing w:after="60"/>
      </w:pPr>
      <w:r>
        <w:rPr>
          <w:sz w:val="21"/>
        </w:rPr>
        <w:t>Measure copper trace width on power rails using calibrated optical comparator or cross-section: minimum 2.0 mm on VLED_660, GND_660, VLED_808, GND_808 buses. Sample: 3 units per lot.</w:t>
      </w:r>
    </w:p>
    <w:p>
      <w:pPr>
        <w:pStyle w:val="ListNumber"/>
        <w:spacing w:after="60"/>
      </w:pPr>
      <w:r>
        <w:rPr>
          <w:sz w:val="21"/>
        </w:rPr>
        <w:t>Verify connector tail gold thickness via XRF: ≥ 0.5 µm hard gold. Sample: 2 units per lot.</w:t>
      </w:r>
    </w:p>
    <w:p>
      <w:pPr>
        <w:pStyle w:val="ListNumber"/>
        <w:spacing w:after="60"/>
      </w:pPr>
      <w:r>
        <w:rPr>
          <w:sz w:val="21"/>
        </w:rPr>
        <w:t>Perform 20 insertion/extraction cycles on 2 sample units through the production ZIF connector. Verify connector tail shows no delamination, pad lifting, or gold wear through to base metal.</w:t>
      </w:r>
    </w:p>
    <w:p>
      <w:pPr>
        <w:spacing w:before="280" w:after="80"/>
      </w:pPr>
      <w:r>
        <w:rPr>
          <w:b/>
          <w:color w:val="003366"/>
          <w:sz w:val="26"/>
        </w:rPr>
        <w:t>6.  PDMS OPTICAL WINDOW MATERIAL</w:t>
      </w:r>
    </w:p>
    <w:p>
      <w:pPr>
        <w:ind w:left="288"/>
      </w:pPr>
      <w:r>
        <w:rPr>
          <w:i/>
          <w:color w:val="CC4400"/>
          <w:sz w:val="19"/>
        </w:rPr>
        <w:t>⚠  RISK-04 (HIGH): PDMS–polyimide CTE mismatch (15:1) requires specific bonding process (sputtered SiO₂ interlayer). Standard PDMS from any supplier is acceptable for the base material; the bonding process is the critical variable. See NP-HW-FPC-001 §9 for full bonding process specification.</w:t>
      </w:r>
    </w:p>
    <w:tbl>
      <w:tblPr>
        <w:tblStyle w:val="TableGrid"/>
        <w:tblW w:type="auto" w:w="0"/>
        <w:tblLook w:firstColumn="1" w:firstRow="1" w:lastColumn="0" w:lastRow="0" w:noHBand="0" w:noVBand="1" w:val="04A0"/>
      </w:tblPr>
      <w:tblGrid>
        <w:gridCol w:w="4680"/>
        <w:gridCol w:w="4680"/>
      </w:tblGrid>
      <w:tr>
        <w:tc>
          <w:tcPr>
            <w:tcW w:type="dxa" w:w="3168"/>
          </w:tcPr>
          <w:p>
            <w:pPr>
              <w:spacing w:after="0"/>
            </w:pPr>
            <w:r>
              <w:rPr>
                <w:b/>
                <w:sz w:val="19"/>
              </w:rPr>
              <w:t>Parameter</w:t>
            </w:r>
          </w:p>
        </w:tc>
        <w:tc>
          <w:tcPr>
            <w:tcW w:type="dxa" w:w="7200"/>
          </w:tcPr>
          <w:p>
            <w:pPr>
              <w:spacing w:after="0"/>
            </w:pPr>
            <w:r>
              <w:rPr>
                <w:b/>
                <w:sz w:val="19"/>
              </w:rPr>
              <w:t>Required specification</w:t>
            </w:r>
          </w:p>
        </w:tc>
      </w:tr>
      <w:tr>
        <w:tc>
          <w:tcPr>
            <w:tcW w:type="dxa" w:w="3168"/>
          </w:tcPr>
          <w:p>
            <w:pPr>
              <w:spacing w:after="0"/>
            </w:pPr>
            <w:r>
              <w:rPr>
                <w:sz w:val="19"/>
              </w:rPr>
              <w:t>Base material</w:t>
            </w:r>
          </w:p>
        </w:tc>
        <w:tc>
          <w:tcPr>
            <w:tcW w:type="dxa" w:w="7200"/>
          </w:tcPr>
          <w:p>
            <w:pPr>
              <w:spacing w:after="0"/>
            </w:pPr>
            <w:r>
              <w:rPr>
                <w:sz w:val="19"/>
              </w:rPr>
              <w:t>Polydimethylsiloxane (PDMS)</w:t>
            </w:r>
          </w:p>
        </w:tc>
      </w:tr>
      <w:tr>
        <w:tc>
          <w:tcPr>
            <w:tcW w:type="dxa" w:w="3168"/>
          </w:tcPr>
          <w:p>
            <w:pPr>
              <w:spacing w:after="0"/>
            </w:pPr>
            <w:r>
              <w:rPr>
                <w:sz w:val="19"/>
              </w:rPr>
              <w:t>Approved formulation</w:t>
            </w:r>
          </w:p>
        </w:tc>
        <w:tc>
          <w:tcPr>
            <w:tcW w:type="dxa" w:w="7200"/>
          </w:tcPr>
          <w:p>
            <w:pPr>
              <w:spacing w:after="0"/>
            </w:pPr>
            <w:r>
              <w:rPr>
                <w:sz w:val="19"/>
              </w:rPr>
              <w:t>Dow Sylgard 184 (primary)  |  equivalent 10:1 base:curing agent formulation (backup — confirm optical transmission)</w:t>
            </w:r>
          </w:p>
        </w:tc>
      </w:tr>
      <w:tr>
        <w:tc>
          <w:tcPr>
            <w:tcW w:type="dxa" w:w="3168"/>
          </w:tcPr>
          <w:p>
            <w:pPr>
              <w:spacing w:after="0"/>
            </w:pPr>
            <w:r>
              <w:rPr>
                <w:sz w:val="19"/>
              </w:rPr>
              <w:t>Mixing ratio</w:t>
            </w:r>
          </w:p>
        </w:tc>
        <w:tc>
          <w:tcPr>
            <w:tcW w:type="dxa" w:w="7200"/>
          </w:tcPr>
          <w:p>
            <w:pPr>
              <w:spacing w:after="0"/>
            </w:pPr>
            <w:r>
              <w:rPr>
                <w:sz w:val="19"/>
              </w:rPr>
              <w:t>10:1 base:curing agent by weight — must be recorded on batch traveller</w:t>
            </w:r>
          </w:p>
        </w:tc>
      </w:tr>
      <w:tr>
        <w:tc>
          <w:tcPr>
            <w:tcW w:type="dxa" w:w="3168"/>
          </w:tcPr>
          <w:p>
            <w:pPr>
              <w:spacing w:after="0"/>
            </w:pPr>
            <w:r>
              <w:rPr>
                <w:sz w:val="19"/>
              </w:rPr>
              <w:t>Cure conditions</w:t>
            </w:r>
          </w:p>
        </w:tc>
        <w:tc>
          <w:tcPr>
            <w:tcW w:type="dxa" w:w="7200"/>
          </w:tcPr>
          <w:p>
            <w:pPr>
              <w:spacing w:after="0"/>
            </w:pPr>
            <w:r>
              <w:rPr>
                <w:sz w:val="19"/>
              </w:rPr>
              <w:t>80°C for 2 hours minimum — or 120°C for 1 hour. Do not cure at room temperature (insufficient crosslink density for thermal cycling resistance).</w:t>
            </w:r>
          </w:p>
        </w:tc>
      </w:tr>
      <w:tr>
        <w:tc>
          <w:tcPr>
            <w:tcW w:type="dxa" w:w="3168"/>
          </w:tcPr>
          <w:p>
            <w:pPr>
              <w:spacing w:after="0"/>
            </w:pPr>
            <w:r>
              <w:rPr>
                <w:sz w:val="19"/>
              </w:rPr>
              <w:t>Optical transmission at 660 nm (through spec thickness)</w:t>
            </w:r>
          </w:p>
        </w:tc>
        <w:tc>
          <w:tcPr>
            <w:tcW w:type="dxa" w:w="7200"/>
          </w:tcPr>
          <w:p>
            <w:pPr>
              <w:spacing w:after="0"/>
            </w:pPr>
            <w:r>
              <w:rPr>
                <w:sz w:val="19"/>
              </w:rPr>
              <w:t>&gt; 92% — measure before bonding; reject batches below threshold</w:t>
            </w:r>
          </w:p>
        </w:tc>
      </w:tr>
      <w:tr>
        <w:tc>
          <w:tcPr>
            <w:tcW w:type="dxa" w:w="3168"/>
          </w:tcPr>
          <w:p>
            <w:pPr>
              <w:spacing w:after="0"/>
            </w:pPr>
            <w:r>
              <w:rPr>
                <w:sz w:val="19"/>
              </w:rPr>
              <w:t>Optical transmission at 808–830 nm</w:t>
            </w:r>
          </w:p>
        </w:tc>
        <w:tc>
          <w:tcPr>
            <w:tcW w:type="dxa" w:w="7200"/>
          </w:tcPr>
          <w:p>
            <w:pPr>
              <w:spacing w:after="0"/>
            </w:pPr>
            <w:r>
              <w:rPr>
                <w:sz w:val="19"/>
              </w:rPr>
              <w:t>&gt; 94%</w:t>
            </w:r>
          </w:p>
        </w:tc>
      </w:tr>
      <w:tr>
        <w:tc>
          <w:tcPr>
            <w:tcW w:type="dxa" w:w="3168"/>
          </w:tcPr>
          <w:p>
            <w:pPr>
              <w:spacing w:after="0"/>
            </w:pPr>
            <w:r>
              <w:rPr>
                <w:sz w:val="19"/>
              </w:rPr>
              <w:t>Shore hardness</w:t>
            </w:r>
          </w:p>
        </w:tc>
        <w:tc>
          <w:tcPr>
            <w:tcW w:type="dxa" w:w="7200"/>
          </w:tcPr>
          <w:p>
            <w:pPr>
              <w:spacing w:after="0"/>
            </w:pPr>
            <w:r>
              <w:rPr>
                <w:sz w:val="19"/>
              </w:rPr>
              <w:t>40–50 A (confirm from formulation datasheet)</w:t>
            </w:r>
          </w:p>
        </w:tc>
      </w:tr>
      <w:tr>
        <w:tc>
          <w:tcPr>
            <w:tcW w:type="dxa" w:w="3168"/>
          </w:tcPr>
          <w:p>
            <w:pPr>
              <w:spacing w:after="0"/>
            </w:pPr>
            <w:r>
              <w:rPr>
                <w:sz w:val="19"/>
              </w:rPr>
              <w:t>Batch traceability</w:t>
            </w:r>
          </w:p>
        </w:tc>
        <w:tc>
          <w:tcPr>
            <w:tcW w:type="dxa" w:w="7200"/>
          </w:tcPr>
          <w:p>
            <w:pPr>
              <w:spacing w:after="0"/>
            </w:pPr>
            <w:r>
              <w:rPr>
                <w:sz w:val="19"/>
              </w:rPr>
              <w:t>Lot number of base and curing agent must be recorded in batch traveller for each production run</w:t>
            </w:r>
          </w:p>
        </w:tc>
      </w:tr>
      <w:tr>
        <w:tc>
          <w:tcPr>
            <w:tcW w:type="dxa" w:w="3168"/>
          </w:tcPr>
          <w:p>
            <w:pPr>
              <w:spacing w:after="0"/>
            </w:pPr>
            <w:r>
              <w:rPr>
                <w:sz w:val="19"/>
              </w:rPr>
              <w:t>Storage</w:t>
            </w:r>
          </w:p>
        </w:tc>
        <w:tc>
          <w:tcPr>
            <w:tcW w:type="dxa" w:w="7200"/>
          </w:tcPr>
          <w:p>
            <w:pPr>
              <w:spacing w:after="0"/>
            </w:pPr>
            <w:r>
              <w:rPr>
                <w:sz w:val="19"/>
              </w:rPr>
              <w:t>Unmixed components: store at 4–8°C, away from UV. Mixed/uncured PDMS: use within 4 hours of mixing or discard.</w:t>
            </w:r>
          </w:p>
        </w:tc>
      </w:tr>
      <w:tr>
        <w:tc>
          <w:tcPr>
            <w:tcW w:type="dxa" w:w="3168"/>
          </w:tcPr>
          <w:p>
            <w:pPr>
              <w:spacing w:after="0"/>
            </w:pPr>
            <w:r>
              <w:rPr>
                <w:sz w:val="19"/>
              </w:rPr>
              <w:t>Bonding process requirement</w:t>
            </w:r>
          </w:p>
        </w:tc>
        <w:tc>
          <w:tcPr>
            <w:tcW w:type="dxa" w:w="7200"/>
          </w:tcPr>
          <w:p>
            <w:pPr>
              <w:spacing w:after="0"/>
            </w:pPr>
            <w:r>
              <w:rPr>
                <w:sz w:val="19"/>
              </w:rPr>
              <w:t>Sputtered SiO₂ interlayer (75 nm) on PI surface required before O₂ plasma activation. Simple O₂ plasma bond alone is NOT acceptable for production — see NP-HW-FPC-001 §9.2.</w:t>
            </w:r>
          </w:p>
        </w:tc>
      </w:tr>
    </w:tbl>
    <w:p/>
    <w:p>
      <w:pPr>
        <w:ind w:left="288"/>
      </w:pPr>
      <w:r>
        <w:rPr>
          <w:i/>
          <w:sz w:val="19"/>
        </w:rPr>
        <w:t>PDMS is a commodity material. Supplier qualification is less critical than for electronic components. The bonding process (§9.2 of spec) is the quality gate — peel test per batch is the acceptance criterion, not PDMS material source.</w:t>
      </w:r>
    </w:p>
    <w:p>
      <w:pPr>
        <w:spacing w:before="280" w:after="80"/>
      </w:pPr>
      <w:r>
        <w:rPr>
          <w:b/>
          <w:color w:val="003366"/>
          <w:sz w:val="26"/>
        </w:rPr>
        <w:t>7.  INCOMING INSPECTION SUMMARY</w:t>
      </w:r>
    </w:p>
    <w:p>
      <w:pPr>
        <w:ind w:firstLine="288"/>
      </w:pPr>
      <w:r>
        <w:t>The following table summarises all incoming inspection requirements across all component categories. Inspection records must be retained for a minimum of 7 years for medical device traceability.</w:t>
      </w:r>
    </w:p>
    <w:tbl>
      <w:tblPr>
        <w:tblStyle w:val="TableGrid"/>
        <w:tblW w:type="auto" w:w="0"/>
        <w:tblLook w:firstColumn="1" w:firstRow="1" w:lastColumn="0" w:lastRow="0" w:noHBand="0" w:noVBand="1" w:val="04A0"/>
      </w:tblPr>
      <w:tblGrid>
        <w:gridCol w:w="2340"/>
        <w:gridCol w:w="2340"/>
        <w:gridCol w:w="2340"/>
        <w:gridCol w:w="2340"/>
      </w:tblGrid>
      <w:tr>
        <w:tc>
          <w:tcPr>
            <w:tcW w:type="dxa" w:w="2016"/>
          </w:tcPr>
          <w:p>
            <w:pPr>
              <w:spacing w:after="0"/>
            </w:pPr>
            <w:r>
              <w:rPr>
                <w:b/>
                <w:sz w:val="19"/>
              </w:rPr>
              <w:t>Component</w:t>
            </w:r>
          </w:p>
        </w:tc>
        <w:tc>
          <w:tcPr>
            <w:tcW w:type="dxa" w:w="3168"/>
          </w:tcPr>
          <w:p>
            <w:pPr>
              <w:spacing w:after="0"/>
            </w:pPr>
            <w:r>
              <w:rPr>
                <w:b/>
                <w:sz w:val="19"/>
              </w:rPr>
              <w:t>Critical inspection item</w:t>
            </w:r>
          </w:p>
        </w:tc>
        <w:tc>
          <w:tcPr>
            <w:tcW w:type="dxa" w:w="2592"/>
          </w:tcPr>
          <w:p>
            <w:pPr>
              <w:spacing w:after="0"/>
            </w:pPr>
            <w:r>
              <w:rPr>
                <w:b/>
                <w:sz w:val="19"/>
              </w:rPr>
              <w:t>Reject criterion</w:t>
            </w:r>
          </w:p>
        </w:tc>
        <w:tc>
          <w:tcPr>
            <w:tcW w:type="dxa" w:w="1728"/>
          </w:tcPr>
          <w:p>
            <w:pPr>
              <w:spacing w:after="0"/>
            </w:pPr>
            <w:r>
              <w:rPr>
                <w:b/>
                <w:sz w:val="19"/>
              </w:rPr>
              <w:t>Sample size</w:t>
            </w:r>
          </w:p>
        </w:tc>
      </w:tr>
      <w:tr>
        <w:tc>
          <w:tcPr>
            <w:tcW w:type="dxa" w:w="2016"/>
          </w:tcPr>
          <w:p>
            <w:pPr>
              <w:spacing w:after="0"/>
            </w:pPr>
            <w:r>
              <w:rPr>
                <w:sz w:val="19"/>
              </w:rPr>
              <w:t>660 nm LED</w:t>
            </w:r>
          </w:p>
        </w:tc>
        <w:tc>
          <w:tcPr>
            <w:tcW w:type="dxa" w:w="3168"/>
          </w:tcPr>
          <w:p>
            <w:pPr>
              <w:spacing w:after="0"/>
            </w:pPr>
            <w:r>
              <w:rPr>
                <w:sz w:val="19"/>
              </w:rPr>
              <w:t>Vf distribution certificate provided</w:t>
            </w:r>
          </w:p>
        </w:tc>
        <w:tc>
          <w:tcPr>
            <w:tcW w:type="dxa" w:w="2592"/>
          </w:tcPr>
          <w:p>
            <w:pPr>
              <w:spacing w:after="0"/>
            </w:pPr>
            <w:r>
              <w:rPr>
                <w:sz w:val="19"/>
              </w:rPr>
              <w:t>Missing certificate → reject shipment</w:t>
            </w:r>
          </w:p>
        </w:tc>
        <w:tc>
          <w:tcPr>
            <w:tcW w:type="dxa" w:w="1728"/>
          </w:tcPr>
          <w:p>
            <w:pPr>
              <w:spacing w:after="0"/>
            </w:pPr>
            <w:r>
              <w:rPr>
                <w:sz w:val="19"/>
              </w:rPr>
              <w:t>Per shipment</w:t>
            </w:r>
          </w:p>
        </w:tc>
      </w:tr>
      <w:tr>
        <w:tc>
          <w:tcPr>
            <w:tcW w:type="dxa" w:w="2016"/>
          </w:tcPr>
          <w:p>
            <w:pPr>
              <w:spacing w:after="0"/>
            </w:pPr>
            <w:r>
              <w:rPr>
                <w:sz w:val="19"/>
              </w:rPr>
              <w:t>660 nm LED</w:t>
            </w:r>
          </w:p>
        </w:tc>
        <w:tc>
          <w:tcPr>
            <w:tcW w:type="dxa" w:w="3168"/>
          </w:tcPr>
          <w:p>
            <w:pPr>
              <w:spacing w:after="0"/>
            </w:pPr>
            <w:r>
              <w:rPr>
                <w:sz w:val="19"/>
              </w:rPr>
              <w:t>Vf spread within ±0.15 V of lot mean</w:t>
            </w:r>
          </w:p>
        </w:tc>
        <w:tc>
          <w:tcPr>
            <w:tcW w:type="dxa" w:w="2592"/>
          </w:tcPr>
          <w:p>
            <w:pPr>
              <w:spacing w:after="0"/>
            </w:pPr>
            <w:r>
              <w:rPr>
                <w:sz w:val="19"/>
              </w:rPr>
              <w:t>Any unit outside → quarantine lot</w:t>
            </w:r>
          </w:p>
        </w:tc>
        <w:tc>
          <w:tcPr>
            <w:tcW w:type="dxa" w:w="1728"/>
          </w:tcPr>
          <w:p>
            <w:pPr>
              <w:spacing w:after="0"/>
            </w:pPr>
            <w:r>
              <w:rPr>
                <w:sz w:val="19"/>
              </w:rPr>
              <w:t>10 units / lot</w:t>
            </w:r>
          </w:p>
        </w:tc>
      </w:tr>
      <w:tr>
        <w:tc>
          <w:tcPr>
            <w:tcW w:type="dxa" w:w="2016"/>
          </w:tcPr>
          <w:p>
            <w:pPr>
              <w:spacing w:after="0"/>
            </w:pPr>
            <w:r>
              <w:rPr>
                <w:sz w:val="19"/>
              </w:rPr>
              <w:t>660 nm LED</w:t>
            </w:r>
          </w:p>
        </w:tc>
        <w:tc>
          <w:tcPr>
            <w:tcW w:type="dxa" w:w="3168"/>
          </w:tcPr>
          <w:p>
            <w:pPr>
              <w:spacing w:after="0"/>
            </w:pPr>
            <w:r>
              <w:rPr>
                <w:sz w:val="19"/>
              </w:rPr>
              <w:t>Peak wavelength 655–670 nm</w:t>
            </w:r>
          </w:p>
        </w:tc>
        <w:tc>
          <w:tcPr>
            <w:tcW w:type="dxa" w:w="2592"/>
          </w:tcPr>
          <w:p>
            <w:pPr>
              <w:spacing w:after="0"/>
            </w:pPr>
            <w:r>
              <w:rPr>
                <w:sz w:val="19"/>
              </w:rPr>
              <w:t>Any unit outside ±5 nm of range</w:t>
            </w:r>
          </w:p>
        </w:tc>
        <w:tc>
          <w:tcPr>
            <w:tcW w:type="dxa" w:w="1728"/>
          </w:tcPr>
          <w:p>
            <w:pPr>
              <w:spacing w:after="0"/>
            </w:pPr>
            <w:r>
              <w:rPr>
                <w:sz w:val="19"/>
              </w:rPr>
              <w:t>5 units / lot</w:t>
            </w:r>
          </w:p>
        </w:tc>
      </w:tr>
      <w:tr>
        <w:tc>
          <w:tcPr>
            <w:tcW w:type="dxa" w:w="2016"/>
          </w:tcPr>
          <w:p>
            <w:pPr>
              <w:spacing w:after="0"/>
            </w:pPr>
            <w:r>
              <w:rPr>
                <w:sz w:val="19"/>
              </w:rPr>
              <w:t>808–830 nm LED</w:t>
            </w:r>
          </w:p>
        </w:tc>
        <w:tc>
          <w:tcPr>
            <w:tcW w:type="dxa" w:w="3168"/>
          </w:tcPr>
          <w:p>
            <w:pPr>
              <w:spacing w:after="0"/>
            </w:pPr>
            <w:r>
              <w:rPr>
                <w:sz w:val="19"/>
              </w:rPr>
              <w:t>Vf distribution certificate provided</w:t>
            </w:r>
          </w:p>
        </w:tc>
        <w:tc>
          <w:tcPr>
            <w:tcW w:type="dxa" w:w="2592"/>
          </w:tcPr>
          <w:p>
            <w:pPr>
              <w:spacing w:after="0"/>
            </w:pPr>
            <w:r>
              <w:rPr>
                <w:sz w:val="19"/>
              </w:rPr>
              <w:t>Missing certificate → reject shipment</w:t>
            </w:r>
          </w:p>
        </w:tc>
        <w:tc>
          <w:tcPr>
            <w:tcW w:type="dxa" w:w="1728"/>
          </w:tcPr>
          <w:p>
            <w:pPr>
              <w:spacing w:after="0"/>
            </w:pPr>
            <w:r>
              <w:rPr>
                <w:sz w:val="19"/>
              </w:rPr>
              <w:t>Per shipment</w:t>
            </w:r>
          </w:p>
        </w:tc>
      </w:tr>
      <w:tr>
        <w:tc>
          <w:tcPr>
            <w:tcW w:type="dxa" w:w="2016"/>
          </w:tcPr>
          <w:p>
            <w:pPr>
              <w:spacing w:after="0"/>
            </w:pPr>
            <w:r>
              <w:rPr>
                <w:sz w:val="19"/>
              </w:rPr>
              <w:t>808–830 nm LED</w:t>
            </w:r>
          </w:p>
        </w:tc>
        <w:tc>
          <w:tcPr>
            <w:tcW w:type="dxa" w:w="3168"/>
          </w:tcPr>
          <w:p>
            <w:pPr>
              <w:spacing w:after="0"/>
            </w:pPr>
            <w:r>
              <w:rPr>
                <w:sz w:val="19"/>
              </w:rPr>
              <w:t>Vf spread within ±0.15 V of lot mean</w:t>
            </w:r>
          </w:p>
        </w:tc>
        <w:tc>
          <w:tcPr>
            <w:tcW w:type="dxa" w:w="2592"/>
          </w:tcPr>
          <w:p>
            <w:pPr>
              <w:spacing w:after="0"/>
            </w:pPr>
            <w:r>
              <w:rPr>
                <w:sz w:val="19"/>
              </w:rPr>
              <w:t>Any unit outside → quarantine lot</w:t>
            </w:r>
          </w:p>
        </w:tc>
        <w:tc>
          <w:tcPr>
            <w:tcW w:type="dxa" w:w="1728"/>
          </w:tcPr>
          <w:p>
            <w:pPr>
              <w:spacing w:after="0"/>
            </w:pPr>
            <w:r>
              <w:rPr>
                <w:sz w:val="19"/>
              </w:rPr>
              <w:t>10 units / lot</w:t>
            </w:r>
          </w:p>
        </w:tc>
      </w:tr>
      <w:tr>
        <w:tc>
          <w:tcPr>
            <w:tcW w:type="dxa" w:w="2016"/>
          </w:tcPr>
          <w:p>
            <w:pPr>
              <w:spacing w:after="0"/>
            </w:pPr>
            <w:r>
              <w:rPr>
                <w:sz w:val="19"/>
              </w:rPr>
              <w:t>808–830 nm LED</w:t>
            </w:r>
          </w:p>
        </w:tc>
        <w:tc>
          <w:tcPr>
            <w:tcW w:type="dxa" w:w="3168"/>
          </w:tcPr>
          <w:p>
            <w:pPr>
              <w:spacing w:after="0"/>
            </w:pPr>
            <w:r>
              <w:rPr>
                <w:sz w:val="19"/>
              </w:rPr>
              <w:t>Peak wavelength 805–835 nm</w:t>
            </w:r>
          </w:p>
        </w:tc>
        <w:tc>
          <w:tcPr>
            <w:tcW w:type="dxa" w:w="2592"/>
          </w:tcPr>
          <w:p>
            <w:pPr>
              <w:spacing w:after="0"/>
            </w:pPr>
            <w:r>
              <w:rPr>
                <w:sz w:val="19"/>
              </w:rPr>
              <w:t>Any unit outside ±10 nm</w:t>
            </w:r>
          </w:p>
        </w:tc>
        <w:tc>
          <w:tcPr>
            <w:tcW w:type="dxa" w:w="1728"/>
          </w:tcPr>
          <w:p>
            <w:pPr>
              <w:spacing w:after="0"/>
            </w:pPr>
            <w:r>
              <w:rPr>
                <w:sz w:val="19"/>
              </w:rPr>
              <w:t>5 units / lot</w:t>
            </w:r>
          </w:p>
        </w:tc>
      </w:tr>
      <w:tr>
        <w:tc>
          <w:tcPr>
            <w:tcW w:type="dxa" w:w="2016"/>
          </w:tcPr>
          <w:p>
            <w:pPr>
              <w:spacing w:after="0"/>
            </w:pPr>
            <w:r>
              <w:rPr>
                <w:sz w:val="19"/>
              </w:rPr>
              <w:t>BCR421W</w:t>
            </w:r>
          </w:p>
        </w:tc>
        <w:tc>
          <w:tcPr>
            <w:tcW w:type="dxa" w:w="3168"/>
          </w:tcPr>
          <w:p>
            <w:pPr>
              <w:spacing w:after="0"/>
            </w:pPr>
            <w:r>
              <w:rPr>
                <w:sz w:val="19"/>
              </w:rPr>
              <w:t>Part number marking confirms W variant (not U)</w:t>
            </w:r>
          </w:p>
        </w:tc>
        <w:tc>
          <w:tcPr>
            <w:tcW w:type="dxa" w:w="2592"/>
          </w:tcPr>
          <w:p>
            <w:pPr>
              <w:spacing w:after="0"/>
            </w:pPr>
            <w:r>
              <w:rPr>
                <w:sz w:val="19"/>
              </w:rPr>
              <w:t>Any BCR421U found → reject entire lot</w:t>
            </w:r>
          </w:p>
        </w:tc>
        <w:tc>
          <w:tcPr>
            <w:tcW w:type="dxa" w:w="1728"/>
          </w:tcPr>
          <w:p>
            <w:pPr>
              <w:spacing w:after="0"/>
            </w:pPr>
            <w:r>
              <w:rPr>
                <w:sz w:val="19"/>
              </w:rPr>
              <w:t>10 units / lot</w:t>
            </w:r>
          </w:p>
        </w:tc>
      </w:tr>
      <w:tr>
        <w:tc>
          <w:tcPr>
            <w:tcW w:type="dxa" w:w="2016"/>
          </w:tcPr>
          <w:p>
            <w:pPr>
              <w:spacing w:after="0"/>
            </w:pPr>
            <w:r>
              <w:rPr>
                <w:sz w:val="19"/>
              </w:rPr>
              <w:t>BCR421W</w:t>
            </w:r>
          </w:p>
        </w:tc>
        <w:tc>
          <w:tcPr>
            <w:tcW w:type="dxa" w:w="3168"/>
          </w:tcPr>
          <w:p>
            <w:pPr>
              <w:spacing w:after="0"/>
            </w:pPr>
            <w:r>
              <w:rPr>
                <w:sz w:val="19"/>
              </w:rPr>
              <w:t>Purchase from authorised distributor</w:t>
            </w:r>
          </w:p>
        </w:tc>
        <w:tc>
          <w:tcPr>
            <w:tcW w:type="dxa" w:w="2592"/>
          </w:tcPr>
          <w:p>
            <w:pPr>
              <w:spacing w:after="0"/>
            </w:pPr>
            <w:r>
              <w:rPr>
                <w:sz w:val="19"/>
              </w:rPr>
              <w:t>Grey market source → reject</w:t>
            </w:r>
          </w:p>
        </w:tc>
        <w:tc>
          <w:tcPr>
            <w:tcW w:type="dxa" w:w="1728"/>
          </w:tcPr>
          <w:p>
            <w:pPr>
              <w:spacing w:after="0"/>
            </w:pPr>
            <w:r>
              <w:rPr>
                <w:sz w:val="19"/>
              </w:rPr>
              <w:t>Per PO</w:t>
            </w:r>
          </w:p>
        </w:tc>
      </w:tr>
      <w:tr>
        <w:tc>
          <w:tcPr>
            <w:tcW w:type="dxa" w:w="2016"/>
          </w:tcPr>
          <w:p>
            <w:pPr>
              <w:spacing w:after="0"/>
            </w:pPr>
            <w:r>
              <w:rPr>
                <w:sz w:val="19"/>
              </w:rPr>
              <w:t>FH34S connector</w:t>
            </w:r>
          </w:p>
        </w:tc>
        <w:tc>
          <w:tcPr>
            <w:tcW w:type="dxa" w:w="3168"/>
          </w:tcPr>
          <w:p>
            <w:pPr>
              <w:spacing w:after="0"/>
            </w:pPr>
            <w:r>
              <w:rPr>
                <w:sz w:val="19"/>
              </w:rPr>
              <w:t>Part number and position count (20) confirmed</w:t>
            </w:r>
          </w:p>
        </w:tc>
        <w:tc>
          <w:tcPr>
            <w:tcW w:type="dxa" w:w="2592"/>
          </w:tcPr>
          <w:p>
            <w:pPr>
              <w:spacing w:after="0"/>
            </w:pPr>
            <w:r>
              <w:rPr>
                <w:sz w:val="19"/>
              </w:rPr>
              <w:t>Wrong count or part → reject</w:t>
            </w:r>
          </w:p>
        </w:tc>
        <w:tc>
          <w:tcPr>
            <w:tcW w:type="dxa" w:w="1728"/>
          </w:tcPr>
          <w:p>
            <w:pPr>
              <w:spacing w:after="0"/>
            </w:pPr>
            <w:r>
              <w:rPr>
                <w:sz w:val="19"/>
              </w:rPr>
              <w:t>5 units / lot</w:t>
            </w:r>
          </w:p>
        </w:tc>
      </w:tr>
      <w:tr>
        <w:tc>
          <w:tcPr>
            <w:tcW w:type="dxa" w:w="2016"/>
          </w:tcPr>
          <w:p>
            <w:pPr>
              <w:spacing w:after="0"/>
            </w:pPr>
            <w:r>
              <w:rPr>
                <w:sz w:val="19"/>
              </w:rPr>
              <w:t>FH34S connector</w:t>
            </w:r>
          </w:p>
        </w:tc>
        <w:tc>
          <w:tcPr>
            <w:tcW w:type="dxa" w:w="3168"/>
          </w:tcPr>
          <w:p>
            <w:pPr>
              <w:spacing w:after="0"/>
            </w:pPr>
            <w:r>
              <w:rPr>
                <w:sz w:val="19"/>
              </w:rPr>
              <w:t>ZIF lever actuates and releases correctly</w:t>
            </w:r>
          </w:p>
        </w:tc>
        <w:tc>
          <w:tcPr>
            <w:tcW w:type="dxa" w:w="2592"/>
          </w:tcPr>
          <w:p>
            <w:pPr>
              <w:spacing w:after="0"/>
            </w:pPr>
            <w:r>
              <w:rPr>
                <w:sz w:val="19"/>
              </w:rPr>
              <w:t>Stiff or non-actuating → quarantine</w:t>
            </w:r>
          </w:p>
        </w:tc>
        <w:tc>
          <w:tcPr>
            <w:tcW w:type="dxa" w:w="1728"/>
          </w:tcPr>
          <w:p>
            <w:pPr>
              <w:spacing w:after="0"/>
            </w:pPr>
            <w:r>
              <w:rPr>
                <w:sz w:val="19"/>
              </w:rPr>
              <w:t>3 units / lot</w:t>
            </w:r>
          </w:p>
        </w:tc>
      </w:tr>
      <w:tr>
        <w:tc>
          <w:tcPr>
            <w:tcW w:type="dxa" w:w="2016"/>
          </w:tcPr>
          <w:p>
            <w:pPr>
              <w:spacing w:after="0"/>
            </w:pPr>
            <w:r>
              <w:rPr>
                <w:sz w:val="19"/>
              </w:rPr>
              <w:t>FH34S connector</w:t>
            </w:r>
          </w:p>
        </w:tc>
        <w:tc>
          <w:tcPr>
            <w:tcW w:type="dxa" w:w="3168"/>
          </w:tcPr>
          <w:p>
            <w:pPr>
              <w:spacing w:after="0"/>
            </w:pPr>
            <w:r>
              <w:rPr>
                <w:sz w:val="19"/>
              </w:rPr>
              <w:t>Contact resistance &lt; 50 mΩ after 5 cycles</w:t>
            </w:r>
          </w:p>
        </w:tc>
        <w:tc>
          <w:tcPr>
            <w:tcW w:type="dxa" w:w="2592"/>
          </w:tcPr>
          <w:p>
            <w:pPr>
              <w:spacing w:after="0"/>
            </w:pPr>
            <w:r>
              <w:rPr>
                <w:sz w:val="19"/>
              </w:rPr>
              <w:t>Any pin &gt; 50 mΩ → quarantine lot</w:t>
            </w:r>
          </w:p>
        </w:tc>
        <w:tc>
          <w:tcPr>
            <w:tcW w:type="dxa" w:w="1728"/>
          </w:tcPr>
          <w:p>
            <w:pPr>
              <w:spacing w:after="0"/>
            </w:pPr>
            <w:r>
              <w:rPr>
                <w:sz w:val="19"/>
              </w:rPr>
              <w:t>3 units / lot</w:t>
            </w:r>
          </w:p>
        </w:tc>
      </w:tr>
      <w:tr>
        <w:tc>
          <w:tcPr>
            <w:tcW w:type="dxa" w:w="2016"/>
          </w:tcPr>
          <w:p>
            <w:pPr>
              <w:spacing w:after="0"/>
            </w:pPr>
            <w:r>
              <w:rPr>
                <w:sz w:val="19"/>
              </w:rPr>
              <w:t>FPC</w:t>
            </w:r>
          </w:p>
        </w:tc>
        <w:tc>
          <w:tcPr>
            <w:tcW w:type="dxa" w:w="3168"/>
          </w:tcPr>
          <w:p>
            <w:pPr>
              <w:spacing w:after="0"/>
            </w:pPr>
            <w:r>
              <w:rPr>
                <w:sz w:val="19"/>
              </w:rPr>
              <w:t>RA copper material certificate</w:t>
            </w:r>
          </w:p>
        </w:tc>
        <w:tc>
          <w:tcPr>
            <w:tcW w:type="dxa" w:w="2592"/>
          </w:tcPr>
          <w:p>
            <w:pPr>
              <w:spacing w:after="0"/>
            </w:pPr>
            <w:r>
              <w:rPr>
                <w:sz w:val="19"/>
              </w:rPr>
              <w:t>ED copper certificate or none → reject lot</w:t>
            </w:r>
          </w:p>
        </w:tc>
        <w:tc>
          <w:tcPr>
            <w:tcW w:type="dxa" w:w="1728"/>
          </w:tcPr>
          <w:p>
            <w:pPr>
              <w:spacing w:after="0"/>
            </w:pPr>
            <w:r>
              <w:rPr>
                <w:sz w:val="19"/>
              </w:rPr>
              <w:t>Per lot</w:t>
            </w:r>
          </w:p>
        </w:tc>
      </w:tr>
      <w:tr>
        <w:tc>
          <w:tcPr>
            <w:tcW w:type="dxa" w:w="2016"/>
          </w:tcPr>
          <w:p>
            <w:pPr>
              <w:spacing w:after="0"/>
            </w:pPr>
            <w:r>
              <w:rPr>
                <w:sz w:val="19"/>
              </w:rPr>
              <w:t>FPC</w:t>
            </w:r>
          </w:p>
        </w:tc>
        <w:tc>
          <w:tcPr>
            <w:tcW w:type="dxa" w:w="3168"/>
          </w:tcPr>
          <w:p>
            <w:pPr>
              <w:spacing w:after="0"/>
            </w:pPr>
            <w:r>
              <w:rPr>
                <w:sz w:val="19"/>
              </w:rPr>
              <w:t>Power trace width ≥ 2.0 mm on VLED/GND rails</w:t>
            </w:r>
          </w:p>
        </w:tc>
        <w:tc>
          <w:tcPr>
            <w:tcW w:type="dxa" w:w="2592"/>
          </w:tcPr>
          <w:p>
            <w:pPr>
              <w:spacing w:after="0"/>
            </w:pPr>
            <w:r>
              <w:rPr>
                <w:sz w:val="19"/>
              </w:rPr>
              <w:t>Any rail &lt; 2.0 mm → reject lot</w:t>
            </w:r>
          </w:p>
        </w:tc>
        <w:tc>
          <w:tcPr>
            <w:tcW w:type="dxa" w:w="1728"/>
          </w:tcPr>
          <w:p>
            <w:pPr>
              <w:spacing w:after="0"/>
            </w:pPr>
            <w:r>
              <w:rPr>
                <w:sz w:val="19"/>
              </w:rPr>
              <w:t>3 units / lot</w:t>
            </w:r>
          </w:p>
        </w:tc>
      </w:tr>
      <w:tr>
        <w:tc>
          <w:tcPr>
            <w:tcW w:type="dxa" w:w="2016"/>
          </w:tcPr>
          <w:p>
            <w:pPr>
              <w:spacing w:after="0"/>
            </w:pPr>
            <w:r>
              <w:rPr>
                <w:sz w:val="19"/>
              </w:rPr>
              <w:t>FPC</w:t>
            </w:r>
          </w:p>
        </w:tc>
        <w:tc>
          <w:tcPr>
            <w:tcW w:type="dxa" w:w="3168"/>
          </w:tcPr>
          <w:p>
            <w:pPr>
              <w:spacing w:after="0"/>
            </w:pPr>
            <w:r>
              <w:rPr>
                <w:sz w:val="19"/>
              </w:rPr>
              <w:t>Hard gold on connector tail ≥ 0.5 µm (XRF)</w:t>
            </w:r>
          </w:p>
        </w:tc>
        <w:tc>
          <w:tcPr>
            <w:tcW w:type="dxa" w:w="2592"/>
          </w:tcPr>
          <w:p>
            <w:pPr>
              <w:spacing w:after="0"/>
            </w:pPr>
            <w:r>
              <w:rPr>
                <w:sz w:val="19"/>
              </w:rPr>
              <w:t>Any pad &lt; 0.4 µm → quarantine</w:t>
            </w:r>
          </w:p>
        </w:tc>
        <w:tc>
          <w:tcPr>
            <w:tcW w:type="dxa" w:w="1728"/>
          </w:tcPr>
          <w:p>
            <w:pPr>
              <w:spacing w:after="0"/>
            </w:pPr>
            <w:r>
              <w:rPr>
                <w:sz w:val="19"/>
              </w:rPr>
              <w:t>2 units / lot</w:t>
            </w:r>
          </w:p>
        </w:tc>
      </w:tr>
      <w:tr>
        <w:tc>
          <w:tcPr>
            <w:tcW w:type="dxa" w:w="2016"/>
          </w:tcPr>
          <w:p>
            <w:pPr>
              <w:spacing w:after="0"/>
            </w:pPr>
            <w:r>
              <w:rPr>
                <w:sz w:val="19"/>
              </w:rPr>
              <w:t>PDMS</w:t>
            </w:r>
          </w:p>
        </w:tc>
        <w:tc>
          <w:tcPr>
            <w:tcW w:type="dxa" w:w="3168"/>
          </w:tcPr>
          <w:p>
            <w:pPr>
              <w:spacing w:after="0"/>
            </w:pPr>
            <w:r>
              <w:rPr>
                <w:sz w:val="19"/>
              </w:rPr>
              <w:t>Optical transmission ≥ 92% at 660 nm</w:t>
            </w:r>
          </w:p>
        </w:tc>
        <w:tc>
          <w:tcPr>
            <w:tcW w:type="dxa" w:w="2592"/>
          </w:tcPr>
          <w:p>
            <w:pPr>
              <w:spacing w:after="0"/>
            </w:pPr>
            <w:r>
              <w:rPr>
                <w:sz w:val="19"/>
              </w:rPr>
              <w:t>Any batch &lt; 90% → reject</w:t>
            </w:r>
          </w:p>
        </w:tc>
        <w:tc>
          <w:tcPr>
            <w:tcW w:type="dxa" w:w="1728"/>
          </w:tcPr>
          <w:p>
            <w:pPr>
              <w:spacing w:after="0"/>
            </w:pPr>
            <w:r>
              <w:rPr>
                <w:sz w:val="19"/>
              </w:rPr>
              <w:t>1 sample / batch</w:t>
            </w:r>
          </w:p>
        </w:tc>
      </w:tr>
    </w:tbl>
    <w:p/>
    <w:p>
      <w:pPr>
        <w:spacing w:before="280" w:after="80"/>
      </w:pPr>
      <w:r>
        <w:rPr>
          <w:b/>
          <w:color w:val="003366"/>
          <w:sz w:val="26"/>
        </w:rPr>
        <w:t>8.  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576"/>
          </w:tcPr>
          <w:p>
            <w:pPr>
              <w:spacing w:after="0"/>
            </w:pPr>
            <w:r>
              <w:rPr>
                <w:b/>
                <w:sz w:val="19"/>
              </w:rPr>
              <w:t>Rev</w:t>
            </w:r>
          </w:p>
        </w:tc>
        <w:tc>
          <w:tcPr>
            <w:tcW w:type="dxa" w:w="1296"/>
          </w:tcPr>
          <w:p>
            <w:pPr>
              <w:spacing w:after="0"/>
            </w:pPr>
            <w:r>
              <w:rPr>
                <w:b/>
                <w:sz w:val="19"/>
              </w:rPr>
              <w:t>Date</w:t>
            </w:r>
          </w:p>
        </w:tc>
        <w:tc>
          <w:tcPr>
            <w:tcW w:type="dxa" w:w="3312"/>
          </w:tcPr>
          <w:p>
            <w:pPr>
              <w:spacing w:after="0"/>
            </w:pPr>
            <w:r>
              <w:rPr>
                <w:b/>
                <w:sz w:val="19"/>
              </w:rPr>
              <w:t>Author</w:t>
            </w:r>
          </w:p>
        </w:tc>
        <w:tc>
          <w:tcPr>
            <w:tcW w:type="dxa" w:w="5184"/>
          </w:tcPr>
          <w:p>
            <w:pPr>
              <w:spacing w:after="0"/>
            </w:pPr>
            <w:r>
              <w:rPr>
                <w:b/>
                <w:sz w:val="19"/>
              </w:rPr>
              <w:t>Description</w:t>
            </w:r>
          </w:p>
        </w:tc>
      </w:tr>
      <w:tr>
        <w:tc>
          <w:tcPr>
            <w:tcW w:type="dxa" w:w="576"/>
          </w:tcPr>
          <w:p>
            <w:pPr>
              <w:spacing w:after="0"/>
            </w:pPr>
            <w:r>
              <w:rPr>
                <w:sz w:val="19"/>
              </w:rPr>
              <w:t>A</w:t>
            </w:r>
          </w:p>
        </w:tc>
        <w:tc>
          <w:tcPr>
            <w:tcW w:type="dxa" w:w="1296"/>
          </w:tcPr>
          <w:p>
            <w:pPr>
              <w:spacing w:after="0"/>
            </w:pPr>
            <w:r>
              <w:rPr>
                <w:sz w:val="19"/>
              </w:rPr>
              <w:t>2026-05-06</w:t>
            </w:r>
          </w:p>
        </w:tc>
        <w:tc>
          <w:tcPr>
            <w:tcW w:type="dxa" w:w="3312"/>
          </w:tcPr>
          <w:p>
            <w:pPr>
              <w:spacing w:after="0"/>
            </w:pPr>
            <w:r>
              <w:rPr>
                <w:sz w:val="19"/>
              </w:rPr>
              <w:t>Claude / NeuroPulse Engineering</w:t>
            </w:r>
          </w:p>
        </w:tc>
        <w:tc>
          <w:tcPr>
            <w:tcW w:type="dxa" w:w="5184"/>
          </w:tcPr>
          <w:p>
            <w:pPr>
              <w:spacing w:after="0"/>
            </w:pPr>
            <w:r>
              <w:rPr>
                <w:sz w:val="19"/>
              </w:rPr>
              <w:t>Initial release. Addresses RISK-01 (connector), RISK-04 (PDMS), RISK-07 (BCR421W), RISK-08 (LED Vf binning), RISK-10 (RA copper) from NP-HW-FPC-001 Risk Register Rev A.</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