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tcPr>
          <w:p>
            <w:pPr>
              <w:spacing w:after="0"/>
            </w:pPr>
            <w:r>
              <w:rPr>
                <w:b/>
                <w:sz w:val="17"/>
              </w:rPr>
              <w:t>MEDIUM</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t>Shell tooling design review must include FPC routing path with explicit bend radius callouts. Design a cable management channel in the shell interior that enforces ≥25 mm radius at all transitions. This must be coordinated between FPC spec and shell tooling spec before first cut. See CLAUDE.md §13.4 — shell tooling is a pending decision.</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shell tooling coordination required</w:t>
            </w:r>
          </w:p>
        </w:tc>
      </w:tr>
      <w:tr>
        <w:tc>
          <w:tcPr>
            <w:tcW w:type="dxa" w:w="720"/>
          </w:tcPr>
          <w:p>
            <w:pPr>
              <w:spacing w:after="0"/>
            </w:pPr>
            <w:r>
              <w:rPr>
                <w:sz w:val="17"/>
              </w:rPr>
              <w:t>RISK-12</w:t>
            </w:r>
          </w:p>
        </w:tc>
        <w:tc>
          <w:tcPr>
            <w:tcW w:type="dxa" w:w="1008"/>
            <w:shd w:val="clear" w:color="auto" w:fill="FFD700"/>
          </w:tcPr>
          <w:p>
            <w:pPr>
              <w:spacing w:after="0"/>
            </w:pPr>
            <w:r>
              <w:rPr>
                <w:b/>
                <w:sz w:val="17"/>
              </w:rPr>
              <w:t>MEDIUM</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t>Shell tooling zone slot guide rails must be specified to ±0.3 mm positional tolerance (leaves ±0.2 mm margin against the ±0.5 mm system requirement). Validate on first-article inspection with CMM measurement. Zone module stiffener datum features (reference holes or edges) must be defined on FPC drawing.</w:t>
            </w:r>
          </w:p>
        </w:tc>
        <w:tc>
          <w:tcPr>
            <w:tcW w:type="dxa" w:w="1008"/>
          </w:tcPr>
          <w:p>
            <w:pPr>
              <w:spacing w:after="0"/>
            </w:pPr>
            <w:r>
              <w:rPr>
                <w:sz w:val="17"/>
              </w:rPr>
              <w:t>Mechanical Eng</w:t>
            </w:r>
          </w:p>
        </w:tc>
        <w:tc>
          <w:tcPr>
            <w:tcW w:type="dxa" w:w="720"/>
          </w:tcPr>
          <w:p>
            <w:pPr>
              <w:spacing w:after="0"/>
            </w:pPr>
            <w:r>
              <w:rPr>
                <w:sz w:val="17"/>
              </w:rPr>
              <w:t>§11.4</w:t>
            </w:r>
          </w:p>
        </w:tc>
        <w:tc>
          <w:tcPr>
            <w:tcW w:type="dxa" w:w="864"/>
          </w:tcPr>
          <w:p>
            <w:pPr>
              <w:spacing w:after="0"/>
            </w:pPr>
            <w:r>
              <w:rPr>
                <w:sz w:val="17"/>
              </w:rPr>
              <w:t>OPEN — shell tooling tolerance spec required</w:t>
            </w:r>
          </w:p>
        </w:tc>
      </w:tr>
      <w:tr>
        <w:tc>
          <w:tcPr>
            <w:tcW w:type="dxa" w:w="720"/>
          </w:tcPr>
          <w:p>
            <w:pPr>
              <w:spacing w:after="0"/>
            </w:pPr>
            <w:r>
              <w:rPr>
                <w:sz w:val="17"/>
              </w:rPr>
              <w:t>RISK-13</w:t>
            </w:r>
          </w:p>
        </w:tc>
        <w:tc>
          <w:tcPr>
            <w:tcW w:type="dxa" w:w="1008"/>
            <w:shd w:val="clear" w:color="auto" w:fill="FFD700"/>
          </w:tcPr>
          <w:p>
            <w:pPr>
              <w:spacing w:after="0"/>
            </w:pPr>
            <w:r>
              <w:rPr>
                <w:b/>
                <w:sz w:val="17"/>
              </w:rPr>
              <w:t>MEDIUM</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t>LED PWM carrier frequency: minimum 1 kHz. EEG acquisition uses 500 Hz sample rate with anti-aliasing filter at 200 Hz — a 1 kHz carrier aliases to DC (effectively invisible). Firmware must also gate EEG sampling during LED switching transitions (50 µs blanking on each edge, as specified in §4.4). Coordinate carrier frequency selection between HW EE and firmware team before layout.</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tcPr>
          <w:p>
            <w:pPr>
              <w:spacing w:after="0"/>
            </w:pPr>
            <w:r>
              <w:rPr>
                <w:sz w:val="17"/>
              </w:rPr>
              <w:t>OPEN — firmware coordination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tcPr>
          <w:p>
            <w:pPr>
              <w:spacing w:after="0"/>
            </w:pPr>
            <w:r>
              <w:rPr>
                <w:sz w:val="17"/>
              </w:rPr>
              <w:t>REQUIRED</w:t>
            </w:r>
          </w:p>
        </w:tc>
        <w:tc>
          <w:tcPr>
            <w:tcW w:type="dxa" w:w="2880"/>
          </w:tcPr>
          <w:p>
            <w:pPr>
              <w:spacing w:after="0"/>
            </w:pPr>
            <w:r>
              <w:rPr>
                <w:sz w:val="17"/>
              </w:rPr>
              <w:t>LED PWM carrier frequency agreed with firmware team</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tcPr>
          <w:p>
            <w:pPr>
              <w:spacing w:after="0"/>
            </w:pPr>
            <w:r>
              <w:rPr>
                <w:sz w:val="17"/>
              </w:rPr>
              <w:t>REQUIRED</w:t>
            </w:r>
          </w:p>
        </w:tc>
        <w:tc>
          <w:tcPr>
            <w:tcW w:type="dxa" w:w="2880"/>
          </w:tcPr>
          <w:p>
            <w:pPr>
              <w:spacing w:after="0"/>
            </w:pPr>
            <w:r>
              <w:rPr>
                <w:sz w:val="17"/>
              </w:rPr>
              <w:t>Shell tooling FPC routing path with ≥25 mm bend radius</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tcPr>
          <w:p>
            <w:pPr>
              <w:spacing w:after="0"/>
            </w:pPr>
            <w:r>
              <w:rPr>
                <w:sz w:val="17"/>
              </w:rPr>
              <w:t>REQUIRED</w:t>
            </w:r>
          </w:p>
        </w:tc>
        <w:tc>
          <w:tcPr>
            <w:tcW w:type="dxa" w:w="2880"/>
          </w:tcPr>
          <w:p>
            <w:pPr>
              <w:spacing w:after="0"/>
            </w:pPr>
            <w:r>
              <w:rPr>
                <w:sz w:val="17"/>
              </w:rPr>
              <w:t>Mechanical key geometry for all 5 zone slots</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