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Peel test (witness coupon from same batch): 90° peel test on 25 mm × 25 mm coupon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Peel force ≥ 50 N/m. Below 20 N/m → reject batch (SiO₂ interlayer failure)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Thermal cycle (accelerated): 5 cycles −20°C to +70°C on witness coupon; re-inspect bond line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new delamination after 5 cycles. If delamination: halt production, escalate to process engineer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Correct-zone audio confirmation: insert all 5 modules correctly; confirm bone conduction announces correct zone name for each zone during headset initialisation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b/>
                <w:sz w:val="16"/>
              </w:rPr>
              <w:t xml:space="preserve">FAI-A15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Eject lever accessibility test (RISK-22): 5 test subjects with diagnosed Parkinson's disease (Hoehn &amp; Yahr scale II–III) or post-stroke hand weakness (grip strength ≤ 8 kg). Each subject removes and reinserts all 5 zone modules twice (10 total operations). No coaching; standard user instructions only.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HFE formative test — 5 subjects with Parkinson's/post-stroke (pre-production)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subjects complete each extraction in ≤ 10 s with no more than 2 attempts. No reported pain or excessive effort. Lever detent must not prevent extraction. Lever must not accidentally eject during normal wear simulation (5 min handling without deliberate ejection attempt).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co-moulded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Programme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keying — colour-blind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RISK-22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module extraction — reduced grip / tremor (sliding eject lever)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FAI-A15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