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NeurOne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26 risks identified  |  3 CRITICAL  |  10 HIGH  |  9 MEDIUM  |  3 LOW  |  23 MITIGATED  |  3 OPEN (RISK-03, RISK-20, RISK-26)</w:t>
        <w:br/>
        <w:t>All CRITICAL and HIGH items must be resolved before FPC layout release.</w:t>
        <w:br/>
        <w:t>RISK-18 to RISK-25: newly introduced by mitigations — see detailed sections.</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localized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r>
            <w:r>
              <w:rPr>
                <w:b w:val="0"/>
                <w:sz w:val="16"/>
              </w:rPr>
              <w:t>Three-tier mitigation: (1) Process — SiO₂ interlayer (75 nm RF magnetron sputter) on PI surface before O₂ plasma activation raises peel force from 7–12 N/m to 174–860 N/m per literature. Specified in NP-HW-FPC-001 §9.2. (2) Production screening — FAI-M02 peel test ≥ 150 N/m per batch; FAI-M03 5-cycle accelerated screen per batch. (3) Process qualification (BLOCKING) — IEC 60068-2-14, 200 cycles −10°C to +65°C on 10 coupons before any production starts. Post-cycle peel ≥ 150 N/m required (FAI-TC02/03). Signed qualification report NP-QR-PDMS-001 must be on file. CAT-C supplier qualification per NP-PROC-SUP-001 SUP-C-08.</w:t>
            </w:r>
          </w:p>
        </w:tc>
        <w:tc>
          <w:tcPr>
            <w:tcW w:type="dxa" w:w="1008"/>
          </w:tcPr>
          <w:p>
            <w:pPr>
              <w:spacing w:after="0"/>
            </w:pPr>
            <w:r>
              <w:rPr>
                <w:sz w:val="17"/>
              </w:rPr>
              <w:t>HW EE / Manufacturing Eng</w:t>
            </w:r>
          </w:p>
        </w:tc>
        <w:tc>
          <w:tcPr>
            <w:tcW w:type="dxa" w:w="720"/>
          </w:tcPr>
          <w:p>
            <w:pPr>
              <w:spacing w:after="0"/>
            </w:pPr>
            <w:r>
              <w:rPr>
                <w:sz w:val="17"/>
              </w:rPr>
            </w:r>
            <w:r>
              <w:rPr>
                <w:b w:val="0"/>
                <w:sz w:val="16"/>
              </w:rPr>
              <w:t>NP-HW-FPC-001 §9.2–9.3</w:t>
              <w:br/>
              <w:t>NP-FAI-ZM-001 §3d, §3e</w:t>
              <w:br/>
              <w:t>NP-PROC-SUP-001 SUP-C-04, SUP-C-08</w:t>
              <w:br/>
              <w:t>NP-COORD-001 G1-14</w:t>
            </w:r>
          </w:p>
        </w:tc>
        <w:tc>
          <w:tcPr>
            <w:tcW w:type="dxa" w:w="864"/>
            <w:shd w:val="clear" w:color="auto" w:fill="92D050"/>
          </w:tcPr>
          <w:p>
            <w:pPr>
              <w:spacing w:after="0"/>
            </w:pPr>
            <w:r>
              <w:rPr>
                <w:sz w:val="17"/>
              </w:rPr>
            </w:r>
            <w:r>
              <w:rPr>
                <w:b/>
                <w:color w:val="007000"/>
                <w:sz w:val="16"/>
              </w:rPr>
              <w:t>MITIGATED — SiO₂ process specified; 200-cycle IEC 60068-2-14 qualification required (BLOCKING) before production; NP-FAI-ZM-001 §3e FAI-TC01–TC06 added</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localized LED hotspot if NTC is at zone center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NeurOne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shd w:val="clear" w:color="auto" w:fill="FFF2CC"/>
          </w:tcPr>
          <w:p>
            <w:pPr>
              <w:spacing w:after="0"/>
            </w:pPr>
            <w:r>
              <w:rPr>
                <w:b/>
                <w:sz w:val="17"/>
              </w:rPr>
            </w:r>
            <w:r>
              <w:rPr>
                <w:b/>
                <w:color w:val="007000"/>
              </w:rPr>
            </w:r>
            <w:r>
              <w:rPr>
                <w:b/>
                <w:color w:val="BF6000"/>
                <w:sz w:val="18"/>
              </w:rPr>
              <w:t>MEDIUM</w:t>
              <w:br/>
              <w:t>(NEEDS REVIEW)</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r>
            <w:r>
              <w:rPr>
                <w:b w:val="0"/>
                <w:sz w:val="18"/>
              </w:rPr>
              <w:t>NEEDS REVIEW: the cited mitigation (NP-DRV-SHELL-001 Rev A/B — 5 fixed zone-slot FPC routing paths, REQ-BR-01..05) was scoped to the retired position-unique 5-slot zone module architecture, itself superseded by the hex-tile/socket architecture (NP-HEX-ZM-001, 2026-07-15). The ~80-socket interconnect that replaces it is real, unfinished EE work — no document yet specifies per-socket FPC/cable routing, bend radius, or channel geometry for the hex-tile lattice (see MECH-1/MECH-2/SMART-1 residuals in docs/np_hex_zm_001.md §7). The generic bend-radius physics (IPC-2223D basis, ≥25mm dynamic / ≥12.5mm static) remain valid engineering constraints and should carry forward into whatever per-socket interconnect design replaces NP-DRV-SHELL-001; the specific 5-zone routing paths and arc-length table do not.</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shd w:val="clear" w:color="auto" w:fill="FFE699"/>
          </w:tcPr>
          <w:p>
            <w:pPr>
              <w:spacing w:after="0"/>
            </w:pPr>
            <w:r>
              <w:rPr>
                <w:sz w:val="17"/>
              </w:rPr>
            </w:r>
            <w:r>
              <w:rPr>
                <w:b/>
                <w:color w:val="007000"/>
              </w:rPr>
            </w:r>
            <w:r>
              <w:rPr>
                <w:b/>
                <w:color w:val="BF6000"/>
                <w:sz w:val="18"/>
              </w:rPr>
              <w:t>NEEDS REVIEW — mitigation was scoped to the retired 5-slot architecture; hex-tile socket interconnect design (~80 sockets) not yet started</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synchronized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shd w:val="clear" w:color="auto" w:fill="E2EFDA"/>
          </w:tcPr>
          <w:p>
            <w:pPr>
              <w:spacing w:after="0"/>
            </w:pPr>
            <w:r>
              <w:rPr>
                <w:b/>
                <w:sz w:val="17"/>
              </w:rPr>
            </w:r>
            <w:r>
              <w:rPr>
                <w:b/>
                <w:color w:val="007000"/>
                <w:sz w:val="16"/>
              </w:rPr>
              <w:t>HIGH</w:t>
              <w:br/>
              <w:t>(MITIGATED)</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r>
            <w:r>
              <w:rPr>
                <w:b w:val="0"/>
                <w:sz w:val="16"/>
              </w:rPr>
              <w:t>Option B selected: second PD (PD2) on scalp-facing PDMS surface. PD1/PD2 ratio isolates fouling from LED aging. Pin 19 assigned PD2_CATHODE. §8.4 added to NP-HW-FPC-001. BOM +$0.75–1.50/headset. T1/T2 shared mold.</w:t>
            </w:r>
          </w:p>
        </w:tc>
        <w:tc>
          <w:tcPr>
            <w:tcW w:type="dxa" w:w="1008"/>
          </w:tcPr>
          <w:p>
            <w:pPr>
              <w:spacing w:after="0"/>
            </w:pPr>
            <w:r>
              <w:rPr>
                <w:sz w:val="17"/>
              </w:rPr>
              <w:t>Firmware / Systems Eng</w:t>
            </w:r>
          </w:p>
        </w:tc>
        <w:tc>
          <w:tcPr>
            <w:tcW w:type="dxa" w:w="720"/>
          </w:tcPr>
          <w:p>
            <w:pPr>
              <w:spacing w:after="0"/>
            </w:pPr>
            <w:r>
              <w:rPr>
                <w:sz w:val="17"/>
              </w:rPr>
              <w:t>§8.3</w:t>
            </w:r>
          </w:p>
        </w:tc>
        <w:tc>
          <w:tcPr>
            <w:tcW w:type="dxa" w:w="864"/>
            <w:shd w:val="clear" w:color="auto" w:fill="92D050"/>
          </w:tcPr>
          <w:p>
            <w:pPr>
              <w:spacing w:after="0"/>
            </w:pPr>
            <w:r>
              <w:rPr>
                <w:sz w:val="17"/>
              </w:rPr>
            </w:r>
            <w:r>
              <w:rPr>
                <w:b/>
                <w:color w:val="007000"/>
                <w:sz w:val="16"/>
              </w:rPr>
              <w:t>MITIGATED — NP-HW-FPC-001 §8.4; NP-TOOL-ZM-001 F-04</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r>
            <w:r>
              <w:rPr>
                <w:b w:val="0"/>
                <w:sz w:val="18"/>
              </w:rPr>
              <w:t>Zone keying risk structurally eliminated by the hex-tile/socket architecture (NP-HEX-ZM-001)</w:t>
            </w:r>
          </w:p>
        </w:tc>
        <w:tc>
          <w:tcPr>
            <w:tcW w:type="dxa" w:w="2160"/>
          </w:tcPr>
          <w:p>
            <w:pPr>
              <w:spacing w:after="0"/>
            </w:pPr>
            <w:r>
              <w:rPr>
                <w:sz w:val="17"/>
              </w:rPr>
            </w:r>
            <w:r>
              <w:rPr>
                <w:b w:val="0"/>
                <w:sz w:val="18"/>
              </w:rPr>
              <w:t>SUPERSEDED ROOT CAUSE (was: color-coded zone modules, each valid in exactly one of 5 fixed slots — a wrong-slot insertion was possible and needed color-independent keying). Under NP-HEX-ZM-001, all modules are type-agnostic hex tiles — "any type (T1-A/B/C) inserts into any socket — same size, same mount, orientation-only key (no type keying)" (docs/np_hex_zm_001.md §4a). There is no zone-specific module and no wrong slot to insert one into: the fixed color-per-zone identity this risk assumed does not exist.</w:t>
            </w:r>
          </w:p>
        </w:tc>
        <w:tc>
          <w:tcPr>
            <w:tcW w:type="dxa" w:w="2160"/>
          </w:tcPr>
          <w:p>
            <w:pPr>
              <w:spacing w:after="0"/>
            </w:pPr>
            <w:r>
              <w:rPr>
                <w:sz w:val="17"/>
              </w:rPr>
            </w:r>
            <w:r>
              <w:rPr>
                <w:b w:val="0"/>
                <w:sz w:val="18"/>
              </w:rPr>
              <w:t>N/A — eliminated by design. The residual hazard (if any) is orientation, not zone identity: a module inserted backwards. This is prevented purely mechanically (the universal asymmetric orientation key), independent of vision, for every user including blind users, with no firmware, reading, or user attention required.</w:t>
            </w:r>
          </w:p>
        </w:tc>
        <w:tc>
          <w:tcPr>
            <w:tcW w:type="dxa" w:w="2448"/>
          </w:tcPr>
          <w:p>
            <w:pPr>
              <w:spacing w:after="0"/>
            </w:pPr>
            <w:r>
              <w:rPr>
                <w:sz w:val="17"/>
              </w:rPr>
            </w:r>
            <w:r>
              <w:rPr>
                <w:b w:val="0"/>
                <w:sz w:val="18"/>
              </w:rPr>
            </w:r>
            <w:r>
              <w:rPr>
                <w:b w:val="0"/>
                <w:sz w:val="18"/>
              </w:rPr>
              <w:t>MITIGATED BY ELIMINATION: the universal orientation-only mechanical key (docs/np_hex_zm_001.md §4a) is passive and blind-safe by construction — it requires no firmware, no reading, no color vision, and no zone-specific tooling. Module TYPE correctness (not zone identity) is separately checked in software: np_module_map_check_placement() verifies the live UID-reported inventory against each protocol's required module map and guides the user to fix any mismatch via the app (docs/np_hex_zm_001.md §4a, "Protocol ↔ module-map matching"). RETIRED (do not carry forward): the 5-layer keying system (mechanical zone-differentiating key + ZONE_ID pin-18 resistor ladder + per-zone braille/tactile markers + bone-conduction zone-name announcement) — all five layers existed only to solve wrong-slot insertion, which no longer exists as a hazard. The bone-conduction announcement firmware (NP-FW-ZA-001, tracked by NP-COORD-001 G2-10) is real shipped firmware built on the retired ZONE_ID mechanism and needs porting to UID-based detection, not new keying hardware — see docs/np_fw_za_001.md.</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shd w:val="clear" w:color="auto" w:fill="92D050"/>
          </w:tcPr>
          <w:p>
            <w:pPr>
              <w:spacing w:after="0"/>
            </w:pPr>
            <w:r>
              <w:rPr>
                <w:sz w:val="17"/>
              </w:rPr>
            </w:r>
            <w:r>
              <w:rPr>
                <w:b/>
                <w:color w:val="007000"/>
                <w:sz w:val="18"/>
              </w:rPr>
            </w:r>
            <w:r>
              <w:rPr>
                <w:b/>
                <w:color w:val="007000"/>
                <w:sz w:val="18"/>
              </w:rPr>
              <w:t>MITIGATED — risk eliminated by the hex-tile/socket architecture (NP-HEX-ZM-001); orientation key + software placement-check replace the retired 5-layer zone keying system. NP-FW-ZA-001 firmware port to UID-based detection tracked separately.</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r>
            <w:r>
              <w:rPr>
                <w:b w:val="0"/>
                <w:sz w:val="18"/>
              </w:rPr>
              <w:t>IPX4 compliance depends on the integrity of the hex-tile module edge seal (silicone RTV bead at PDMS-to-shell interface). After a user removes and reinstalls a hex-tile module in the field, the original factory seal is broken. The re-sealing procedure has not been designed or documented.</w:t>
            </w:r>
          </w:p>
        </w:tc>
        <w:tc>
          <w:tcPr>
            <w:tcW w:type="dxa" w:w="2160"/>
          </w:tcPr>
          <w:p>
            <w:pPr>
              <w:spacing w:after="0"/>
            </w:pPr>
            <w:r>
              <w:rPr>
                <w:sz w:val="17"/>
              </w:rPr>
            </w:r>
            <w:r>
              <w:rPr>
                <w:b w:val="0"/>
                <w:sz w:val="18"/>
              </w:rPr>
              <w:t>After first user hex-tile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r>
            <w:r>
              <w:rPr>
                <w:b w:val="0"/>
                <w:sz w:val="18"/>
              </w:rPr>
              <w:t>MITIGATED — Option A selected: self-sealing compression gasket. Co-molded Shore 40–50A silicone lip seal on hex-tile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shd w:val="clear" w:color="auto" w:fill="E2EFDA"/>
            <w:shd w:val="clear" w:color="auto" w:fill="FFF2CC"/>
          </w:tcPr>
          <w:p>
            <w:pPr>
              <w:spacing w:after="0"/>
            </w:pPr>
            <w:r>
              <w:rPr>
                <w:b/>
                <w:sz w:val="17"/>
              </w:rPr>
            </w:r>
            <w:r>
              <w:rPr>
                <w:b/>
                <w:color w:val="007000"/>
                <w:sz w:val="18"/>
              </w:rPr>
            </w:r>
            <w:r>
              <w:rPr>
                <w:b/>
                <w:color w:val="BF6000"/>
                <w:sz w:val="18"/>
              </w:rPr>
              <w:t>MEDIUM</w:t>
              <w:br/>
              <w:t>(NEEDS REVIEW)</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r>
            <w:r>
              <w:rPr>
                <w:b w:val="0"/>
                <w:sz w:val="18"/>
              </w:rPr>
            </w:r>
            <w:r>
              <w:rPr>
                <w:b w:val="0"/>
                <w:sz w:val="18"/>
              </w:rPr>
              <w:t>NEEDS REVIEW: the cited mitigation (NP-DRV-SHELL-001 §2.3 — multi-FPC bundle management and inter-FPC separation across 5 adjacent zone-slot tails) was scoped to the retired 5-zone-slot routing architecture, superseded by the hex-tile/socket architecture (NP-HEX-ZM-001, 2026-07-15). At ~80 sockets the adjacent-tail crosstalk/bend-radius analysis needs to be redone against whatever per-socket interconnect design replaces the 5 discrete zone-slot FPC tails — that design does not exist yet (see MECH-1/MECH-2/SMART-1 in docs/np_hex_zm_001.md §7). Not carried forward without re-derivation: the specific inter-FPC separation distances and pairwise DRC checks, which were sized for 5 large tails, not ~80 small ones.</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shd w:val="clear" w:color="auto" w:fill="FFE699"/>
          </w:tcPr>
          <w:p>
            <w:pPr>
              <w:spacing w:after="0"/>
            </w:pPr>
            <w:r>
              <w:rPr>
                <w:sz w:val="17"/>
              </w:rPr>
            </w:r>
            <w:r>
              <w:rPr>
                <w:b/>
                <w:color w:val="007000"/>
                <w:sz w:val="18"/>
              </w:rPr>
            </w:r>
            <w:r>
              <w:rPr>
                <w:b/>
                <w:color w:val="BF6000"/>
                <w:sz w:val="18"/>
              </w:rPr>
              <w:t>NEEDS REVIEW — mitigation was scoped to the retired 5-slot architecture; hex-tile socket interconnect design (~80 sockets) not yet started</w:t>
            </w:r>
          </w:p>
        </w:tc>
      </w:tr>
      <w:tr>
        <w:tc>
          <w:tcPr>
            <w:tcW w:type="dxa" w:w="1072"/>
            <w:shd w:val="clear" w:color="auto" w:fill="FFFFFF"/>
          </w:tcPr>
          <w:p>
            <w:r>
              <w:rPr>
                <w:b w:val="0"/>
                <w:sz w:val="18"/>
              </w:rPr>
              <w:t>RISK-18</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ZONE_ID ENABLE interlock creates session-blocking availability failure mode</w:t>
            </w:r>
          </w:p>
        </w:tc>
        <w:tc>
          <w:tcPr>
            <w:tcW w:type="dxa" w:w="1072"/>
            <w:shd w:val="clear" w:color="auto" w:fill="FFFFFF"/>
          </w:tcPr>
          <w:p>
            <w:r>
              <w:rPr>
                <w:b w:val="0"/>
                <w:sz w:val="18"/>
              </w:rPr>
              <w:t xml:space="preserve">Pin 18 (ZONE_ID) is now in the ENABLE assertion path: Hub MCU reads ADC(pin 18) before every ENABLE assertion. If pin 18 has an open-circuit fault — from a cracked solder joint, worn ZIF contact, or FPC trace break — the ADC reads out-of-range and Hub MCU asserts FAULT, holding ENABLE low. The user cannot run any session on the affected zone until the fault is diagnosed and repaired. A single bad </w:t>
            </w:r>
          </w:p>
        </w:tc>
        <w:tc>
          <w:tcPr>
            <w:tcW w:type="dxa" w:w="1072"/>
            <w:shd w:val="clear" w:color="auto" w:fill="FFFFFF"/>
          </w:tcPr>
          <w:p>
            <w:r>
              <w:rPr>
                <w:b w:val="0"/>
                <w:sz w:val="18"/>
              </w:rPr>
              <w:t>User cannot complete sessions. For a daily-use wellness device used by people with neurological conditions, this is a significant availability failure. Contact resistance on ZIF connectors increases over the 1,000-cycle lifecycle; a marginal pin 18 connection may pass FAI but develop intermittent fa</w:t>
            </w:r>
          </w:p>
        </w:tc>
        <w:tc>
          <w:tcPr>
            <w:tcW w:type="dxa" w:w="1072"/>
            <w:shd w:val="clear" w:color="auto" w:fill="FFFFFF"/>
          </w:tcPr>
          <w:p>
            <w:r>
              <w:rPr>
                <w:b w:val="0"/>
                <w:sz w:val="18"/>
              </w:rPr>
            </w:r>
            <w:r>
              <w:rPr>
                <w:b w:val="0"/>
                <w:sz w:val="16"/>
              </w:rPr>
              <w:t>Three-layer mitigation: (1) Firmware: 3× ADC reads at 100 ms intervals before asserting FAULT — single transient contact resistance spike does not block session; only sustained open circuit triggers FAULT + audio alert. (2) FAI: FAI-K04 (pin 18 contact resistance ≤ 30 mΩ at 100 g insertion force) catches high-resistance contacts before field deployment. (3) App UX: FAULT condition triggers specific diagnostic message ('Zone module contact issue — remove and reinsert') rather than generic error.</w:t>
            </w:r>
          </w:p>
        </w:tc>
        <w:tc>
          <w:tcPr>
            <w:tcW w:type="dxa" w:w="1072"/>
            <w:shd w:val="clear" w:color="auto" w:fill="FFFFFF"/>
          </w:tcPr>
          <w:p>
            <w:r>
              <w:rPr>
                <w:b w:val="0"/>
                <w:sz w:val="18"/>
              </w:rPr>
              <w:t>Firmware / HW EE</w:t>
            </w:r>
          </w:p>
        </w:tc>
        <w:tc>
          <w:tcPr>
            <w:tcW w:type="dxa" w:w="1072"/>
            <w:shd w:val="clear" w:color="auto" w:fill="FFFFFF"/>
          </w:tcPr>
          <w:p>
            <w:r>
              <w:rPr>
                <w:b w:val="0"/>
                <w:sz w:val="18"/>
              </w:rPr>
            </w:r>
            <w:r>
              <w:rPr>
                <w:b w:val="0"/>
                <w:sz w:val="16"/>
              </w:rPr>
              <w:t>NP-HW-FPC-001 §5.2 pin 18; §11.4 ZONE_ID</w:t>
              <w:br/>
              <w:t>NP-FAI-ZM-001 FAI-K04</w:t>
              <w:br/>
              <w:t>NP-COORD-001 G2-07</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firmware debounce in spec; FAI-K04 validates; app UX diagnostic message specified</w:t>
            </w:r>
          </w:p>
        </w:tc>
      </w:tr>
      <w:tr>
        <w:tc>
          <w:tcPr>
            <w:tcW w:type="dxa" w:w="1072"/>
            <w:shd w:val="clear" w:color="auto" w:fill="FFFFFF"/>
          </w:tcPr>
          <w:p>
            <w:r>
              <w:rPr>
                <w:b w:val="0"/>
                <w:sz w:val="18"/>
              </w:rPr>
              <w:t>RISK-19</w:t>
            </w:r>
          </w:p>
        </w:tc>
        <w:tc>
          <w:tcPr>
            <w:tcW w:type="dxa" w:w="1072"/>
            <w:shd w:val="clear" w:color="auto" w:fill="FF0000"/>
          </w:tcPr>
          <w:p>
            <w:r>
              <w:rPr>
                <w:b/>
                <w:color w:val="FFFFFF"/>
                <w:sz w:val="18"/>
              </w:rPr>
            </w:r>
            <w:r>
              <w:rPr>
                <w:b/>
                <w:sz w:val="16"/>
              </w:rPr>
              <w:t>HIGH</w:t>
              <w:br/>
              <w:t>(MITIGATED)</w:t>
            </w:r>
          </w:p>
        </w:tc>
        <w:tc>
          <w:tcPr>
            <w:tcW w:type="dxa" w:w="1072"/>
            <w:shd w:val="clear" w:color="auto" w:fill="FFFFFF"/>
          </w:tcPr>
          <w:p>
            <w:r>
              <w:rPr>
                <w:b w:val="0"/>
                <w:sz w:val="18"/>
              </w:rPr>
              <w:t>Co-molded silicone gasket may delaminate from zone module body</w:t>
            </w:r>
          </w:p>
        </w:tc>
        <w:tc>
          <w:tcPr>
            <w:tcW w:type="dxa" w:w="1072"/>
            <w:shd w:val="clear" w:color="auto" w:fill="FFFFFF"/>
          </w:tcPr>
          <w:p>
            <w:r>
              <w:rPr>
                <w:b w:val="0"/>
                <w:sz w:val="18"/>
              </w:rPr>
              <w:t>The RISK-16 Option A gasket is co-molded silicone bonded to the zone module thermoplastic body (likely ABS, PC, or PC-ABS). Silicone-to-thermoplastic co-moulding adhesion depends on surface preparation and compatible chemistries — without a primer or adhesion promoter, bond strength at silicone-to-ABS interfaces is typically 3–8 N/mm (peel), which degrades with thermal cycling and repeated compre</w:t>
            </w:r>
          </w:p>
        </w:tc>
        <w:tc>
          <w:tcPr>
            <w:tcW w:type="dxa" w:w="1072"/>
            <w:shd w:val="clear" w:color="auto" w:fill="FFFFFF"/>
          </w:tcPr>
          <w:p>
            <w:r>
              <w:rPr>
                <w:b w:val="0"/>
                <w:sz w:val="18"/>
              </w:rPr>
              <w:t>Delaminated gasket: (1) IPX4 seal is lost — water and sweat ingress to Hub PCB and ZIF connector during use; (2) free silicone strip becomes debris inside the headset shell, potentially jamming the ZIF lever or shorting exposed contacts; (3) user may not notice delamination — no warning, no SHDR ale</w:t>
            </w:r>
          </w:p>
        </w:tc>
        <w:tc>
          <w:tcPr>
            <w:tcW w:type="dxa" w:w="1072"/>
            <w:shd w:val="clear" w:color="auto" w:fill="FFFFFF"/>
          </w:tcPr>
          <w:p>
            <w:r>
              <w:rPr>
                <w:b w:val="0"/>
                <w:sz w:val="18"/>
              </w:rPr>
              <w:t>Four mitigations required before tooling release: (1) Specify silicone primer/adhesion promoter on zone module body at gasket bond surface (e.g., Dow PR-1200 or equivalent) — include in zone module assembly process spec. (2) Add mechanical retention: groove or undercut in zone module body perimeter traps the gasket even if chemical bond fails — 'key' geometry prevents peel-off. (3) FAI gasket peel test (90°, 10 N/mm minimum) on production-representative co-mold sample — required before first pr</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t>§12</w:t>
            </w:r>
          </w:p>
        </w:tc>
        <w:tc>
          <w:tcPr>
            <w:tcW w:type="dxa" w:w="1072"/>
            <w:shd w:val="clear" w:color="auto" w:fill="FFE699"/>
            <w:shd w:val="clear" w:color="auto" w:fill="92D050"/>
          </w:tcPr>
          <w:p>
            <w:r>
              <w:rPr>
                <w:b w:val="0"/>
                <w:sz w:val="18"/>
              </w:rPr>
            </w:r>
            <w:r>
              <w:rPr>
                <w:b/>
                <w:color w:val="007000"/>
                <w:sz w:val="16"/>
              </w:rPr>
              <w:t>MITIGATED — F-06 retention groove + primer in NP-TOOL-ZM-001; FAI-K09 validates</w:t>
            </w:r>
          </w:p>
        </w:tc>
      </w:tr>
      <w:tr>
        <w:tc>
          <w:tcPr>
            <w:tcW w:type="dxa" w:w="1072"/>
            <w:shd w:val="clear" w:color="auto" w:fill="FFFFFF"/>
          </w:tcPr>
          <w:p>
            <w:r>
              <w:rPr>
                <w:b w:val="0"/>
                <w:sz w:val="18"/>
              </w:rPr>
              <w:t>RISK-20</w:t>
            </w:r>
          </w:p>
        </w:tc>
        <w:tc>
          <w:tcPr>
            <w:tcW w:type="dxa" w:w="1072"/>
            <w:shd w:val="clear" w:color="auto" w:fill="FF0000"/>
          </w:tcPr>
          <w:p>
            <w:r>
              <w:rPr>
                <w:b/>
                <w:color w:val="FFFFFF"/>
                <w:sz w:val="18"/>
              </w:rPr>
              <w:t>HIGH</w:t>
            </w:r>
          </w:p>
        </w:tc>
        <w:tc>
          <w:tcPr>
            <w:tcW w:type="dxa" w:w="1072"/>
            <w:shd w:val="clear" w:color="auto" w:fill="FFFFFF"/>
          </w:tcPr>
          <w:p>
            <w:r>
              <w:rPr>
                <w:b w:val="0"/>
                <w:sz w:val="18"/>
              </w:rPr>
              <w:t>CFRP shell slot rim Ra ≤ 1.6 µm surface finish may require secondary operations</w:t>
            </w:r>
          </w:p>
        </w:tc>
        <w:tc>
          <w:tcPr>
            <w:tcW w:type="dxa" w:w="1072"/>
            <w:shd w:val="clear" w:color="auto" w:fill="FFFFFF"/>
          </w:tcPr>
          <w:p>
            <w:r>
              <w:rPr>
                <w:b w:val="0"/>
                <w:sz w:val="18"/>
              </w:rPr>
              <w:t>The RISK-16 Option A gasket spec requires shell slot rim Ra ≤ 1.6 µm for reliable sealing. Molded CFRP typically achieves Ra 1.6–3.2 µm depending on mold tool finish and release agent. Ra ≤ 1.6 µm on CFRP requires either: a precision-polished mold tool (achievable but adds $5K–15K to shell tooling NRE and extends lead time), a gel-coat or paint layer on the slot interior (adds 0.05–0.15 mm to s</w:t>
            </w:r>
          </w:p>
        </w:tc>
        <w:tc>
          <w:tcPr>
            <w:tcW w:type="dxa" w:w="1072"/>
            <w:shd w:val="clear" w:color="auto" w:fill="FFFFFF"/>
          </w:tcPr>
          <w:p>
            <w:r>
              <w:rPr>
                <w:b w:val="0"/>
                <w:sz w:val="18"/>
              </w:rPr>
              <w:t>If slot rim Ra &gt; 1.6 µm in production tooling: gasket sealing is inconsistent — microscale surface peaks penetrate the gasket, creating leak paths. IPX4 claim fails. 'Workout-safe' marketing claim cannot be made. Discovering this post-tooling requires either tooling rework (expensive), gel-coat rewo</w:t>
            </w:r>
          </w:p>
        </w:tc>
        <w:tc>
          <w:tcPr>
            <w:tcW w:type="dxa" w:w="1072"/>
            <w:shd w:val="clear" w:color="auto" w:fill="FFFFFF"/>
          </w:tcPr>
          <w:p>
            <w:r>
              <w:rPr>
                <w:b w:val="0"/>
                <w:sz w:val="18"/>
              </w:rPr>
              <w:t>Required before tooling specification release: (1) Confirm achievable Ra on CFRP slot interior with shell tooling manufacturer — get written commitment to Ra ≤ 1.6 µm or identify secondary operation needed. (2) If secondary operation required: specify in shell tooling drawing and add to production process flow. Measure Ra on first-article shell with contact profilometer. (3) Alternative: if Ra ≤ 1.6 µm not reliably achievable, increase gasket durometer to Shore 50–60A and increase gasket compres</w:t>
            </w:r>
          </w:p>
        </w:tc>
        <w:tc>
          <w:tcPr>
            <w:tcW w:type="dxa" w:w="1072"/>
            <w:shd w:val="clear" w:color="auto" w:fill="FFFFFF"/>
          </w:tcPr>
          <w:p>
            <w:r>
              <w:rPr>
                <w:b w:val="0"/>
                <w:sz w:val="18"/>
              </w:rPr>
              <w:t>Mechanical Eng / Manufacturing Eng</w:t>
            </w:r>
          </w:p>
        </w:tc>
        <w:tc>
          <w:tcPr>
            <w:tcW w:type="dxa" w:w="1072"/>
            <w:shd w:val="clear" w:color="auto" w:fill="FFFFFF"/>
          </w:tcPr>
          <w:p>
            <w:r>
              <w:rPr>
                <w:b w:val="0"/>
                <w:sz w:val="18"/>
              </w:rPr>
            </w:r>
            <w:r>
              <w:rPr>
                <w:b w:val="0"/>
                <w:sz w:val="16"/>
              </w:rPr>
              <w:t>NP-PROC-SUP-001 §4 SUP-M-07, §6 SUP-B-01, §9</w:t>
              <w:br/>
              <w:t>NP-TOOL-ZM-001 §5 OI-1</w:t>
            </w:r>
          </w:p>
        </w:tc>
        <w:tc>
          <w:tcPr>
            <w:tcW w:type="dxa" w:w="1072"/>
            <w:shd w:val="clear" w:color="auto" w:fill="FFE699"/>
            <w:shd w:val="clear" w:color="auto" w:fill="FFF2CC"/>
            <w:shd w:val="clear" w:color="auto" w:fill="FFF2CC"/>
          </w:tcPr>
          <w:p>
            <w:r>
              <w:rPr>
                <w:b w:val="0"/>
                <w:sz w:val="18"/>
              </w:rPr>
            </w:r>
            <w:r>
              <w:rPr>
                <w:b w:val="0"/>
                <w:sz w:val="16"/>
              </w:rPr>
              <w:t>OPEN — awaiting CFRP supplier written confirmation (Ra data + letter). NP-PROC-SUP-001 SUP-M-07 and SUP-B-01 are BLOCKING qualification items. Cannot release tooling until confirmed.</w:t>
            </w:r>
          </w:p>
        </w:tc>
      </w:tr>
      <w:tr>
        <w:tc>
          <w:tcPr>
            <w:tcW w:type="dxa" w:w="1072"/>
            <w:shd w:val="clear" w:color="auto" w:fill="FFFFFF"/>
          </w:tcPr>
          <w:p>
            <w:r>
              <w:rPr>
                <w:b w:val="0"/>
                <w:sz w:val="18"/>
              </w:rPr>
              <w:t>RISK-21</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EEG electrode cable routing path inside shell is unspecified — DRC-18 cannot be verified</w:t>
            </w:r>
          </w:p>
        </w:tc>
        <w:tc>
          <w:tcPr>
            <w:tcW w:type="dxa" w:w="1072"/>
            <w:shd w:val="clear" w:color="auto" w:fill="FFFFFF"/>
          </w:tcPr>
          <w:p>
            <w:r>
              <w:rPr>
                <w:b w:val="0"/>
                <w:sz w:val="18"/>
              </w:rPr>
              <w:t>RISK-17 mitigation (NP-DRV-SHELL-001 §2.3) requires ≥ 15 mm separation between zone module FPC tails and EEG electrode cables (DRC-18). However, the EEG electrode cable routing path inside the CFRP shell has never been specified — no routing document, no cable path drawing, no cable type or diameter spec exists. DRC-18 compares FPC paths against EEG cable paths in CAD overlay, but one of the two p</w:t>
            </w:r>
          </w:p>
        </w:tc>
        <w:tc>
          <w:tcPr>
            <w:tcW w:type="dxa" w:w="1072"/>
            <w:shd w:val="clear" w:color="auto" w:fill="FFFFFF"/>
          </w:tcPr>
          <w:p>
            <w:r>
              <w:rPr>
                <w:b w:val="0"/>
                <w:sz w:val="18"/>
              </w:rPr>
              <w:t>Shell tooling is cut without EEG cable routing provisions. EEG cables, routed ad-hoc during assembly, may pass within 2–5 mm of FPC power tails. At 1.8 A RMS at ≥ 1 kHz, this produces &gt; 100 µV of EEG artifact — masking delta and theta band activity entirely and producing artefactual gamma signals. C</w:t>
            </w:r>
          </w:p>
        </w:tc>
        <w:tc>
          <w:tcPr>
            <w:tcW w:type="dxa" w:w="1072"/>
            <w:shd w:val="clear" w:color="auto" w:fill="FFFFFF"/>
          </w:tcPr>
          <w:p>
            <w:r>
              <w:rPr>
                <w:b w:val="0"/>
                <w:sz w:val="18"/>
              </w:rPr>
            </w:r>
            <w:r>
              <w:rPr>
                <w:b w:val="0"/>
                <w:sz w:val="16"/>
              </w:rPr>
              <w:t>EEG cables routed along outer CFRP surface (opposite side from FPC bundle). §2.4 added to NP-DRV-SHELL-001 specifying dedicated 8×5 mm molded channel. DRC-22/23 added to checklist. OI-09/10 track remaining CAD confirmation.</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NP-DRV-SHELL-001 §2.4; DRC-22/23</w:t>
            </w:r>
          </w:p>
        </w:tc>
      </w:tr>
      <w:tr>
        <w:tc>
          <w:tcPr>
            <w:tcW w:type="dxa" w:w="1072"/>
            <w:shd w:val="clear" w:color="auto" w:fill="FFFFFF"/>
          </w:tcPr>
          <w:p>
            <w:r>
              <w:rPr>
                <w:b w:val="0"/>
                <w:sz w:val="18"/>
              </w:rPr>
              <w:t>RISK-22</w:t>
            </w:r>
          </w:p>
        </w:tc>
        <w:tc>
          <w:tcPr>
            <w:tcW w:type="dxa" w:w="1072"/>
            <w:shd w:val="clear" w:color="auto" w:fill="FF9900"/>
            <w:shd w:val="clear" w:color="auto" w:fill="E2EFDA"/>
          </w:tcPr>
          <w:p>
            <w:r>
              <w:rPr>
                <w:b/>
                <w:sz w:val="18"/>
              </w:rPr>
            </w:r>
            <w:r>
              <w:rPr>
                <w:b/>
                <w:color w:val="007000"/>
                <w:sz w:val="16"/>
              </w:rPr>
              <w:t>MEDIUM</w:t>
              <w:br/>
              <w:t>(MITIGATED)</w:t>
            </w:r>
          </w:p>
        </w:tc>
        <w:tc>
          <w:tcPr>
            <w:tcW w:type="dxa" w:w="1072"/>
            <w:shd w:val="clear" w:color="auto" w:fill="FFFFFF"/>
          </w:tcPr>
          <w:p>
            <w:r>
              <w:rPr>
                <w:b w:val="0"/>
                <w:sz w:val="18"/>
              </w:rPr>
              <w:t>Gasket compression force (2–4 N) and mechanical key alignment impede zone module replacement by users with reduced grip strength or tremor</w:t>
            </w:r>
          </w:p>
        </w:tc>
        <w:tc>
          <w:tcPr>
            <w:tcW w:type="dxa" w:w="1072"/>
            <w:shd w:val="clear" w:color="auto" w:fill="FFFFFF"/>
          </w:tcPr>
          <w:p>
            <w:r>
              <w:rPr>
                <w:b w:val="0"/>
                <w:sz w:val="18"/>
              </w:rPr>
              <w:t>Two RISK-15/16 mitigations add resistance to zone module insertion and extraction: (a) The co-molded silicone compression gasket (RISK-16) adds 2–4 N extraction force — the gasket must be overcome to remove the module. (b) The asymmetric mechanical key (RISK-15 Layer 1) requires precise alignment before insertion — users must locate the key orientation before the module will enter. NeurOne's t</w:t>
            </w:r>
          </w:p>
        </w:tc>
        <w:tc>
          <w:tcPr>
            <w:tcW w:type="dxa" w:w="1072"/>
            <w:shd w:val="clear" w:color="auto" w:fill="FFFFFF"/>
          </w:tcPr>
          <w:p>
            <w:r>
              <w:rPr>
                <w:b w:val="0"/>
                <w:sz w:val="18"/>
              </w:rPr>
              <w:t>User cannot independently replace zone modules in the field. This is both a usability failure (reduces autonomy) and a clinical risk (user cannot address a fouled PDMS window or degraded module without help). If NeurOne markets autonomous home use as a differentiator, inability to self-service un</w:t>
            </w:r>
          </w:p>
        </w:tc>
        <w:tc>
          <w:tcPr>
            <w:tcW w:type="dxa" w:w="1072"/>
            <w:shd w:val="clear" w:color="auto" w:fill="FFFFFF"/>
          </w:tcPr>
          <w:p>
            <w:r>
              <w:rPr>
                <w:b w:val="0"/>
                <w:sz w:val="18"/>
              </w:rPr>
            </w:r>
            <w:r>
              <w:rPr>
                <w:b w:val="0"/>
                <w:sz w:val="16"/>
              </w:rPr>
              <w:t>Option A sliding eject lever: 10–12 mm lever arm with 3:1 mechanical advantage reduces extraction force from 2–4 N to ≤1 N at lever tip. Recessed flush when closed; snap-fit detent (0.3–0.5 N release) prevents accidental ejection during wear. Hinge pin boss molded into zone module body; 316SS hinge pin press-fit. Lever clears ZIF mechanism (OI-7 confirms). FAI-A15 validates with 5 Parkinson's/post-stroke subjects (≤10 s extraction, ≤2 attempts, no pain).</w:t>
            </w:r>
          </w:p>
        </w:tc>
        <w:tc>
          <w:tcPr>
            <w:tcW w:type="dxa" w:w="1072"/>
            <w:shd w:val="clear" w:color="auto" w:fill="FFFFFF"/>
          </w:tcPr>
          <w:p>
            <w:r>
              <w:rPr>
                <w:b w:val="0"/>
                <w:sz w:val="18"/>
              </w:rPr>
              <w:t>UX / Mechanical Eng / Regulatory</w:t>
            </w:r>
          </w:p>
        </w:tc>
        <w:tc>
          <w:tcPr>
            <w:tcW w:type="dxa" w:w="1072"/>
            <w:shd w:val="clear" w:color="auto" w:fill="FFFFFF"/>
          </w:tcPr>
          <w:p>
            <w:r>
              <w:rPr>
                <w:b w:val="0"/>
                <w:sz w:val="18"/>
              </w:rPr>
            </w:r>
            <w:r>
              <w:rPr>
                <w:b w:val="0"/>
                <w:sz w:val="16"/>
              </w:rPr>
              <w:t>NP-TOOL-ZM-001 F-08 (updated)</w:t>
              <w:br/>
              <w:t>NP-FAI-ZM-001 FAI-A15</w:t>
            </w:r>
          </w:p>
        </w:tc>
        <w:tc>
          <w:tcPr>
            <w:tcW w:type="dxa" w:w="1072"/>
            <w:shd w:val="clear" w:color="auto" w:fill="FFE699"/>
            <w:shd w:val="clear" w:color="auto" w:fill="FFF2CC"/>
            <w:shd w:val="clear" w:color="auto" w:fill="92D050"/>
          </w:tcPr>
          <w:p>
            <w:r>
              <w:rPr>
                <w:b w:val="0"/>
                <w:sz w:val="18"/>
              </w:rPr>
            </w:r>
            <w:r>
              <w:rPr>
                <w:b w:val="0"/>
                <w:sz w:val="16"/>
              </w:rPr>
            </w:r>
            <w:r>
              <w:rPr>
                <w:b/>
                <w:color w:val="007000"/>
                <w:sz w:val="16"/>
              </w:rPr>
              <w:t>MITIGATED — Option A lever specified in NP-TOOL-ZM-001 F-08; FAI-A15 HFE test added; OI-7 tracks CAD clearance check</w:t>
            </w:r>
          </w:p>
        </w:tc>
      </w:tr>
      <w:tr>
        <w:tc>
          <w:tcPr>
            <w:tcW w:type="dxa" w:w="1072"/>
            <w:shd w:val="clear" w:color="auto" w:fill="FFFFFF"/>
          </w:tcPr>
          <w:p>
            <w:r>
              <w:rPr>
                <w:b w:val="0"/>
                <w:sz w:val="18"/>
              </w:rPr>
              <w:t>RISK-23</w:t>
            </w:r>
          </w:p>
        </w:tc>
        <w:tc>
          <w:tcPr>
            <w:tcW w:type="dxa" w:w="1072"/>
            <w:shd w:val="clear" w:color="auto" w:fill="FF0000"/>
            <w:shd w:val="clear" w:color="auto" w:fill="E2EFDA"/>
          </w:tcPr>
          <w:p>
            <w:r>
              <w:rPr>
                <w:b/>
                <w:color w:val="FFFFFF"/>
                <w:sz w:val="18"/>
              </w:rPr>
            </w:r>
            <w:r>
              <w:rPr>
                <w:b/>
                <w:color w:val="007000"/>
                <w:sz w:val="16"/>
              </w:rPr>
              <w:t>HIGH</w:t>
              <w:br/>
              <w:t>(MITIGATED)</w:t>
            </w:r>
          </w:p>
        </w:tc>
        <w:tc>
          <w:tcPr>
            <w:tcW w:type="dxa" w:w="1072"/>
            <w:shd w:val="clear" w:color="auto" w:fill="FFFFFF"/>
          </w:tcPr>
          <w:p>
            <w:r>
              <w:rPr>
                <w:b w:val="0"/>
                <w:sz w:val="18"/>
              </w:rPr>
              <w:t>Zone module mold requires 4 simultaneous co-molded features — omission risk before first-cut</w:t>
            </w:r>
          </w:p>
        </w:tc>
        <w:tc>
          <w:tcPr>
            <w:tcW w:type="dxa" w:w="1072"/>
            <w:shd w:val="clear" w:color="auto" w:fill="FFFFFF"/>
          </w:tcPr>
          <w:p>
            <w:r>
              <w:rPr>
                <w:b w:val="0"/>
                <w:sz w:val="18"/>
              </w:rPr>
              <w:t>The zone module injection mold must now incorporate four distinct co-molded or molded-in features, each specified in a different document and driven by a different risk mitigation: (1) Braille abbreviation + raised numeral on module face (RISK-15 Layer 3, ISO 17049:2013); (2) Co-molded silicone lip seal gasket on module perimeter (RISK-16 Option A); (3) Optical baffle housing/aperture for refe</w:t>
            </w:r>
          </w:p>
        </w:tc>
        <w:tc>
          <w:tcPr>
            <w:tcW w:type="dxa" w:w="1072"/>
            <w:shd w:val="clear" w:color="auto" w:fill="FFFFFF"/>
          </w:tcPr>
          <w:p>
            <w:r>
              <w:rPr>
                <w:b w:val="0"/>
                <w:sz w:val="18"/>
              </w:rPr>
              <w:t>Any feature omitted from zone module tooling cannot be retrofitted post-cut — a full mold retool is required. Retool cost: $20,000–60,000 per mold, 8–16 week lead time, program delay. Worst case: all 4 features omitted from initial tooling specification = 3–4 sequential retool cycles before prod</w:t>
            </w:r>
          </w:p>
        </w:tc>
        <w:tc>
          <w:tcPr>
            <w:tcW w:type="dxa" w:w="1072"/>
            <w:shd w:val="clear" w:color="auto" w:fill="FFFFFF"/>
          </w:tcPr>
          <w:p>
            <w:r>
              <w:rPr>
                <w:b w:val="0"/>
                <w:sz w:val="18"/>
              </w:rPr>
            </w:r>
            <w:r>
              <w:rPr>
                <w:b w:val="0"/>
                <w:sz w:val="16"/>
              </w:rPr>
              <w:t>NP-TOOL-ZM-001 created consolidating all 8 molded features (F-01 through F-08). 12-item mold design review checklist in §5. All features traceable to risk register. G1-05 gate in NP-COORD-001 requires sign-off before steel cut.</w:t>
            </w:r>
          </w:p>
        </w:tc>
        <w:tc>
          <w:tcPr>
            <w:tcW w:type="dxa" w:w="1072"/>
            <w:shd w:val="clear" w:color="auto" w:fill="FFFFFF"/>
          </w:tcPr>
          <w:p>
            <w:r>
              <w:rPr>
                <w:b w:val="0"/>
                <w:sz w:val="18"/>
              </w:rPr>
              <w:t>Mechanical Eng / Program Manager</w:t>
            </w:r>
          </w:p>
        </w:tc>
        <w:tc>
          <w:tcPr>
            <w:tcW w:type="dxa" w:w="1072"/>
            <w:shd w:val="clear" w:color="auto" w:fill="FFFFFF"/>
          </w:tcPr>
          <w:p>
            <w:r>
              <w:rPr>
                <w:b w:val="0"/>
                <w:sz w:val="18"/>
              </w:rPr>
              <w:t>§8.2, §11.4, §12, NP-HW-FPC-001</w:t>
            </w:r>
          </w:p>
        </w:tc>
        <w:tc>
          <w:tcPr>
            <w:tcW w:type="dxa" w:w="1072"/>
            <w:shd w:val="clear" w:color="auto" w:fill="FFE699"/>
            <w:shd w:val="clear" w:color="auto" w:fill="92D050"/>
          </w:tcPr>
          <w:p>
            <w:r>
              <w:rPr>
                <w:b w:val="0"/>
                <w:sz w:val="18"/>
              </w:rPr>
            </w:r>
            <w:r>
              <w:rPr>
                <w:b/>
                <w:color w:val="007000"/>
                <w:sz w:val="16"/>
              </w:rPr>
              <w:t>MITIGATED — NP-TOOL-ZM-001 Rev A</w:t>
            </w:r>
          </w:p>
        </w:tc>
      </w:tr>
      <w:tr>
        <w:tc>
          <w:tcPr>
            <w:tcW w:type="dxa" w:w="1072"/>
            <w:shd w:val="clear" w:color="auto" w:fill="FFFFFF"/>
          </w:tcPr>
          <w:p>
            <w:r>
              <w:rPr>
                <w:b w:val="0"/>
                <w:sz w:val="18"/>
              </w:rPr>
              <w:t>RISK-24</w:t>
            </w:r>
          </w:p>
        </w:tc>
        <w:tc>
          <w:tcPr>
            <w:tcW w:type="dxa" w:w="1072"/>
            <w:shd w:val="clear" w:color="auto" w:fill="FF9900"/>
          </w:tcPr>
          <w:p>
            <w:r>
              <w:rPr>
                <w:b/>
                <w:sz w:val="18"/>
              </w:rPr>
            </w:r>
            <w:r>
              <w:rPr>
                <w:b/>
                <w:sz w:val="16"/>
              </w:rPr>
              <w:t>MEDIUM</w:t>
              <w:br/>
              <w:t>(MITIGATED)</w:t>
            </w:r>
          </w:p>
        </w:tc>
        <w:tc>
          <w:tcPr>
            <w:tcW w:type="dxa" w:w="1072"/>
            <w:shd w:val="clear" w:color="auto" w:fill="FFFFFF"/>
          </w:tcPr>
          <w:p>
            <w:r>
              <w:rPr>
                <w:b w:val="0"/>
                <w:sz w:val="18"/>
              </w:rPr>
              <w:t>15 mm FPC-to-EEG cable separation requirement may be geometrically unachievable inside headset shell without design compromise</w:t>
            </w:r>
          </w:p>
        </w:tc>
        <w:tc>
          <w:tcPr>
            <w:tcW w:type="dxa" w:w="1072"/>
            <w:shd w:val="clear" w:color="auto" w:fill="FFFFFF"/>
          </w:tcPr>
          <w:p>
            <w:r>
              <w:rPr>
                <w:b w:val="0"/>
                <w:sz w:val="18"/>
              </w:rPr>
              <w:t>RISK-17 mitigation specifies ≥ 15 mm separation between zone module FPC power tails (1.8 A RMS) and EEG electrode signal cables. The NeurOne headset CFRP shell interior must simultaneously house: 5 FPC routing channels (each 3 mm wide × 1.5 mm deep), EEG electrode cables for 8 channels plus references, structural ribs, Boa cable routing, audio cable routing to over-ear speakers, and the Hub PCB</w:t>
            </w:r>
          </w:p>
        </w:tc>
        <w:tc>
          <w:tcPr>
            <w:tcW w:type="dxa" w:w="1072"/>
            <w:shd w:val="clear" w:color="auto" w:fill="FFFFFF"/>
          </w:tcPr>
          <w:p>
            <w:r>
              <w:rPr>
                <w:b w:val="0"/>
                <w:sz w:val="18"/>
              </w:rPr>
              <w:t xml:space="preserve">If 15 mm separation is not geometrically achievable: (a) Shell geometry must be enlarged (increases headset size, reduces wearability); (b) Grounded barrier must be inserted between FPC and EEG channels (adds parts, weight, assembly complexity); (c) Separation requirement must be relaxed (increases </w:t>
            </w:r>
          </w:p>
        </w:tc>
        <w:tc>
          <w:tcPr>
            <w:tcW w:type="dxa" w:w="1072"/>
            <w:shd w:val="clear" w:color="auto" w:fill="FFFFFF"/>
          </w:tcPr>
          <w:p>
            <w:r>
              <w:rPr>
                <w:b w:val="0"/>
                <w:sz w:val="18"/>
              </w:rPr>
              <w:t>Resolution requires shell CAD model (which does not yet exist — see RISK-21). Until CAD is available: (1) Architectural decision: route EEG cables and FPC tails on opposite halves of the shell interior (FPC tails on headset crown side, EEG cables on scalp side). This maximises separation without specifying exact dimensions. (2) If barrier is needed: 0.1 mm aluminium foil strip bonded to shell interior and connected to chassis GND — adds &lt; 1 g weight, negligible cost. (3) DRC-18 in NP-DRV-SHELL-0</w:t>
            </w:r>
          </w:p>
        </w:tc>
        <w:tc>
          <w:tcPr>
            <w:tcW w:type="dxa" w:w="1072"/>
            <w:shd w:val="clear" w:color="auto" w:fill="FFFFFF"/>
          </w:tcPr>
          <w:p>
            <w:r>
              <w:rPr>
                <w:b w:val="0"/>
                <w:sz w:val="18"/>
              </w:rPr>
              <w:t>Mechanical Eng / HW EE</w:t>
            </w:r>
          </w:p>
        </w:tc>
        <w:tc>
          <w:tcPr>
            <w:tcW w:type="dxa" w:w="1072"/>
            <w:shd w:val="clear" w:color="auto" w:fill="FFFFFF"/>
          </w:tcPr>
          <w:p>
            <w:r>
              <w:rPr>
                <w:b w:val="0"/>
                <w:sz w:val="18"/>
              </w:rPr>
              <w:t>NP-DRV-SHELL-001 §2.3, DRC-18</w:t>
            </w:r>
          </w:p>
        </w:tc>
        <w:tc>
          <w:tcPr>
            <w:tcW w:type="dxa" w:w="1072"/>
            <w:shd w:val="clear" w:color="auto" w:fill="FFE699"/>
            <w:shd w:val="clear" w:color="auto" w:fill="92D050"/>
          </w:tcPr>
          <w:p>
            <w:r>
              <w:rPr>
                <w:b w:val="0"/>
                <w:sz w:val="18"/>
              </w:rPr>
            </w:r>
            <w:r>
              <w:rPr>
                <w:b/>
                <w:color w:val="007000"/>
                <w:sz w:val="16"/>
              </w:rPr>
              <w:t>MITIGATED — §2.4 DRC-18a/b provides primary routing + barrier fallback</w:t>
            </w:r>
          </w:p>
        </w:tc>
      </w:tr>
      <w:tr>
        <w:tc>
          <w:tcPr>
            <w:tcW w:w="792" w:type="dxa"/>
          </w:tcPr>
          <w:p>
            <w:r>
              <w:rPr>
                <w:sz w:val="16"/>
              </w:rPr>
              <w:t xml:space="preserve">RISK-25</w:t>
            </w:r>
          </w:p>
        </w:tc>
        <w:tc>
          <w:tcPr>
            <w:tcW w:w="1007" w:type="dxa"/>
            <w:shd w:val="clear" w:color="auto" w:fill="E2EFDA"/>
          </w:tcPr>
          <w:p>
            <w:r>
              <w:rPr>
                <w:b/>
              </w:rPr>
              <w:t>LOW</w:t>
              <w:br/>
              <w:t>(MITIGATED)</w:t>
            </w:r>
          </w:p>
        </w:tc>
        <w:tc>
          <w:tcPr>
            <w:tcW w:w="864" w:type="dxa"/>
          </w:tcPr>
          <w:p>
            <w:r>
              <w:t>Cervical VNS cardiac reflex — bradycardia or asystole from vagal stimulation at carotid sheath proximity</w:t>
            </w:r>
          </w:p>
        </w:tc>
        <w:tc>
          <w:tcPr>
            <w:tcW w:w="1152" w:type="dxa"/>
          </w:tcPr>
          <w:p>
            <w:r>
              <w:t>Carotid sinus proximity; parasympathetic activation; current spreading to baroreceptors</w:t>
            </w:r>
          </w:p>
        </w:tc>
        <w:tc>
          <w:tcPr>
            <w:tcW w:w="1007" w:type="dxa"/>
          </w:tcPr>
          <w:p>
            <w:r>
              <w:t>Bradycardia, hypotension, vasovagal syncope, or (in extreme cases) asystole during stimulation session</w:t>
            </w:r>
          </w:p>
        </w:tc>
        <w:tc>
          <w:tcPr>
            <w:tcW w:w="2736" w:type="dxa"/>
          </w:tcPr>
          <w:p>
            <w:r>
              <w:t>Safety MCU dual-processor cardiac interlock (NP-FW-CVNS-001 Rev A)</w:t>
            </w:r>
          </w:p>
        </w:tc>
        <w:tc>
          <w:tcPr>
            <w:tcW w:w="792" w:type="dxa"/>
          </w:tcPr>
          <w:p>
            <w:r>
              <w:t>Firmware / Safety Engineering</w:t>
            </w:r>
          </w:p>
        </w:tc>
        <w:tc>
          <w:tcPr>
            <w:tcW w:w="1440" w:type="dxa"/>
          </w:tcPr>
          <w:p>
            <w:r>
              <w:t>NP-FW-CVNS-001 Rev A</w:t>
              <w:br/>
              <w:t>FAI-CV01, FAI-CV02, FAI-CV03</w:t>
            </w:r>
          </w:p>
        </w:tc>
        <w:tc>
          <w:tcPr>
            <w:tcW w:w="1872" w:type="dxa"/>
            <w:shd w:val="clear" w:color="auto" w:fill="92D050"/>
          </w:tcPr>
          <w:p>
            <w:r>
              <w:t>MITIGATED</w:t>
            </w:r>
          </w:p>
        </w:tc>
      </w:tr>
      <w:tr>
        <w:tc>
          <w:tcPr>
            <w:tcW w:w="792" w:type="dxa"/>
          </w:tcPr>
          <w:p>
            <w:r>
              <w:rPr>
                <w:sz w:val="16"/>
              </w:rPr>
              <w:t xml:space="preserve">RISK-26</w:t>
            </w:r>
          </w:p>
        </w:tc>
        <w:tc>
          <w:tcPr>
            <w:tcW w:w="1007" w:type="dxa"/>
            <w:shd w:val="clear" w:color="auto" w:fill="E2EFDA"/>
          </w:tcPr>
          <w:p>
            <w:r>
              <w:rPr>
                <w:b/>
              </w:rPr>
              <w:t>HIGH</w:t>
              <w:br/>
              <w:t>(ALARP — path selected)</w:t>
            </w:r>
          </w:p>
        </w:tc>
        <w:tc>
          <w:tcPr>
            <w:tcW w:w="864" w:type="dxa"/>
          </w:tcPr>
          <w:p>
            <w:r>
              <w:t>Fan / heatsink airflow loss → scalp-facing surface &gt; 42 °C while junction NTC ≤ 62 °C (no throttle)</w:t>
            </w:r>
          </w:p>
        </w:tc>
        <w:tc>
          <w:tcPr>
            <w:tcW w:w="1152" w:type="dxa"/>
          </w:tcPr>
          <w:p>
            <w:r>
              <w:t>Loss/degradation of forced convection raises outward thermal resistance; module heat diverts scalp-ward. The 62 °C junction throttle holds (no cutoff until 65 °C), so it reports safe/throttling while the face approaches unsafe temperature. THERM-1a (NP-THERM-CFD-R1-001): face ≈ 60 °C, scalp ≈ 52–55 °C at the worst fault — 14–21 °C over the 42 °C limit.</w:t>
            </w:r>
          </w:p>
        </w:tc>
        <w:tc>
          <w:tcPr>
            <w:tcW w:w="1007" w:type="dxa"/>
          </w:tcPr>
          <w:p>
            <w:r>
              <w:t>Scalp thermal injury (S3 moderate, reversible) not caught by the junction-only interlock.</w:t>
            </w:r>
          </w:p>
        </w:tc>
        <w:tc>
          <w:tcPr>
            <w:tcW w:w="2736" w:type="dxa"/>
          </w:tcPr>
          <w:p>
            <w:r>
              <w:t>SELECTED — Path B1 (NP-REQ-FANHEALTH-001 §4a; NP-THERM-CFD-R1-001): direct scalp-facing NTC co-located with PD2, read by SW01-M04 (SR-FAN-01/02). On face over-temp or forced-convection loss, derate PBM to the natural-convection-safe ceiling (SR-FAN-03; ≈ 4.5 mW/cm² at 43.3 °C ambient) within T_resp (SR-FAN-04). Fan-RPM predictive-maintenance alert (SR-FAN-05) + firmware ambient/duty envelope gate. Path A (junction throttle alone) rejected. Base thermal design: BN-boss conductive export to an external heatsink (interior un-ventilated). Accepted into NP-SW-001 §6.2.</w:t>
            </w:r>
          </w:p>
        </w:tc>
        <w:tc>
          <w:tcPr>
            <w:tcW w:w="792" w:type="dxa"/>
          </w:tcPr>
          <w:p>
            <w:r>
              <w:t>FW + Thermal / Quality</w:t>
            </w:r>
          </w:p>
        </w:tc>
        <w:tc>
          <w:tcPr>
            <w:tcW w:w="1440" w:type="dxa"/>
          </w:tcPr>
          <w:p>
            <w:r>
              <w:t>NP-REQ-FANHEALTH-001; NP-FMEA-GEOM-001 (FMEA-G07-01)</w:t>
              <w:br/>
              <w:t>NP-THERM-CFD-R1-001</w:t>
            </w:r>
          </w:p>
        </w:tc>
        <w:tc>
          <w:tcPr>
            <w:tcW w:w="1872" w:type="dxa"/>
            <w:shd w:val="clear" w:color="auto" w:fill="92D050"/>
          </w:tcPr>
          <w:p>
            <w:r>
              <w:t>OPEN — path selected; SW01-M04 face-NTC impl. + THERM-1b pending</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NeurOne's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center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NeurOne's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color-vision deficiency (~8% males). The mitigation is extended to cover completely blind users, since NeurOne's clinical positioning (neurological conditions including visual processing disorders) makes it plausible that a proportion of users will have significant visual impairment. The five-layer approach costs ~$0.15 total per headset (5 ZONE_ID resistors at $0.03 each) if the mold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Co-molded gasket spec (Shore 40–50A, D-section 2.5 mm × 2.0 mm, 20% compression at insertion) in zone module mold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behavior from the IPX4 compliance path entirely. The co-molded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r>
        <w:rPr>
          <w:b w:val="0"/>
          <w:sz w:val="20"/>
        </w:rPr>
      </w:r>
    </w:p>
    <w:p>
      <w:r>
        <w:rPr>
          <w:b w:val="0"/>
          <w:color w:val="C06000"/>
          <w:sz w:val="20"/>
        </w:rPr>
        <w:t>→ Action 5 (OPEN — physical prototype): DRC-21 — motion simulation test on first-article with all 5 zone modules installed; confirm no FPC contact during ±30° flex cycles. Tracked in NP-DRV-SHELL-001 §5.</w:t>
      </w:r>
    </w:p>
    <w:p>
      <w:r>
        <w:rPr>
          <w:b w:val="0"/>
          <w:color w:val="C06000"/>
          <w:sz w:val="20"/>
        </w:rPr>
        <w:t>→ Action 4 (OPEN — Hub PCB layout): Hub PCB connector placement coordination — all 5 ZIF receptacles on same edge, perpendicular to FPC routing direction. Must be communicated to Hub PCB layout engineer before schematic capture. Tracked as NP-COORD-001 G2-01 and NP-DRV-SHELL-001 OI-08.</w:t>
      </w:r>
    </w:p>
    <w:p>
      <w:r>
        <w:rPr>
          <w:b w:val="0"/>
          <w:color w:val="C06000"/>
          <w:sz w:val="20"/>
        </w:rPr>
        <w:t>→ Action 3 (OPEN — shell CAD): DRC-17/18/19/20 — inter-FPC separation, FPC-to-EEG cable separation, anchor points, and Hub PCB alignment all require a CAD model showing all 5 FPC routing paths simultaneously with EEG cable overlay. This is the primary CAD deliverable for NP-COORD-001 G2-01.</w:t>
      </w:r>
    </w:p>
    <w:p>
      <w:r>
        <w:rPr>
          <w:b w:val="0"/>
          <w:color w:val="C06000"/>
          <w:sz w:val="20"/>
        </w:rPr>
        <w:t>→ Action 2 (OPEN — shell tooling spec): Anchor boss geometry (3 per FPC, ≥ 5 mm boss radius, no compression), inter-FPC channel dividers, and grounded barrier (if FPC-to-EEG gap &lt; 15 mm) must all be in shell tooling spec before first-cut. Cannot be retrofitted.</w:t>
      </w:r>
    </w:p>
    <w:p>
      <w:r>
        <w:rPr>
          <w:b w:val="0"/>
          <w:color w:val="007000"/>
          <w:sz w:val="20"/>
        </w:rPr>
        <w:t>→ Action 1 (DONE): NP-DRV-SHELL-001 Rev A extended with §2.3 (multi-FPC bundle management) and DRC-16 to DRC-21 (6 new design review checklist items). Requirements now specified for: bundle cross-section clearance, ≥ 2 mm inter-FPC separation, ≥ 15 mm FPC-to-EEG separation, anchor/tie-down points, and Hub PCB connector placement.</w:t>
      </w:r>
    </w:p>
    <w:p>
      <w:r>
        <w:rPr>
          <w:b w:val="0"/>
          <w:sz w:val="20"/>
        </w:rPr>
        <w:t>RISK-17 extends RISK-11 (single-FPC bend radius) to the full 5-FPC system. The critical additional hazards are: (a) inductive coupling between adjacent high-current FPC tails — at 1.8 A RMS per tail, mutual inductance between parallel FPCs &lt; 2 mm apart produces millivolt-level interference on any co-located signal line, including EEG leads; (b) EEG cable contamination — a sub-microvolt EEG signal running within 5 mm of a 1 kHz PWM power FPC will pick up &gt; 100 µV of artifact, completely masking delta/theta band activity; (c) FPC chafing — adjacent FPCs in contact undergo relative motion of ~0.5–1.5 mm on every zone module insertion/removal cycle, abrading the polyimide coverlay and eventually exposing copper.</w:t>
      </w:r>
    </w:p>
    <w:p>
      <w:r>
        <w:rPr>
          <w:b/>
          <w:color w:val="1F497D"/>
          <w:sz w:val="20"/>
        </w:rPr>
        <w:t>RISK-17  |  MEDIUM (MITIGATED)  |  Multi-FPC Routing + EEG Cable Separation — §2.3 Added to NP-DRV-SHELL-001</w:t>
      </w:r>
    </w:p>
    <w:p>
      <w:pPr/>
      <w:r>
        <w:rPr>
          <w:b/>
          <w:color w:val="1F497D"/>
          <w:sz w:val="20"/>
        </w:rPr>
        <w:t>RISK-25  |  LOW (MITIGATED)  |  Cervical VNS Cardiac Reflex</w:t>
      </w:r>
    </w:p>
    <w:p>
      <w:pPr/>
    </w:p>
    <w:p>
      <w:pPr/>
      <w:r>
        <w:rPr>
          <w:b w:val="0"/>
          <w:sz w:val="20"/>
        </w:rPr>
        <w:t>Modality: Cervical VNS (T2 accessory)</w:t>
      </w:r>
    </w:p>
    <w:p>
      <w:pPr/>
      <w:r>
        <w:rPr>
          <w:b w:val="0"/>
          <w:sz w:val="20"/>
        </w:rPr>
        <w:t>Failure mode: Stimulation near carotid sheath triggers baroreceptor reflex → bradycardia, hypotension, or asystole</w:t>
      </w:r>
    </w:p>
    <w:p>
      <w:pPr/>
      <w:r>
        <w:rPr>
          <w:b w:val="0"/>
          <w:sz w:val="20"/>
        </w:rPr>
        <w:t>Root cause: Vagal trunk stimulation at cervical level has proximity to carotid sinus and baroreceptor afferents; current spreading could activate parasympathetic tone</w:t>
      </w:r>
    </w:p>
    <w:p>
      <w:pPr/>
      <w:r>
        <w:rPr>
          <w:b w:val="0"/>
          <w:sz w:val="20"/>
        </w:rPr>
        <w:t>Initial severity: CRITICAL (potential asystole) × P1 (rare but known in invasive VNS literature)</w:t>
      </w:r>
    </w:p>
    <w:p>
      <w:pPr/>
      <w:r>
        <w:rPr>
          <w:b w:val="0"/>
          <w:sz w:val="20"/>
        </w:rPr>
        <w:t>Residual severity after mitigation: LOW</w:t>
      </w:r>
    </w:p>
    <w:p>
      <w:pPr/>
    </w:p>
    <w:p>
      <w:pPr/>
      <w:r>
        <w:rPr>
          <w:b/>
          <w:sz w:val="20"/>
        </w:rPr>
        <w:t>Mitigation — NP-FW-CVNS-001 Rev A — Safety MCU cardiac interlock (MITIGATED):</w:t>
      </w:r>
    </w:p>
    <w:p>
      <w:pPr>
        <w:pStyle w:val="ListBullet"/>
      </w:pPr>
      <w:r>
        <w:rPr>
          <w:b w:val="0"/>
          <w:sz w:val="20"/>
        </w:rPr>
        <w:t>Safety MCU (STM32G071) owns CVNS_ENABLE_L/R GPIO independently of main processor</w:t>
      </w:r>
    </w:p>
    <w:p>
      <w:pPr>
        <w:pStyle w:val="ListBullet"/>
      </w:pPr>
      <w:r>
        <w:rPr>
          <w:b w:val="0"/>
          <w:sz w:val="20"/>
        </w:rPr>
        <w:t>Pre-stimulation baseline HR established from PPG R-peak detection (main processor) + cross-validated by Safety MCU GPIO timer (must agree within 5 BPM before enable granted)</w:t>
      </w:r>
    </w:p>
    <w:p>
      <w:pPr>
        <w:pStyle w:val="ListBullet"/>
      </w:pPr>
      <w:r>
        <w:rPr>
          <w:b w:val="0"/>
          <w:sz w:val="20"/>
        </w:rPr>
        <w:t>HR change &gt;15 BPM within 5-second rolling window → TIM6 ISR asserts GPIO LOW within &lt;5.1ms worst-case (&lt;100ms spec)</w:t>
      </w:r>
    </w:p>
    <w:p>
      <w:pPr>
        <w:pStyle w:val="ListBullet"/>
      </w:pPr>
      <w:r>
        <w:rPr>
          <w:b w:val="0"/>
          <w:sz w:val="20"/>
        </w:rPr>
        <w:t>Re-enable requires: 30s lockout elapsed + explicit app user confirmation + repeat impedance check + baseline re-established</w:t>
      </w:r>
    </w:p>
    <w:p>
      <w:pPr>
        <w:pStyle w:val="ListBullet"/>
      </w:pPr>
      <w:r>
        <w:rPr>
          <w:b w:val="0"/>
          <w:sz w:val="20"/>
        </w:rPr>
        <w:t>Safety MCU cannot be overridden by main processor crash or app command</w:t>
      </w:r>
    </w:p>
    <w:p>
      <w:pPr>
        <w:pStyle w:val="ListBullet"/>
      </w:pPr>
      <w:r>
        <w:rPr>
          <w:b w:val="0"/>
          <w:sz w:val="20"/>
        </w:rPr>
        <w:t>Additionally: per-session impedance check blocks enable if electrode contact not confirmed</w:t>
      </w:r>
    </w:p>
    <w:p>
      <w:pPr/>
    </w:p>
    <w:p>
      <w:pPr/>
      <w:r>
        <w:rPr>
          <w:b w:val="0"/>
          <w:sz w:val="20"/>
        </w:rPr>
        <w:t>Residual risk justification: Dual-processor architecture with independent cardiac monitoring provides safety backstop comparable to predicate device (electroCore gammaCore). Predicate operates at ≤24mA; NeurOne operates at ≤2mA (&gt;10× lower current). Residual risk ACCEPTABLE per NP-RM-001 acceptability matrix.</w:t>
      </w:r>
    </w:p>
    <w:p>
      <w:pPr/>
    </w:p>
    <w:p>
      <w:pPr/>
      <w:r>
        <w:rPr>
          <w:b/>
          <w:sz w:val="20"/>
        </w:rPr>
        <w:t>FAI verification:</w:t>
      </w:r>
    </w:p>
    <w:p>
      <w:pPr>
        <w:pStyle w:val="ListBullet"/>
      </w:pPr>
      <w:r>
        <w:rPr>
          <w:b w:val="0"/>
          <w:sz w:val="20"/>
        </w:rPr>
        <w:t>FAI-CV01: Electrode placement accuracy (anatomical phantom bench) — PENDING (T2 prototype required)</w:t>
      </w:r>
    </w:p>
    <w:p>
      <w:pPr>
        <w:pStyle w:val="ListBullet"/>
      </w:pPr>
      <w:r>
        <w:rPr>
          <w:b w:val="0"/>
          <w:sz w:val="20"/>
        </w:rPr>
        <w:t>FAI-CV02: Cardiac interlock timing &lt;100ms (oscilloscope bench with R-peak signal generator) — SOFTWARE CONSTANTS PASS; HARDWARE BENCH PENDING (T2 prototype required)</w:t>
      </w:r>
    </w:p>
    <w:p>
      <w:pPr>
        <w:pStyle w:val="ListBullet"/>
      </w:pPr>
      <w:r>
        <w:rPr>
          <w:b w:val="0"/>
          <w:sz w:val="20"/>
        </w:rPr>
        <w:t>FAI-CV03: Tolerability in 3 healthy adults — PENDING (IRB approval required)</w:t>
      </w:r>
    </w:p>
    <w:p>
      <w:pPr/>
      <w:r>
        <w:rPr>
          <w:b w:val="0"/>
          <w:sz w:val="20"/>
        </w:rPr>
        <w:t>Document reference: NP-FW-CVNS-001 Rev A (firmware/cervical_vns/)</w:t>
      </w:r>
    </w:p>
    <w:p>
      <w:pP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p>
      <w:pPr/>
    </w:p>
    <w:p>
      <w:pPr/>
    </w:p>
    <w:p>
      <w:pPr/>
      <w:r>
        <w:rPr>
          <w:b/>
          <w:color w:val="003366"/>
          <w:sz w:val="26"/>
        </w:rPr>
        <w:t>REVISION HISTORY</w:t>
      </w:r>
    </w:p>
    <w:p>
      <w:pPr/>
    </w:p>
    <w:tbl>
      <w:tblPr>
        <w:tblStyle w:val="TableGrid"/>
        <w:tblW w:type="auto" w:w="0"/>
        <w:tblLook w:firstColumn="1" w:firstRow="1" w:lastColumn="0" w:lastRow="0" w:noHBand="0" w:noVBand="1" w:val="04A0"/>
      </w:tblPr>
      <w:tblGrid>
        <w:gridCol w:w="2412"/>
        <w:gridCol w:w="2412"/>
        <w:gridCol w:w="2412"/>
        <w:gridCol w:w="2412"/>
      </w:tblGrid>
      <w:tr>
        <w:tc>
          <w:tcPr>
            <w:tcW w:type="dxa" w:w="2412"/>
          </w:tcPr>
          <w:p>
            <w:r>
              <w:rPr>
                <w:b/>
                <w:sz w:val="20"/>
              </w:rPr>
              <w:t>Revision</w:t>
            </w:r>
          </w:p>
        </w:tc>
        <w:tc>
          <w:tcPr>
            <w:tcW w:type="dxa" w:w="2412"/>
          </w:tcPr>
          <w:p>
            <w:r>
              <w:rPr>
                <w:b/>
                <w:sz w:val="20"/>
              </w:rPr>
              <w:t>Date</w:t>
            </w:r>
          </w:p>
        </w:tc>
        <w:tc>
          <w:tcPr>
            <w:tcW w:type="dxa" w:w="2412"/>
          </w:tcPr>
          <w:p>
            <w:r>
              <w:rPr>
                <w:b/>
                <w:sz w:val="20"/>
              </w:rPr>
              <w:t>Author</w:t>
            </w:r>
          </w:p>
        </w:tc>
        <w:tc>
          <w:tcPr>
            <w:tcW w:type="dxa" w:w="2412"/>
          </w:tcPr>
          <w:p>
            <w:r>
              <w:rPr>
                <w:b/>
                <w:sz w:val="20"/>
              </w:rPr>
              <w:t>Description</w:t>
            </w:r>
          </w:p>
        </w:tc>
      </w:tr>
      <w:tr>
        <w:tc>
          <w:tcPr>
            <w:tcW w:type="dxa" w:w="2412"/>
          </w:tcPr>
          <w:p>
            <w:r>
              <w:rPr>
                <w:sz w:val="20"/>
              </w:rPr>
              <w:t>Rev A</w:t>
            </w:r>
          </w:p>
        </w:tc>
        <w:tc>
          <w:tcPr>
            <w:tcW w:type="dxa" w:w="2412"/>
          </w:tcPr>
          <w:p>
            <w:r>
              <w:rPr>
                <w:sz w:val="20"/>
              </w:rPr>
              <w:t>2026-05-06</w:t>
            </w:r>
          </w:p>
        </w:tc>
        <w:tc>
          <w:tcPr>
            <w:tcW w:type="dxa" w:w="2412"/>
          </w:tcPr>
          <w:p>
            <w:r>
              <w:rPr>
                <w:sz w:val="20"/>
              </w:rPr>
              <w:t>NeurOne Engineering</w:t>
            </w:r>
          </w:p>
        </w:tc>
        <w:tc>
          <w:tcPr>
            <w:tcW w:type="dxa" w:w="2412"/>
          </w:tcPr>
          <w:p>
            <w:r>
              <w:rPr>
                <w:sz w:val="20"/>
              </w:rPr>
              <w:t>Initial issue. 24 risks (RISK-01 through RISK-24). 3 CRITICAL, 9 HIGH, 9 MEDIUM, 2 LOW. 22 MITIGATED, 2 OPEN (RISK-03, RISK-20).</w:t>
            </w:r>
          </w:p>
        </w:tc>
      </w:tr>
      <w:tr>
        <w:tc>
          <w:tcPr>
            <w:tcW w:type="dxa" w:w="2412"/>
          </w:tcPr>
          <w:p>
            <w:r>
              <w:rPr>
                <w:sz w:val="20"/>
              </w:rPr>
              <w:t>Rev B</w:t>
            </w:r>
          </w:p>
        </w:tc>
        <w:tc>
          <w:tcPr>
            <w:tcW w:type="dxa" w:w="2412"/>
          </w:tcPr>
          <w:p>
            <w:r>
              <w:rPr>
                <w:sz w:val="20"/>
              </w:rPr>
              <w:t>2026-05-16</w:t>
            </w:r>
          </w:p>
        </w:tc>
        <w:tc>
          <w:tcPr>
            <w:tcW w:type="dxa" w:w="2412"/>
          </w:tcPr>
          <w:p>
            <w:r>
              <w:rPr>
                <w:sz w:val="20"/>
              </w:rPr>
              <w:t>NeurOne Engineering</w:t>
            </w:r>
          </w:p>
        </w:tc>
        <w:tc>
          <w:tcPr>
            <w:tcW w:type="dxa" w:w="2412"/>
          </w:tcPr>
          <w:p>
            <w:r>
              <w:rPr>
                <w:sz w:val="20"/>
              </w:rPr>
              <w:t>RISK-25 added — Cervical VNS cardiac reflex. MITIGATED by Safety MCU dual-processor cardiac interlock (NP-FW-CVNS-001 Rev A). Hardware FAI (FAI-CV01, FAI-CV02, FAI-CV03) pending T2 prototype. Total: 25 risks, 23 MITIGATED, 2 OPEN (RISK-03, RISK-20).</w:t>
            </w:r>
          </w:p>
        </w:tc>
      </w:tr>
      <w:tr>
        <w:tc>
          <w:tcPr>
            <w:tcW w:type="dxa" w:w="2412"/>
          </w:tcPr>
          <w:p>
            <w:r>
              <w:rPr>
                <w:sz w:val="20"/>
              </w:rPr>
              <w:t>Rev C</w:t>
            </w:r>
          </w:p>
        </w:tc>
        <w:tc>
          <w:tcPr>
            <w:tcW w:type="dxa" w:w="2412"/>
          </w:tcPr>
          <w:p>
            <w:r>
              <w:rPr>
                <w:sz w:val="20"/>
              </w:rPr>
              <w:t>2026-07-22</w:t>
            </w:r>
          </w:p>
        </w:tc>
        <w:tc>
          <w:tcPr>
            <w:tcW w:type="dxa" w:w="2412"/>
          </w:tcPr>
          <w:p>
            <w:r>
              <w:rPr>
                <w:sz w:val="20"/>
              </w:rPr>
              <w:t>Steve Hickman (CEO, interim Quality authority)</w:t>
            </w:r>
          </w:p>
        </w:tc>
        <w:tc>
          <w:tcPr>
            <w:tcW w:type="dxa" w:w="2412"/>
          </w:tcPr>
          <w:p>
            <w:r>
              <w:rPr>
                <w:sz w:val="20"/>
              </w:rPr>
              <w:t>RISK-26 added — fan/heatsink airflow loss → scalp-facing surface &gt; 42 °C while junction NTC ≤ 62 °C (FMEA-G07-01, from THERM-1a NP-THERM-CFD-R1-001). Mitigation path SELECTED: Path B1 scalp-facing NTC at PD2 + SR-FAN-03 duty derate (NP-REQ-FANHEALTH-001; accepted into NP-SW-001 §6.2). Status OPEN pending SW01-M04 implementation + THERM-1b verification. Total: 26 risks, 23 MITIGATED, 3 OPEN (RISK-03, RISK-20, RISK-26).</w:t>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