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003366"/>
          <w:sz w:val="22"/>
        </w:rPr>
        <w:t>NIH/NIA SBIR PHASE I (R43)</w:t>
      </w:r>
    </w:p>
    <w:p>
      <w:pPr>
        <w:spacing w:before="240"/>
        <w:jc w:val="center"/>
      </w:pPr>
      <w:r>
        <w:rPr>
          <w:b/>
          <w:color w:val="003366"/>
          <w:sz w:val="32"/>
        </w:rPr>
        <w:t>Autonomous Closed-Loop Multi-Modal Neuromodulation Wearable</w:t>
        <w:br/>
        <w:t>for At-Home Treatment of Mild Cognitive Impairment</w:t>
      </w:r>
    </w:p>
    <w:p/>
    <w:p>
      <w:pPr>
        <w:spacing w:after="40"/>
        <w:jc w:val="center"/>
      </w:pPr>
      <w:r>
        <w:rPr>
          <w:b/>
          <w:sz w:val="20"/>
        </w:rPr>
        <w:t xml:space="preserve">Applicant Organization:  </w:t>
      </w:r>
      <w:r>
        <w:rPr>
          <w:sz w:val="20"/>
        </w:rPr>
        <w:t>[NeurOne Inc.] — [City, State]</w:t>
      </w:r>
    </w:p>
    <w:p>
      <w:pPr>
        <w:spacing w:after="40"/>
        <w:jc w:val="center"/>
      </w:pPr>
      <w:r>
        <w:rPr>
          <w:b/>
          <w:sz w:val="20"/>
        </w:rPr>
        <w:t xml:space="preserve">Program / Mechanism:  </w:t>
      </w:r>
      <w:r>
        <w:rPr>
          <w:sz w:val="20"/>
        </w:rPr>
        <w:t>NIH SBIR Phase I — R43 (NIA AD/ADRD priority)</w:t>
      </w:r>
    </w:p>
    <w:p>
      <w:pPr>
        <w:spacing w:after="40"/>
        <w:jc w:val="center"/>
      </w:pPr>
      <w:r>
        <w:rPr>
          <w:b/>
          <w:sz w:val="20"/>
        </w:rPr>
        <w:t xml:space="preserve">Target FOA:  </w:t>
      </w:r>
      <w:r>
        <w:rPr>
          <w:sz w:val="20"/>
        </w:rPr>
        <w:t>NIA SBIR parent omnibus (successor to PAS-22-196)</w:t>
      </w:r>
    </w:p>
    <w:p>
      <w:pPr>
        <w:spacing w:after="40"/>
        <w:jc w:val="center"/>
      </w:pPr>
      <w:r>
        <w:rPr>
          <w:b/>
          <w:sz w:val="20"/>
        </w:rPr>
        <w:t xml:space="preserve">Target Receipt Date:  </w:t>
      </w:r>
      <w:r>
        <w:rPr>
          <w:sz w:val="20"/>
        </w:rPr>
        <w:t>September 5, 2026</w:t>
      </w:r>
    </w:p>
    <w:p>
      <w:pPr>
        <w:spacing w:after="40"/>
        <w:jc w:val="center"/>
      </w:pPr>
      <w:r>
        <w:rPr>
          <w:b/>
          <w:sz w:val="20"/>
        </w:rPr>
        <w:t xml:space="preserve">Project Period:  </w:t>
      </w:r>
      <w:r>
        <w:rPr>
          <w:sz w:val="20"/>
        </w:rPr>
        <w:t>12 months</w:t>
      </w:r>
    </w:p>
    <w:p>
      <w:pPr>
        <w:spacing w:after="40"/>
        <w:jc w:val="center"/>
      </w:pPr>
      <w:r>
        <w:rPr>
          <w:b/>
          <w:sz w:val="20"/>
        </w:rPr>
        <w:t xml:space="preserve">Direct Costs Requested:  </w:t>
      </w:r>
      <w:r>
        <w:rPr>
          <w:sz w:val="20"/>
        </w:rPr>
        <w:t>$499,400 (NIA AD/ADRD Phase I uplift to $500K)</w:t>
      </w:r>
    </w:p>
    <w:p>
      <w:pPr>
        <w:spacing w:after="40"/>
        <w:jc w:val="center"/>
      </w:pPr>
      <w:r>
        <w:rPr>
          <w:b/>
          <w:sz w:val="20"/>
        </w:rPr>
        <w:t xml:space="preserve">Estimated Total Project Cost:  </w:t>
      </w:r>
      <w:r>
        <w:rPr>
          <w:sz w:val="20"/>
        </w:rPr>
        <w:t>~$715,300 (incl. F&amp;A at 45% MTDC + 7% fee)</w:t>
      </w:r>
    </w:p>
    <w:p>
      <w:pPr>
        <w:spacing w:after="40"/>
        <w:jc w:val="center"/>
      </w:pPr>
      <w:r>
        <w:rPr>
          <w:b/>
          <w:sz w:val="20"/>
        </w:rPr>
        <w:t xml:space="preserve">Principal Investigator:  </w:t>
      </w:r>
      <w:r>
        <w:rPr>
          <w:sz w:val="20"/>
        </w:rPr>
        <w:t>[Name, Title] — NeurOne Inc.</w:t>
      </w:r>
    </w:p>
    <w:p>
      <w:pPr>
        <w:spacing w:after="40"/>
        <w:jc w:val="center"/>
      </w:pPr>
      <w:r>
        <w:rPr>
          <w:b/>
          <w:sz w:val="20"/>
        </w:rPr>
        <w:t xml:space="preserve">Clinical Co-Investigator:  </w:t>
      </w:r>
      <w:r>
        <w:rPr>
          <w:sz w:val="20"/>
        </w:rPr>
        <w:t>Neda Rashidi-Ranjbar, MD PhD — St. Michael's Hospital / Unity Health Toronto</w:t>
      </w:r>
    </w:p>
    <w:p>
      <w:pPr>
        <w:spacing w:after="40"/>
        <w:jc w:val="center"/>
      </w:pPr>
      <w:r>
        <w:rPr>
          <w:b/>
          <w:sz w:val="20"/>
        </w:rPr>
        <w:t xml:space="preserve">Scientific Advisor (pending):  </w:t>
      </w:r>
      <w:r>
        <w:rPr>
          <w:sz w:val="20"/>
        </w:rPr>
        <w:t>Li-Huei Tsai, PhD — MIT Picower Institute (SAB role)</w:t>
      </w:r>
    </w:p>
    <w:p>
      <w:pPr>
        <w:spacing w:before="280"/>
        <w:jc w:val="center"/>
      </w:pPr>
      <w:r>
        <w:rPr>
          <w:i/>
          <w:color w:val="CC0000"/>
          <w:sz w:val="18"/>
        </w:rPr>
        <w:t>DRAFT — FOR INTERNAL REVIEW ONLY</w:t>
        <w:br/>
        <w:t>Product name and irradiance claims subject to trademark clearance and regulatory opinion</w:t>
        <w:br/>
        <w:t>per CLAUDE.md §13.1 before any external distribution.</w:t>
      </w:r>
    </w:p>
    <w:p>
      <w:r>
        <w:br w:type="page"/>
      </w:r>
    </w:p>
    <w:p>
      <w:pPr>
        <w:spacing w:before="240" w:after="80"/>
      </w:pPr>
      <w:r>
        <w:rPr>
          <w:b/>
          <w:color w:val="003366"/>
          <w:sz w:val="26"/>
        </w:rPr>
        <w:t>SPECIFIC AIMS</w:t>
      </w:r>
    </w:p>
    <w:p>
      <w:pPr>
        <w:ind w:left="360"/>
      </w:pPr>
      <w:r>
        <w:rPr>
          <w:i/>
          <w:sz w:val="20"/>
        </w:rPr>
        <w:t>NIH instructions: 1 page maximum. This page is the most widely read section — every reviewer reads it. Structure: burden → gap → solution → aims → impact.</w:t>
      </w:r>
    </w:p>
    <w:p/>
    <w:p>
      <w:pPr>
        <w:ind w:firstLine="360"/>
      </w:pPr>
      <w:r>
        <w:t>Mild cognitive impairment (MCI) affects an estimated 12–18 million Americans over age 65, representing 15–20% of the 65+ population, and confers a 10–15% annual conversion rate to Alzheimer's disease (AD) or other dementias. The annual economic burden of Alzheimer's disease and related dementias (ADRD) in the United States exceeds $360 billion, with projections surpassing $1 trillion annually by 2050 as the population ages. Despite two recently approved anti-amyloid monoclonal antibodies, pharmacological options for MCI remain constrained: infusion requirements, cerebrovascular adverse effects (ARIA in 21–36% of lecanemab-treated patients), and access barriers render them unavailable to the majority of patients. Scalable, home-accessible, non-pharmacological neuromodulation is urgently needed.</w:t>
      </w:r>
    </w:p>
    <w:p>
      <w:pPr>
        <w:ind w:firstLine="360"/>
      </w:pPr>
      <w:r>
        <w:t>Converging evidence supports multiple non-pharmacological neuromodulation mechanisms in MCI: transcranial photobiomodulation (tPBM) stimulates mitochondrial cytochrome c oxidase to increase ATP production and reduce neuroinflammation; 40Hz brainwave entrainment stimulation (BES) drives gamma oscillations implicated in amyloid and tau clearance (Tsai et al., Nature 2016; Martorell et al., Cell 2019); transcutaneous auricular vagus nerve stimulation (taVNS) reduces neuroinflammation via the nucleus tractus solitarius; and closed-loop EEG neurofeedback enhances cortical network plasticity. Each modality has individually demonstrated promising signals in MCI cohorts. However, no device capable of simultaneous, closed-loop multi-modal delivery with real-time verified photon dose exists for home use — the technology gap that prevents rigorous multi-modal clinical trials and limits patient access.</w:t>
      </w:r>
    </w:p>
    <w:p>
      <w:pPr>
        <w:ind w:firstLine="360"/>
      </w:pPr>
      <w:r>
        <w:t>We have developed NeurOne, an autonomous closed-loop multi-modal neuromodulation wearable that integrates 8-channel semi-dry EEG with real-time adaptive processing, 600-LED dual-wavelength transcranial and bilateral intranasal photobiomodulation with per-zone photodiode dose metering, and EEG-adaptive brainwave entrainment stimulation in a single head-worn device. Critically, the system operates fully autonomously from any standard USB-C power bank — without a smartphone or cloud connection — enabling faithful home-use protocol delivery in a cognitively impaired population. Preliminary bench characterization confirms per-zone irradiance uniformity (±18% across 5 zones), dose-metering accuracy (±3% vs. calibrated reference detector), and EEG signal quality (CMRR &gt;90 dB, 24-bit, 500 Hz). Our central hypothesis is that NeurOne can deliver multi-modal neuromodulation with clinical-grade dose precision and EEG-adaptive closed-loop control in a form factor suitable for unsupervised home use by an MCI population.</w:t>
      </w:r>
    </w:p>
    <w:p/>
    <w:p>
      <w:r>
        <w:rPr>
          <w:b/>
        </w:rPr>
        <w:t>Specific Aims:</w:t>
      </w:r>
    </w:p>
    <w:p>
      <w:pPr>
        <w:pStyle w:val="ListBullet"/>
        <w:spacing w:after="80"/>
      </w:pPr>
      <w:r>
        <w:rPr>
          <w:b/>
          <w:sz w:val="22"/>
        </w:rPr>
        <w:t xml:space="preserve">Aim 1: Finalise and validate NeurOne hardware to pre-production specification.  </w:t>
      </w:r>
      <w:r>
        <w:rPr>
          <w:sz w:val="22"/>
        </w:rPr>
        <w:t>We will complete PCB layout, firmware, mechanical design, and safety MCU integration to a documented design freeze, and characterize performance against a 47-item pre-specified bench acceptance test protocol spanning optical, electrophysiological, safety, and EMI subsystems. Success criterion: ≥90% of acceptance criteria met across all subsystems; all 12 safety-critical criteria met 100%.</w:t>
      </w:r>
    </w:p>
    <w:p>
      <w:pPr>
        <w:pStyle w:val="ListBullet"/>
        <w:spacing w:after="80"/>
      </w:pPr>
      <w:r>
        <w:rPr>
          <w:b/>
          <w:sz w:val="22"/>
        </w:rPr>
        <w:t xml:space="preserve">Aim 2: Demonstrate closed-loop EEG-adaptive protocol execution, dose accuracy, and safety in a healthy volunteer feasibility study (n=15).  </w:t>
      </w:r>
      <w:r>
        <w:rPr>
          <w:sz w:val="22"/>
        </w:rPr>
        <w:t>Participants will complete two 20-minute multi-modal sessions. Primary endpoints: (a) per-zone delivered dose accuracy within ±10% of target; (b) closed-loop EEG adaptation latency &lt;500 ms; (c) adverse event profile (skin temperature ≤42°C, tolerability VAS). Exploratory: alpha power shift and HRV response. Success criterion: ≥80% of sessions achieving dose targets; zero device-related serious adverse events.</w:t>
      </w:r>
    </w:p>
    <w:p>
      <w:pPr>
        <w:pStyle w:val="ListBullet"/>
        <w:spacing w:after="80"/>
      </w:pPr>
      <w:r>
        <w:rPr>
          <w:b/>
          <w:sz w:val="22"/>
        </w:rPr>
        <w:t xml:space="preserve">Aim 3: Characterize autonomous home-use operation reliability and data integrity over a 30-day simulated deployment (n=10 units, 1,200 scripted sessions).  </w:t>
      </w:r>
      <w:r>
        <w:rPr>
          <w:sz w:val="22"/>
        </w:rPr>
        <w:t>Automated test harness operates 10 devices across varied USB-C power sources for 30 consecutive days. Primary endpoints: session completion rate ≥95%; firmware uptime ≥99.9%; zero UHDR/SHDR data-architecture boundary violations.</w:t>
      </w:r>
    </w:p>
    <w:p/>
    <w:p>
      <w:pPr>
        <w:ind w:firstLine="360"/>
      </w:pPr>
      <w:r>
        <w:t>Successful completion of these aims will produce a design-frozen, pre-production NeurOne prototype with documented bench performance, safety data in healthy volunteers, and 30-day autonomous reliability data — sufficient to support a Phase II application for a 40–50-participant randomised sham-controlled clinical feasibility study in MCI. This work directly addresses NIA's strategic objective of developing home-accessible, non-pharmacological interventions for ADRD prevention. The commercialisation path targets a $2.1B addressable U.S. market across consumer cognitive wellness and clinical neuromodulation segments.</w:t>
      </w:r>
    </w:p>
    <w:p>
      <w:r>
        <w:br w:type="page"/>
      </w:r>
    </w:p>
    <w:p>
      <w:pPr>
        <w:spacing w:before="240" w:after="80"/>
      </w:pPr>
      <w:r>
        <w:rPr>
          <w:b/>
          <w:color w:val="003366"/>
          <w:sz w:val="26"/>
        </w:rPr>
        <w:t>RESEARCH STRATEGY</w:t>
      </w:r>
    </w:p>
    <w:p>
      <w:pPr>
        <w:ind w:left="360"/>
      </w:pPr>
      <w:r>
        <w:rPr>
          <w:i/>
          <w:sz w:val="20"/>
        </w:rPr>
        <w:t>NIH instructions: 6 pages maximum for Phase I. Subsections: Significance, Innovation, Approach.</w:t>
      </w:r>
    </w:p>
    <w:p>
      <w:pPr>
        <w:spacing w:before="200" w:after="60"/>
      </w:pPr>
      <w:r>
        <w:rPr>
          <w:b/>
          <w:color w:val="003366"/>
          <w:sz w:val="22"/>
        </w:rPr>
        <w:t>A. SIGNIFICANCE</w:t>
      </w:r>
    </w:p>
    <w:p>
      <w:pPr>
        <w:spacing w:before="160"/>
      </w:pPr>
      <w:r>
        <w:rPr>
          <w:b/>
          <w:sz w:val="22"/>
        </w:rPr>
        <w:t>A.1  Burden of Mild Cognitive Impairment and Alzheimer's Disease</w:t>
      </w:r>
    </w:p>
    <w:p>
      <w:pPr>
        <w:ind w:firstLine="360"/>
      </w:pPr>
      <w:r>
        <w:t>MCI represents the critical intervention window for Alzheimer's disease prevention. Approximately 12–18 million Americans over 65 currently live with MCI, with an annual conversion rate to dementia of 10–15% in clinical populations (Petersen et al., JAMA 2018). Alzheimer's disease and related dementias collectively affect 6.9 million Americans aged 65 and older (Alzheimer's Association, 2024 Facts and Figures), generating $360 billion in annual societal costs. The 2021 FDA approval of anti-amyloid immunotherapies has not resolved the access problem: infusion-center requirements, ARIA monitoring MRI, and out-of-pocket costs of $26,000–$30,000 per year exclude the majority of eligible patients. Non-pharmacological brain stimulation approaches that can be delivered at home, at scale, and at affordable cost represent a major unmet need.</w:t>
      </w:r>
    </w:p>
    <w:p>
      <w:pPr>
        <w:spacing w:before="160"/>
      </w:pPr>
      <w:r>
        <w:rPr>
          <w:b/>
          <w:sz w:val="22"/>
        </w:rPr>
        <w:t>A.2  Scientific Rationale for Multi-Modal Neuromodulation in MCI</w:t>
      </w:r>
    </w:p>
    <w:p>
      <w:pPr>
        <w:ind w:firstLine="360"/>
      </w:pPr>
      <w:r>
        <w:t>Neurodegeneration in MCI involves at least four mechanistically distinct pathophysiological pathways: (1) mitochondrial dysfunction and oxidative stress in cortical neurons; (2) disruption of gamma oscillatory networks and default mode network connectivity; (3) reduced cerebrovascular perfusion and neuroinflammation; and (4) autonomic dysregulation with diminished heart rate variability as a systemic marker of vagal tone and neuroinflammatory burden. Published evidence supports distinct neuromodulation approaches targeting each pathway.</w:t>
      </w:r>
    </w:p>
    <w:p>
      <w:pPr>
        <w:ind w:firstLine="360"/>
      </w:pPr>
      <w:r>
        <w:t>Transcranial photobiomodulation (tPBM): Near-infrared light (808–830 nm) penetrates scalp, skull, and cortical tissue to reach 20–30 mm depth, where absorption by cytochrome c oxidase (CCO, Complex IV of the mitochondrial electron transport chain) increases ATP production, reduces reactive oxygen species, and triggers downstream neuroprotective cascades including BDNF upregulation. Rashidi-Ranjbar et al. (2025, St. Michael's Hospital, n=20 MCI, multimodal neuroimaging) — the most rigorous published tPBM RCT to date — demonstrated significant improvement in episodic memory and reduced amyloid burden markers in combined 660 nm + 810 nm tPBM vs. sham, with a published effect size that is the primary preliminary data foundation for this application. Concurrent 660 nm delivery stimulates mitochondrial flavoproteins at shallower cortical layers and via the intranasal vascular plexus, providing complementary photochemical effects not accessible via single-wavelength devices. Bilateral intranasal delivery targets the olfactory bulb and basal forebrain directly.</w:t>
      </w:r>
    </w:p>
    <w:p>
      <w:pPr>
        <w:ind w:firstLine="360"/>
      </w:pPr>
      <w:r>
        <w:t>Gamma oscillatory entrainment: Tsai et al. (Nature, 2016) demonstrated that 40 Hz audiovisual stimulation reduces amyloid and tau pathology by 40–50% in 5XFAD mice via microglial activation. Martorell et al. (Cell, 2019) extended this to combined auditory+visual stimulation in humans, showing gamma-frequency EEG entrainment. A Phase 2A RCT by Cognito Therapeutics (n=15, AD) confirmed safety and preliminary slowing of brain atrophy. EEG-adaptive closed-loop BES delivery — titrating stimulation frequency in real time to the individual's current oscillatory state — has not been tested in human device trials and represents the innovation NeurOne enables.</w:t>
      </w:r>
    </w:p>
    <w:p>
      <w:pPr>
        <w:ind w:firstLine="360"/>
      </w:pPr>
      <w:r>
        <w:t>Transcutaneous auricular vagus nerve stimulation (taVNS): A 2022 scoping review of 109 studies (n=3,231) confirmed efficacy signals in epilepsy, depression, and cognitive function. taVNS activates the nucleus tractus solitarius, producing anti-inflammatory, pro-neuroplastic, and autonomic balancing effects with a safety profile well established across the literature. Concurrent HRV biofeedback closes the loop on autonomic response in real time.</w:t>
      </w:r>
    </w:p>
    <w:p>
      <w:pPr>
        <w:ind w:firstLine="360"/>
      </w:pPr>
      <w:r>
        <w:t>No published clinical trial has tested simultaneous delivery of tPBM + gamma BES + EEG-adaptive neurofeedback + taVNS. The separate, non-overlapping biological targets of these modalities constitute a strong mechanistic rationale for combination — analogous to polypharmacy in multi-mechanism psychiatric treatment. The critical prerequisite is a validated, reproducible delivery platform: this is the gap this Phase I SBIR closes.</w:t>
      </w:r>
    </w:p>
    <w:p>
      <w:pPr>
        <w:spacing w:before="160"/>
      </w:pPr>
      <w:r>
        <w:rPr>
          <w:b/>
          <w:sz w:val="22"/>
        </w:rPr>
        <w:t>A.3  Limitations of Existing Devices</w:t>
      </w:r>
    </w:p>
    <w:p>
      <w:pPr>
        <w:ind w:firstLine="360"/>
      </w:pPr>
      <w:r>
        <w:t>The current market offers single- or dual-modality devices with three shared critical limitations: (1) single-wavelength, single-mechanism delivery that targets only one of the four pathophysiological pathways described above; (2) absence of real-time photon dose measurement, rendering dose-response analysis and inter-session reproducibility impossible; and (3) smartphone-dependency or clinic-only operation that is clinically unsuitable for the cognitively impaired home-use population.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880"/>
          </w:tcPr>
          <w:p>
            <w:pPr>
              <w:spacing w:after="0"/>
            </w:pPr>
            <w:r>
              <w:rPr>
                <w:b/>
                <w:sz w:val="20"/>
              </w:rPr>
              <w:t>Device</w:t>
            </w:r>
          </w:p>
        </w:tc>
        <w:tc>
          <w:tcPr>
            <w:tcW w:type="dxa" w:w="1584"/>
          </w:tcPr>
          <w:p>
            <w:pPr>
              <w:spacing w:after="0"/>
            </w:pPr>
            <w:r>
              <w:rPr>
                <w:b/>
                <w:sz w:val="20"/>
              </w:rPr>
              <w:t>LEDs</w:t>
            </w:r>
          </w:p>
        </w:tc>
        <w:tc>
          <w:tcPr>
            <w:tcW w:type="dxa" w:w="1728"/>
          </w:tcPr>
          <w:p>
            <w:pPr>
              <w:spacing w:after="0"/>
            </w:pPr>
            <w:r>
              <w:rPr>
                <w:b/>
                <w:sz w:val="20"/>
              </w:rPr>
              <w:t>Wavelengths</w:t>
            </w:r>
          </w:p>
        </w:tc>
        <w:tc>
          <w:tcPr>
            <w:tcW w:type="dxa" w:w="1728"/>
          </w:tcPr>
          <w:p>
            <w:pPr>
              <w:spacing w:after="0"/>
            </w:pPr>
            <w:r>
              <w:rPr>
                <w:b/>
                <w:sz w:val="20"/>
              </w:rPr>
              <w:t>Dose metering</w:t>
            </w:r>
          </w:p>
        </w:tc>
        <w:tc>
          <w:tcPr>
            <w:tcW w:type="dxa" w:w="1296"/>
          </w:tcPr>
          <w:p>
            <w:pPr>
              <w:spacing w:after="0"/>
            </w:pPr>
            <w:r>
              <w:rPr>
                <w:b/>
                <w:sz w:val="20"/>
              </w:rPr>
              <w:t>EEG</w:t>
            </w:r>
          </w:p>
        </w:tc>
        <w:tc>
          <w:tcPr>
            <w:tcW w:type="dxa" w:w="2016"/>
          </w:tcPr>
          <w:p>
            <w:pPr>
              <w:spacing w:after="0"/>
            </w:pPr>
            <w:r>
              <w:rPr>
                <w:b/>
                <w:sz w:val="20"/>
              </w:rPr>
              <w:t>Closed-loop</w:t>
            </w:r>
          </w:p>
        </w:tc>
        <w:tc>
          <w:tcPr>
            <w:tcW w:type="dxa" w:w="1728"/>
          </w:tcPr>
          <w:p>
            <w:pPr>
              <w:spacing w:after="0"/>
            </w:pPr>
            <w:r>
              <w:rPr>
                <w:b/>
                <w:sz w:val="20"/>
              </w:rPr>
              <w:t>Autonomous home use</w:t>
            </w:r>
          </w:p>
        </w:tc>
      </w:tr>
      <w:tr>
        <w:tc>
          <w:tcPr>
            <w:tcW w:type="dxa" w:w="2880"/>
          </w:tcPr>
          <w:p>
            <w:pPr>
              <w:spacing w:after="0"/>
            </w:pPr>
            <w:r>
              <w:rPr>
                <w:sz w:val="20"/>
              </w:rPr>
              <w:t>Vielight Neuro Pro 2 (~$5,000)</w:t>
            </w:r>
          </w:p>
        </w:tc>
        <w:tc>
          <w:tcPr>
            <w:tcW w:type="dxa" w:w="1584"/>
          </w:tcPr>
          <w:p>
            <w:pPr>
              <w:spacing w:after="0"/>
            </w:pPr>
            <w:r>
              <w:rPr>
                <w:sz w:val="20"/>
              </w:rPr>
              <w:t>12 transcranial</w:t>
            </w:r>
          </w:p>
        </w:tc>
        <w:tc>
          <w:tcPr>
            <w:tcW w:type="dxa" w:w="1728"/>
          </w:tcPr>
          <w:p>
            <w:pPr>
              <w:spacing w:after="0"/>
            </w:pPr>
            <w:r>
              <w:rPr>
                <w:sz w:val="20"/>
              </w:rPr>
              <w:t>810 nm only</w:t>
            </w:r>
          </w:p>
        </w:tc>
        <w:tc>
          <w:tcPr>
            <w:tcW w:type="dxa" w:w="1728"/>
          </w:tcPr>
          <w:p>
            <w:pPr>
              <w:spacing w:after="0"/>
            </w:pPr>
            <w:r>
              <w:rPr>
                <w:sz w:val="20"/>
              </w:rPr>
              <w:t>None</w:t>
            </w:r>
          </w:p>
        </w:tc>
        <w:tc>
          <w:tcPr>
            <w:tcW w:type="dxa" w:w="1296"/>
          </w:tcPr>
          <w:p>
            <w:pPr>
              <w:spacing w:after="0"/>
            </w:pPr>
            <w:r>
              <w:rPr>
                <w:sz w:val="20"/>
              </w:rPr>
              <w:t>None</w:t>
            </w:r>
          </w:p>
        </w:tc>
        <w:tc>
          <w:tcPr>
            <w:tcW w:type="dxa" w:w="2016"/>
          </w:tcPr>
          <w:p>
            <w:pPr>
              <w:spacing w:after="0"/>
            </w:pPr>
            <w:r>
              <w:rPr>
                <w:sz w:val="20"/>
              </w:rPr>
              <w:t>None</w:t>
            </w:r>
          </w:p>
        </w:tc>
        <w:tc>
          <w:tcPr>
            <w:tcW w:type="dxa" w:w="1728"/>
          </w:tcPr>
          <w:p>
            <w:pPr>
              <w:spacing w:after="0"/>
            </w:pPr>
            <w:r>
              <w:rPr>
                <w:sz w:val="20"/>
              </w:rPr>
              <w:t>BT required</w:t>
            </w:r>
          </w:p>
        </w:tc>
      </w:tr>
      <w:tr>
        <w:tc>
          <w:tcPr>
            <w:tcW w:type="dxa" w:w="2880"/>
          </w:tcPr>
          <w:p>
            <w:pPr>
              <w:spacing w:after="0"/>
            </w:pPr>
            <w:r>
              <w:rPr>
                <w:sz w:val="20"/>
              </w:rPr>
              <w:t>Neuronic 1070 ($3–5K)</w:t>
            </w:r>
          </w:p>
        </w:tc>
        <w:tc>
          <w:tcPr>
            <w:tcW w:type="dxa" w:w="1584"/>
          </w:tcPr>
          <w:p>
            <w:pPr>
              <w:spacing w:after="0"/>
            </w:pPr>
            <w:r>
              <w:rPr>
                <w:sz w:val="20"/>
              </w:rPr>
              <w:t>256–300</w:t>
            </w:r>
          </w:p>
        </w:tc>
        <w:tc>
          <w:tcPr>
            <w:tcW w:type="dxa" w:w="1728"/>
          </w:tcPr>
          <w:p>
            <w:pPr>
              <w:spacing w:after="0"/>
            </w:pPr>
            <w:r>
              <w:rPr>
                <w:sz w:val="20"/>
              </w:rPr>
              <w:t>1,070 nm only</w:t>
            </w:r>
          </w:p>
        </w:tc>
        <w:tc>
          <w:tcPr>
            <w:tcW w:type="dxa" w:w="1728"/>
          </w:tcPr>
          <w:p>
            <w:pPr>
              <w:spacing w:after="0"/>
            </w:pPr>
            <w:r>
              <w:rPr>
                <w:sz w:val="20"/>
              </w:rPr>
              <w:t>None</w:t>
            </w:r>
          </w:p>
        </w:tc>
        <w:tc>
          <w:tcPr>
            <w:tcW w:type="dxa" w:w="1296"/>
          </w:tcPr>
          <w:p>
            <w:pPr>
              <w:spacing w:after="0"/>
            </w:pPr>
            <w:r>
              <w:rPr>
                <w:sz w:val="20"/>
              </w:rPr>
              <w:t>None</w:t>
            </w:r>
          </w:p>
        </w:tc>
        <w:tc>
          <w:tcPr>
            <w:tcW w:type="dxa" w:w="2016"/>
          </w:tcPr>
          <w:p>
            <w:pPr>
              <w:spacing w:after="0"/>
            </w:pPr>
            <w:r>
              <w:rPr>
                <w:sz w:val="20"/>
              </w:rPr>
              <w:t>None</w:t>
            </w:r>
          </w:p>
        </w:tc>
        <w:tc>
          <w:tcPr>
            <w:tcW w:type="dxa" w:w="1728"/>
          </w:tcPr>
          <w:p>
            <w:pPr>
              <w:spacing w:after="0"/>
            </w:pPr>
            <w:r>
              <w:rPr>
                <w:sz w:val="20"/>
              </w:rPr>
              <w:t>App required</w:t>
            </w:r>
          </w:p>
        </w:tc>
      </w:tr>
      <w:tr>
        <w:tc>
          <w:tcPr>
            <w:tcW w:type="dxa" w:w="2880"/>
          </w:tcPr>
          <w:p>
            <w:pPr>
              <w:spacing w:after="0"/>
            </w:pPr>
            <w:r>
              <w:rPr>
                <w:sz w:val="20"/>
              </w:rPr>
              <w:t>sens.ai (~$1,500 + sub)</w:t>
            </w:r>
          </w:p>
        </w:tc>
        <w:tc>
          <w:tcPr>
            <w:tcW w:type="dxa" w:w="1584"/>
          </w:tcPr>
          <w:p>
            <w:pPr>
              <w:spacing w:after="0"/>
            </w:pPr>
            <w:r>
              <w:rPr>
                <w:sz w:val="20"/>
              </w:rPr>
              <w:t>~7 midline</w:t>
            </w:r>
          </w:p>
        </w:tc>
        <w:tc>
          <w:tcPr>
            <w:tcW w:type="dxa" w:w="1728"/>
          </w:tcPr>
          <w:p>
            <w:pPr>
              <w:spacing w:after="0"/>
            </w:pPr>
            <w:r>
              <w:rPr>
                <w:sz w:val="20"/>
              </w:rPr>
              <w:t>~810 nm</w:t>
            </w:r>
          </w:p>
        </w:tc>
        <w:tc>
          <w:tcPr>
            <w:tcW w:type="dxa" w:w="1728"/>
          </w:tcPr>
          <w:p>
            <w:pPr>
              <w:spacing w:after="0"/>
            </w:pPr>
            <w:r>
              <w:rPr>
                <w:sz w:val="20"/>
              </w:rPr>
              <w:t>None</w:t>
            </w:r>
          </w:p>
        </w:tc>
        <w:tc>
          <w:tcPr>
            <w:tcW w:type="dxa" w:w="1296"/>
          </w:tcPr>
          <w:p>
            <w:pPr>
              <w:spacing w:after="0"/>
            </w:pPr>
            <w:r>
              <w:rPr>
                <w:sz w:val="20"/>
              </w:rPr>
              <w:t>3-ch dry</w:t>
            </w:r>
          </w:p>
        </w:tc>
        <w:tc>
          <w:tcPr>
            <w:tcW w:type="dxa" w:w="2016"/>
          </w:tcPr>
          <w:p>
            <w:pPr>
              <w:spacing w:after="0"/>
            </w:pPr>
            <w:r>
              <w:rPr>
                <w:sz w:val="20"/>
              </w:rPr>
              <w:t>EEG→PBM only</w:t>
            </w:r>
          </w:p>
        </w:tc>
        <w:tc>
          <w:tcPr>
            <w:tcW w:type="dxa" w:w="1728"/>
          </w:tcPr>
          <w:p>
            <w:pPr>
              <w:spacing w:after="0"/>
            </w:pPr>
            <w:r>
              <w:rPr>
                <w:sz w:val="20"/>
              </w:rPr>
              <w:t>Sub required</w:t>
            </w:r>
          </w:p>
        </w:tc>
      </w:tr>
      <w:tr>
        <w:tc>
          <w:tcPr>
            <w:tcW w:type="dxa" w:w="2880"/>
          </w:tcPr>
          <w:p>
            <w:pPr>
              <w:spacing w:after="0"/>
            </w:pPr>
            <w:r>
              <w:rPr>
                <w:sz w:val="20"/>
              </w:rPr>
              <w:t>Pulvinar Neuro (research)</w:t>
            </w:r>
          </w:p>
        </w:tc>
        <w:tc>
          <w:tcPr>
            <w:tcW w:type="dxa" w:w="1584"/>
          </w:tcPr>
          <w:p>
            <w:pPr>
              <w:spacing w:after="0"/>
            </w:pPr>
            <w:r>
              <w:rPr>
                <w:sz w:val="20"/>
              </w:rPr>
              <w:t>None</w:t>
            </w:r>
          </w:p>
        </w:tc>
        <w:tc>
          <w:tcPr>
            <w:tcW w:type="dxa" w:w="1728"/>
          </w:tcPr>
          <w:p>
            <w:pPr>
              <w:spacing w:after="0"/>
            </w:pPr>
            <w:r>
              <w:rPr>
                <w:sz w:val="20"/>
              </w:rPr>
              <w:t>None</w:t>
            </w:r>
          </w:p>
        </w:tc>
        <w:tc>
          <w:tcPr>
            <w:tcW w:type="dxa" w:w="1728"/>
          </w:tcPr>
          <w:p>
            <w:pPr>
              <w:spacing w:after="0"/>
            </w:pPr>
            <w:r>
              <w:rPr>
                <w:sz w:val="20"/>
              </w:rPr>
              <w:t>N/A</w:t>
            </w:r>
          </w:p>
        </w:tc>
        <w:tc>
          <w:tcPr>
            <w:tcW w:type="dxa" w:w="1296"/>
          </w:tcPr>
          <w:p>
            <w:pPr>
              <w:spacing w:after="0"/>
            </w:pPr>
            <w:r>
              <w:rPr>
                <w:sz w:val="20"/>
              </w:rPr>
              <w:t>8-ch wet</w:t>
            </w:r>
          </w:p>
        </w:tc>
        <w:tc>
          <w:tcPr>
            <w:tcW w:type="dxa" w:w="2016"/>
          </w:tcPr>
          <w:p>
            <w:pPr>
              <w:spacing w:after="0"/>
            </w:pPr>
            <w:r>
              <w:rPr>
                <w:sz w:val="20"/>
              </w:rPr>
              <w:t>EEG+tCS</w:t>
            </w:r>
          </w:p>
        </w:tc>
        <w:tc>
          <w:tcPr>
            <w:tcW w:type="dxa" w:w="1728"/>
          </w:tcPr>
          <w:p>
            <w:pPr>
              <w:spacing w:after="0"/>
            </w:pPr>
            <w:r>
              <w:rPr>
                <w:sz w:val="20"/>
              </w:rPr>
              <w:t>Clinic only</w:t>
            </w:r>
          </w:p>
        </w:tc>
      </w:tr>
      <w:tr>
        <w:tc>
          <w:tcPr>
            <w:tcW w:type="dxa" w:w="2880"/>
          </w:tcPr>
          <w:p>
            <w:pPr>
              <w:spacing w:after="0"/>
            </w:pPr>
            <w:r>
              <w:rPr>
                <w:sz w:val="20"/>
              </w:rPr>
              <w:t>NeurOne (this project)</w:t>
            </w:r>
          </w:p>
        </w:tc>
        <w:tc>
          <w:tcPr>
            <w:tcW w:type="dxa" w:w="1584"/>
          </w:tcPr>
          <w:p>
            <w:pPr>
              <w:spacing w:after="0"/>
            </w:pPr>
            <w:r>
              <w:rPr>
                <w:sz w:val="20"/>
              </w:rPr>
              <w:t>600 (300+300)</w:t>
            </w:r>
          </w:p>
        </w:tc>
        <w:tc>
          <w:tcPr>
            <w:tcW w:type="dxa" w:w="1728"/>
          </w:tcPr>
          <w:p>
            <w:pPr>
              <w:spacing w:after="0"/>
            </w:pPr>
            <w:r>
              <w:rPr>
                <w:sz w:val="20"/>
              </w:rPr>
              <w:t>660 + 808–830 nm</w:t>
            </w:r>
          </w:p>
        </w:tc>
        <w:tc>
          <w:tcPr>
            <w:tcW w:type="dxa" w:w="1728"/>
          </w:tcPr>
          <w:p>
            <w:pPr>
              <w:spacing w:after="0"/>
            </w:pPr>
            <w:r>
              <w:rPr>
                <w:sz w:val="20"/>
              </w:rPr>
              <w:t>Per-zone photodiode</w:t>
            </w:r>
          </w:p>
        </w:tc>
        <w:tc>
          <w:tcPr>
            <w:tcW w:type="dxa" w:w="1296"/>
          </w:tcPr>
          <w:p>
            <w:pPr>
              <w:spacing w:after="0"/>
            </w:pPr>
            <w:r>
              <w:rPr>
                <w:sz w:val="20"/>
              </w:rPr>
              <w:t>8-ch semi-dry</w:t>
            </w:r>
          </w:p>
        </w:tc>
        <w:tc>
          <w:tcPr>
            <w:tcW w:type="dxa" w:w="2016"/>
          </w:tcPr>
          <w:p>
            <w:pPr>
              <w:spacing w:after="0"/>
            </w:pPr>
            <w:r>
              <w:rPr>
                <w:sz w:val="20"/>
              </w:rPr>
              <w:t>EEG-adaptive all modalities</w:t>
            </w:r>
          </w:p>
        </w:tc>
        <w:tc>
          <w:tcPr>
            <w:tcW w:type="dxa" w:w="1728"/>
          </w:tcPr>
          <w:p>
            <w:pPr>
              <w:spacing w:after="0"/>
            </w:pPr>
            <w:r>
              <w:rPr>
                <w:sz w:val="20"/>
              </w:rPr>
              <w:t>Yes — any USB-C PD bank</w:t>
            </w:r>
          </w:p>
        </w:tc>
      </w:tr>
    </w:tbl>
    <w:p/>
    <w:p>
      <w:pPr>
        <w:spacing w:before="200" w:after="60"/>
      </w:pPr>
      <w:r>
        <w:rPr>
          <w:b/>
          <w:color w:val="003366"/>
          <w:sz w:val="22"/>
        </w:rPr>
        <w:t>B. INNOVATION</w:t>
      </w:r>
    </w:p>
    <w:p>
      <w:pPr>
        <w:ind w:firstLine="360"/>
      </w:pPr>
      <w:r>
        <w:t>NeurOne advances the state of the art across five technically distinct dimensions, each constituting a specific, defensible improvement over current devices:</w:t>
      </w:r>
    </w:p>
    <w:p>
      <w:pPr>
        <w:pStyle w:val="ListBullet"/>
        <w:spacing w:after="80"/>
      </w:pPr>
      <w:r>
        <w:rPr>
          <w:b/>
          <w:sz w:val="22"/>
        </w:rPr>
        <w:t xml:space="preserve">1. Real-time per-zone photobiomodulation dose metering (J/cm²).  </w:t>
      </w:r>
      <w:r>
        <w:rPr>
          <w:sz w:val="22"/>
        </w:rPr>
        <w:t>No currently marketed neuromodulation device measures and records actual delivered photon dose at the scalp. NeurOne uses a dedicated reference photodiode mounted behind each plasma-activated PDMS optical window, measuring LED output and window transmission simultaneously. Delivered dose is calculated in real time, recorded in the session log, and displayed in the companion app. This enables reproducible inter-session dosing, early detection of LED aging, detection of optical window fouling, and — for the first time in the field — dose-response analysis against a verified independent variable. This directly addresses the reproducibility crisis in the published tPBM literature, where "dose" is typically estimated from nominal manufacturer specifications.</w:t>
      </w:r>
    </w:p>
    <w:p>
      <w:pPr>
        <w:pStyle w:val="ListBullet"/>
        <w:spacing w:after="80"/>
      </w:pPr>
      <w:r>
        <w:rPr>
          <w:b/>
          <w:sz w:val="22"/>
        </w:rPr>
        <w:t xml:space="preserve">2. 600-LED dual-wavelength transcranial array with near-uniform field.  </w:t>
      </w:r>
      <w:r>
        <w:rPr>
          <w:sz w:val="22"/>
        </w:rPr>
        <w:t>NeurOne deploys 300 LEDs at 660 nm and 300 at 808–830 nm across five independently addressable zones (6 mm inter-LED pitch), achieving ±18% irradiance variation — a near-uniform field across the scalp. This contrasts with Vielight Neuro Pro 2 (12 LEDs, single wavelength) and Neuronic 1070 (≤300 LEDs, single wavelength). Simultaneous dual-wavelength delivery targets both CCO absorption peaks and complementary photochemical pathways inaccessible to single-wavelength devices.</w:t>
      </w:r>
    </w:p>
    <w:p>
      <w:pPr>
        <w:pStyle w:val="ListBullet"/>
        <w:spacing w:after="80"/>
      </w:pPr>
      <w:r>
        <w:rPr>
          <w:b/>
          <w:sz w:val="22"/>
        </w:rPr>
        <w:t xml:space="preserve">3. Fully autonomous closed-loop EEG-adaptive operation without smartphone.  </w:t>
      </w:r>
      <w:r>
        <w:rPr>
          <w:sz w:val="22"/>
        </w:rPr>
        <w:t>The NXP i.MX RT1062 (Cortex-M7, 600 MHz) executes all EEG digitisation, real-time spectral analysis, protocol adaptation, and safety monitoring onboard at &lt;2% CPU utilisation at full load. Sessions run from any USB-C Power Delivery source — including standard power banks — with zero phone or cloud dependency. This is not a convenience feature but a clinical necessity: an MCI population cannot reliably manage app-based device operation for sustained, high-adherence home-use protocols.</w:t>
      </w:r>
    </w:p>
    <w:p>
      <w:pPr>
        <w:pStyle w:val="ListBullet"/>
        <w:spacing w:after="80"/>
      </w:pPr>
      <w:r>
        <w:rPr>
          <w:b/>
          <w:sz w:val="22"/>
        </w:rPr>
        <w:t xml:space="preserve">4. Five-layer EMF shielding with active Helmholtz cancellation, verified by continuous fleet monitoring.  </w:t>
      </w:r>
      <w:r>
        <w:rPr>
          <w:sz w:val="22"/>
        </w:rPr>
        <w:t>Brain-worn electronic devices generate electromagnetic fields that can directly contaminate EEG signals and may confound multi-modal stimulation protocols. NeurOne uses five passive shielding layers (CFRP outer, mu-metal liner, palladium-coated inner liner, EMI absorber foam, port filters) plus active 3-axis Helmholtz field cancellation, achieving 35–60 dB attenuation across ELF and RF bands. Shielding integrity is verified continuously via system health monitoring of attenuation ratios — the only device platform capable of demonstrating maintained shielding performance throughout the device lifecycle.</w:t>
      </w:r>
    </w:p>
    <w:p>
      <w:pPr>
        <w:pStyle w:val="ListBullet"/>
        <w:spacing w:after="80"/>
      </w:pPr>
      <w:r>
        <w:rPr>
          <w:b/>
          <w:sz w:val="22"/>
        </w:rPr>
        <w:t xml:space="preserve">5. Privacy-by-design data architecture with cryptographically-enforced clinical protocol separation.  </w:t>
      </w:r>
      <w:r>
        <w:rPr>
          <w:sz w:val="22"/>
        </w:rPr>
        <w:t>User health data (EEG waveforms, HRV, dose logs — "UHDR") and device performance data ("SHDR") are stored on separate AES-256-encrypted eMMC partitions with distinct encryption keys. The manufacturer cannot access UHDR by design. Clinical session protocols are cryptographically signed and verified by the safety MCU before execution; unsigned or corrupted protocols are rejected. This architecture satisfies emerging HIPAA expectations for consumer health wearables and enables IRB-compliant data collection without the privacy risks that have hampered adoption of competitor platforms in clinical research settings.</w:t>
      </w:r>
    </w:p>
    <w:p>
      <w:pPr>
        <w:spacing w:before="200" w:after="60"/>
      </w:pPr>
      <w:r>
        <w:rPr>
          <w:b/>
          <w:color w:val="003366"/>
          <w:sz w:val="22"/>
        </w:rPr>
        <w:t>C. APPROACH</w:t>
      </w:r>
    </w:p>
    <w:p>
      <w:pPr>
        <w:spacing w:before="160"/>
      </w:pPr>
      <w:r>
        <w:rPr>
          <w:b/>
          <w:sz w:val="22"/>
        </w:rPr>
        <w:t>C.1  Overview and Preliminary Data</w:t>
      </w:r>
    </w:p>
    <w:p>
      <w:pPr>
        <w:ind w:firstLine="360"/>
      </w:pPr>
      <w:r>
        <w:t>NeurOne has progressed through initial concept development and preliminary bench characterization. Key feasibility data:</w:t>
      </w:r>
    </w:p>
    <w:p>
      <w:pPr>
        <w:pStyle w:val="ListBullet"/>
        <w:spacing w:after="60"/>
      </w:pPr>
      <w:r>
        <w:rPr>
          <w:b/>
          <w:sz w:val="22"/>
        </w:rPr>
        <w:t xml:space="preserve">Optical subsystem:  </w:t>
      </w:r>
      <w:r>
        <w:rPr>
          <w:sz w:val="22"/>
        </w:rPr>
        <w:t>Mean irradiance [X mW/cm²] at 10 mm tissue phantom depth confirmed for 660 nm emitters (120 mA pulsed, 25% duty cycle) and [Y mW/cm²] at 808–830 nm. Photodiode dose-metering accuracy ±3% confirmed against calibrated Newport 818-ST2 reference detector across 20 test cycles. PDMS optical window transmission stability &lt;2% degradation over 500 simulated cleaning cycles.</w:t>
      </w:r>
    </w:p>
    <w:p>
      <w:pPr>
        <w:pStyle w:val="ListBullet"/>
        <w:spacing w:after="60"/>
      </w:pPr>
      <w:r>
        <w:rPr>
          <w:b/>
          <w:sz w:val="22"/>
        </w:rPr>
        <w:t xml:space="preserve">EEG subsystem:  </w:t>
      </w:r>
      <w:r>
        <w:rPr>
          <w:sz w:val="22"/>
        </w:rPr>
        <w:t>ADS1299-based 8-channel board achieves CMRR &gt;90 dB at 50/60 Hz, input-referred noise &lt;1 µV RMS (0.5–40 Hz). Internal reference self-calibration eliminates gain drift &gt;0.05% over 6-hour sessions. Passes IEC 60601-1 creepage/clearance at PCB level.</w:t>
      </w:r>
    </w:p>
    <w:p>
      <w:pPr>
        <w:pStyle w:val="ListBullet"/>
        <w:spacing w:after="60"/>
      </w:pPr>
      <w:r>
        <w:rPr>
          <w:b/>
          <w:sz w:val="22"/>
        </w:rPr>
        <w:t xml:space="preserve">System integration:  </w:t>
      </w:r>
      <w:r>
        <w:rPr>
          <w:sz w:val="22"/>
        </w:rPr>
        <w:t>i.MX RT1062 firmware executes 500 Hz EEG digitisation, real-time spectral analysis (Welch periodogram, 2-second epochs), closed-loop protocol adaptation, and all stimulation enable/disable operations at 1.2% peak CPU utilisation, leaving 98.8% headroom for Phase II algorithm development.</w:t>
      </w:r>
    </w:p>
    <w:p>
      <w:pPr>
        <w:pStyle w:val="ListBullet"/>
        <w:spacing w:after="60"/>
      </w:pPr>
      <w:r>
        <w:rPr>
          <w:b/>
          <w:sz w:val="22"/>
        </w:rPr>
        <w:t xml:space="preserve">Safety architecture:  </w:t>
      </w:r>
      <w:r>
        <w:rPr>
          <w:sz w:val="22"/>
        </w:rPr>
        <w:t>STM32G071 safety MCU achieves all-stimulation cutoff within 48 ms (specification: &lt;50 ms) on main-processor heartbeat timeout simulation. Charge density hardware limit correctly enforced at 40 µC/cm² across all test conditions.</w:t>
      </w:r>
    </w:p>
    <w:p>
      <w:pPr>
        <w:spacing w:before="160"/>
      </w:pPr>
      <w:r>
        <w:rPr>
          <w:b/>
          <w:sz w:val="22"/>
        </w:rPr>
        <w:t>C.2  Aim 1: Hardware Validation to Pre-Production Specification (Months 1–6)</w:t>
      </w:r>
    </w:p>
    <w:p>
      <w:pPr>
        <w:ind w:firstLine="360"/>
      </w:pPr>
      <w:r>
        <w:t>Rationale: Phase I feasibility requires a stable, documented hardware specification from which prototype units for human studies can be manufactured reproducibly. Aim 1 establishes this foundation and produces the 20 prototype units required for Aims 2 and 3.</w:t>
      </w:r>
    </w:p>
    <w:p>
      <w:pPr>
        <w:ind w:firstLine="360"/>
      </w:pPr>
      <w:r>
        <w:t>Aim 1a — Design freeze (Months 1–4): We will complete: (i) zone-module FPC layout including reference photodiode placement, plasma-activated PDMS window specification, and Hirose FH34S-20S-0.5SH 1,000-cycle-rated connectors; (ii) final PCB layout integrating i.MX RT1062, ADS1299, STM32G071, USB-C 3.2 Gen1, BT 5.3 LE Audio, and Wi-Fi 6 with power management; (iii) CFRP/mu-metal/palladium-liner shell tooling design review; (iv) dual-bank OTA bootloader and USB-C DFU recovery path (must be present from first firmware build — cannot be added later); (v) UHDR/SHDR eMMC partition architecture specified and implemented before any storage code is written.</w:t>
      </w:r>
    </w:p>
    <w:p>
      <w:pPr>
        <w:ind w:firstLine="360"/>
      </w:pPr>
      <w:r>
        <w:t>Aim 1b — Bench acceptance testing (Months 4–6): All 20 prototype units characterized against a pre-specified 47-item acceptance test protocol.</w:t>
      </w:r>
    </w:p>
    <w:tbl>
      <w:tblPr>
        <w:tblStyle w:val="TableGrid"/>
        <w:tblW w:type="auto" w:w="0"/>
        <w:tblLook w:firstColumn="1" w:firstRow="1" w:lastColumn="0" w:lastRow="0" w:noHBand="0" w:noVBand="1" w:val="04A0"/>
      </w:tblPr>
      <w:tblGrid>
        <w:gridCol w:w="3120"/>
        <w:gridCol w:w="3120"/>
        <w:gridCol w:w="3120"/>
      </w:tblGrid>
      <w:tr>
        <w:tc>
          <w:tcPr>
            <w:tcW w:type="dxa" w:w="2160"/>
          </w:tcPr>
          <w:p>
            <w:pPr>
              <w:spacing w:after="0"/>
            </w:pPr>
            <w:r>
              <w:rPr>
                <w:b/>
                <w:sz w:val="20"/>
              </w:rPr>
              <w:t>Subsystem</w:t>
            </w:r>
          </w:p>
        </w:tc>
        <w:tc>
          <w:tcPr>
            <w:tcW w:type="dxa" w:w="4896"/>
          </w:tcPr>
          <w:p>
            <w:pPr>
              <w:spacing w:after="0"/>
            </w:pPr>
            <w:r>
              <w:rPr>
                <w:b/>
                <w:sz w:val="20"/>
              </w:rPr>
              <w:t>Key Acceptance Criteria</w:t>
            </w:r>
          </w:p>
        </w:tc>
        <w:tc>
          <w:tcPr>
            <w:tcW w:type="dxa" w:w="2304"/>
          </w:tcPr>
          <w:p>
            <w:pPr>
              <w:spacing w:after="0"/>
            </w:pPr>
            <w:r>
              <w:rPr>
                <w:b/>
                <w:sz w:val="20"/>
              </w:rPr>
              <w:t>Pass Threshold</w:t>
            </w:r>
          </w:p>
        </w:tc>
      </w:tr>
      <w:tr>
        <w:tc>
          <w:tcPr>
            <w:tcW w:type="dxa" w:w="2160"/>
          </w:tcPr>
          <w:p>
            <w:pPr>
              <w:spacing w:after="0"/>
            </w:pPr>
            <w:r>
              <w:rPr>
                <w:sz w:val="20"/>
              </w:rPr>
              <w:t>PBM optical</w:t>
            </w:r>
          </w:p>
        </w:tc>
        <w:tc>
          <w:tcPr>
            <w:tcW w:type="dxa" w:w="4896"/>
          </w:tcPr>
          <w:p>
            <w:pPr>
              <w:spacing w:after="0"/>
            </w:pPr>
            <w:r>
              <w:rPr>
                <w:sz w:val="20"/>
              </w:rPr>
              <w:t>Per-zone irradiance uniformity; dose-meter accuracy; LED junction temp at 42°C IEC limit</w:t>
            </w:r>
          </w:p>
        </w:tc>
        <w:tc>
          <w:tcPr>
            <w:tcW w:type="dxa" w:w="2304"/>
          </w:tcPr>
          <w:p>
            <w:pPr>
              <w:spacing w:after="0"/>
            </w:pPr>
            <w:r>
              <w:rPr>
                <w:sz w:val="20"/>
              </w:rPr>
              <w:t>≤±25% uniformity; ±10% dose accuracy; 100%</w:t>
            </w:r>
          </w:p>
        </w:tc>
      </w:tr>
      <w:tr>
        <w:tc>
          <w:tcPr>
            <w:tcW w:type="dxa" w:w="2160"/>
          </w:tcPr>
          <w:p>
            <w:pPr>
              <w:spacing w:after="0"/>
            </w:pPr>
            <w:r>
              <w:rPr>
                <w:sz w:val="20"/>
              </w:rPr>
              <w:t>EEG</w:t>
            </w:r>
          </w:p>
        </w:tc>
        <w:tc>
          <w:tcPr>
            <w:tcW w:type="dxa" w:w="4896"/>
          </w:tcPr>
          <w:p>
            <w:pPr>
              <w:spacing w:after="0"/>
            </w:pPr>
            <w:r>
              <w:rPr>
                <w:sz w:val="20"/>
              </w:rPr>
              <w:t>CMRR &gt;90 dB; input noise &lt;1.5 µV RMS; calibration drift &lt;0.1% / 8 h</w:t>
            </w:r>
          </w:p>
        </w:tc>
        <w:tc>
          <w:tcPr>
            <w:tcW w:type="dxa" w:w="2304"/>
          </w:tcPr>
          <w:p>
            <w:pPr>
              <w:spacing w:after="0"/>
            </w:pPr>
            <w:r>
              <w:rPr>
                <w:sz w:val="20"/>
              </w:rPr>
              <w:t>100% safety-critical</w:t>
            </w:r>
          </w:p>
        </w:tc>
      </w:tr>
      <w:tr>
        <w:tc>
          <w:tcPr>
            <w:tcW w:type="dxa" w:w="2160"/>
          </w:tcPr>
          <w:p>
            <w:pPr>
              <w:spacing w:after="0"/>
            </w:pPr>
            <w:r>
              <w:rPr>
                <w:sz w:val="20"/>
              </w:rPr>
              <w:t>Safety MCU</w:t>
            </w:r>
          </w:p>
        </w:tc>
        <w:tc>
          <w:tcPr>
            <w:tcW w:type="dxa" w:w="4896"/>
          </w:tcPr>
          <w:p>
            <w:pPr>
              <w:spacing w:after="0"/>
            </w:pPr>
            <w:r>
              <w:rPr>
                <w:sz w:val="20"/>
              </w:rPr>
              <w:t>Stimulation cutoff &lt;50 ms on heartbeat loss; 40 µC/cm² charge limit enforced; app cannot override</w:t>
            </w:r>
          </w:p>
        </w:tc>
        <w:tc>
          <w:tcPr>
            <w:tcW w:type="dxa" w:w="2304"/>
          </w:tcPr>
          <w:p>
            <w:pPr>
              <w:spacing w:after="0"/>
            </w:pPr>
            <w:r>
              <w:rPr>
                <w:sz w:val="20"/>
              </w:rPr>
              <w:t>100%</w:t>
            </w:r>
          </w:p>
        </w:tc>
      </w:tr>
      <w:tr>
        <w:tc>
          <w:tcPr>
            <w:tcW w:type="dxa" w:w="2160"/>
          </w:tcPr>
          <w:p>
            <w:pPr>
              <w:spacing w:after="0"/>
            </w:pPr>
            <w:r>
              <w:rPr>
                <w:sz w:val="20"/>
              </w:rPr>
              <w:t>EMF shielding</w:t>
            </w:r>
          </w:p>
        </w:tc>
        <w:tc>
          <w:tcPr>
            <w:tcW w:type="dxa" w:w="4896"/>
          </w:tcPr>
          <w:p>
            <w:pPr>
              <w:spacing w:after="0"/>
            </w:pPr>
            <w:r>
              <w:rPr>
                <w:sz w:val="20"/>
              </w:rPr>
              <w:t>≥30 dB ELF attenuation; ≥40 dB RF attenuation (measured, not nominal)</w:t>
            </w:r>
          </w:p>
        </w:tc>
        <w:tc>
          <w:tcPr>
            <w:tcW w:type="dxa" w:w="2304"/>
          </w:tcPr>
          <w:p>
            <w:pPr>
              <w:spacing w:after="0"/>
            </w:pPr>
            <w:r>
              <w:rPr>
                <w:sz w:val="20"/>
              </w:rPr>
              <w:t>100%</w:t>
            </w:r>
          </w:p>
        </w:tc>
      </w:tr>
      <w:tr>
        <w:tc>
          <w:tcPr>
            <w:tcW w:type="dxa" w:w="2160"/>
          </w:tcPr>
          <w:p>
            <w:pPr>
              <w:spacing w:after="0"/>
            </w:pPr>
            <w:r>
              <w:rPr>
                <w:sz w:val="20"/>
              </w:rPr>
              <w:t>Fit/mechanical</w:t>
            </w:r>
          </w:p>
        </w:tc>
        <w:tc>
          <w:tcPr>
            <w:tcW w:type="dxa" w:w="4896"/>
          </w:tcPr>
          <w:p>
            <w:pPr>
              <w:spacing w:after="0"/>
            </w:pPr>
            <w:r>
              <w:rPr>
                <w:sz w:val="20"/>
              </w:rPr>
              <w:t>Boa dial: 50,000-cycle test; electrode contact force 80–120 g across ±12 mm travel</w:t>
            </w:r>
          </w:p>
        </w:tc>
        <w:tc>
          <w:tcPr>
            <w:tcW w:type="dxa" w:w="2304"/>
          </w:tcPr>
          <w:p>
            <w:pPr>
              <w:spacing w:after="0"/>
            </w:pPr>
            <w:r>
              <w:rPr>
                <w:sz w:val="20"/>
              </w:rPr>
              <w:t>≥90% of units</w:t>
            </w:r>
          </w:p>
        </w:tc>
      </w:tr>
      <w:tr>
        <w:tc>
          <w:tcPr>
            <w:tcW w:type="dxa" w:w="2160"/>
          </w:tcPr>
          <w:p>
            <w:pPr>
              <w:spacing w:after="0"/>
            </w:pPr>
            <w:r>
              <w:rPr>
                <w:sz w:val="20"/>
              </w:rPr>
              <w:t>Data architecture</w:t>
            </w:r>
          </w:p>
        </w:tc>
        <w:tc>
          <w:tcPr>
            <w:tcW w:type="dxa" w:w="4896"/>
          </w:tcPr>
          <w:p>
            <w:pPr>
              <w:spacing w:after="0"/>
            </w:pPr>
            <w:r>
              <w:rPr>
                <w:sz w:val="20"/>
              </w:rPr>
              <w:t>Zero UHDR data in SHDR partition; UHDR encrypted; SHDR uploads without UHDR exposure</w:t>
            </w:r>
          </w:p>
        </w:tc>
        <w:tc>
          <w:tcPr>
            <w:tcW w:type="dxa" w:w="2304"/>
          </w:tcPr>
          <w:p>
            <w:pPr>
              <w:spacing w:after="0"/>
            </w:pPr>
            <w:r>
              <w:rPr>
                <w:sz w:val="20"/>
              </w:rPr>
              <w:t>100%</w:t>
            </w:r>
          </w:p>
        </w:tc>
      </w:tr>
    </w:tbl>
    <w:p/>
    <w:p>
      <w:pPr>
        <w:ind w:firstLine="360"/>
      </w:pPr>
      <w:r>
        <w:t>Potential challenges and alternatives: FPC zone-module connector reliability is a specification risk. Primary connector is Hirose FH34S-20S-0.5SH 0.5 mm pitch (1,000-cycle rated); JAE Electronics FH63 series is the qualified backup. Palladium-coated liner procurement delays: interim silver-coated liner with accelerated tarnish testing used in Aim 2 prototypes while supply is resolved. LED emitter availability at specified pulse current: two primary candidates per wavelength identified (Seoul Semiconductor and Osram primary; Luminus backup); procurement validation at Month 1.</w:t>
      </w:r>
    </w:p>
    <w:p>
      <w:pPr>
        <w:spacing w:before="160"/>
      </w:pPr>
      <w:r>
        <w:rPr>
          <w:b/>
          <w:sz w:val="22"/>
        </w:rPr>
        <w:t>C.3  Aim 2: Closed-Loop EEG-Adaptive Protocol and Safety in Healthy Volunteers (n=15, Months 6–9)</w:t>
      </w:r>
    </w:p>
    <w:p>
      <w:pPr>
        <w:ind w:firstLine="360"/>
      </w:pPr>
      <w:r>
        <w:t>Rationale: Aim 2 establishes human safety and demonstrates that the closed-loop EEG-adaptive system correctly identifies target oscillatory states and adapts stimulation parameters in real time — a prerequisite for Phase II efficacy study design.</w:t>
      </w:r>
    </w:p>
    <w:p>
      <w:pPr>
        <w:ind w:firstLine="360"/>
      </w:pPr>
      <w:r>
        <w:t>Study design: Single-site, open-label, repeated-measures feasibility study at the Rashidi-Ranjbar laboratory, St. Michael's Hospital / Unity Health Toronto (or equivalent North American site). IRB protocol submission targeted Month 3; approval anticipated Month 5.</w:t>
      </w:r>
    </w:p>
    <w:p>
      <w:pPr>
        <w:ind w:firstLine="360"/>
      </w:pPr>
      <w:r>
        <w:t>Participants: 15 healthy adults aged 30–65, no neurological history, no CNS-active medications, no contraindications to scalp-applied optical or electrical stimulation. Sample size is appropriate for primary endpoints of device tolerability and closed-loop performance — no efficacy endpoint is claimed or powered in Phase I.</w:t>
      </w:r>
    </w:p>
    <w:p>
      <w:pPr>
        <w:ind w:firstLine="360"/>
      </w:pPr>
      <w:r>
        <w:t>Protocol: 3 study visits (Visit 1: screening + baseline EEG; Visit 2: 20-minute NeurOne multi-modal session — PBM 660+808 nm, 5 zones; BES 40 Hz EEG-adaptive; VNS + HRV clip; Visit 3: crossover wavelength protocol). Safety monitoring throughout. Immediate post-session tolerability VAS. Skin temperature check at all electrode sites.</w:t>
      </w:r>
    </w:p>
    <w:p>
      <w:pPr>
        <w:ind w:firstLine="360"/>
      </w:pPr>
      <w:r>
        <w:t>Endpoints:</w:t>
      </w:r>
    </w:p>
    <w:p>
      <w:pPr>
        <w:pStyle w:val="ListBullet"/>
        <w:spacing w:after="60"/>
      </w:pPr>
      <w:r>
        <w:rPr>
          <w:b/>
          <w:sz w:val="22"/>
        </w:rPr>
        <w:t xml:space="preserve">Primary — tolerability:  </w:t>
      </w:r>
      <w:r>
        <w:rPr>
          <w:sz w:val="22"/>
        </w:rPr>
        <w:t>Adverse event profile; skin temperature at contact sites (≤42°C per IEC 60601); tolerability VAS (0–10).</w:t>
      </w:r>
    </w:p>
    <w:p>
      <w:pPr>
        <w:pStyle w:val="ListBullet"/>
        <w:spacing w:after="60"/>
      </w:pPr>
      <w:r>
        <w:rPr>
          <w:b/>
          <w:sz w:val="22"/>
        </w:rPr>
        <w:t xml:space="preserve">Primary — dose accuracy:  </w:t>
      </w:r>
      <w:r>
        <w:rPr>
          <w:sz w:val="22"/>
        </w:rPr>
        <w:t>Per-zone delivered dose (J/cm²) vs. target ± 10%.</w:t>
      </w:r>
    </w:p>
    <w:p>
      <w:pPr>
        <w:pStyle w:val="ListBullet"/>
        <w:spacing w:after="60"/>
      </w:pPr>
      <w:r>
        <w:rPr>
          <w:b/>
          <w:sz w:val="22"/>
        </w:rPr>
        <w:t xml:space="preserve">Primary — closed-loop performance:  </w:t>
      </w:r>
      <w:r>
        <w:rPr>
          <w:sz w:val="22"/>
        </w:rPr>
        <w:t>EEG adaptation latency target-state detection to parameter update (target &lt;500 ms); % session time in target EEG state vs. non-stimulation baseline.</w:t>
      </w:r>
    </w:p>
    <w:p>
      <w:pPr>
        <w:pStyle w:val="ListBullet"/>
        <w:spacing w:after="60"/>
      </w:pPr>
      <w:r>
        <w:rPr>
          <w:b/>
          <w:sz w:val="22"/>
        </w:rPr>
        <w:t xml:space="preserve">Exploratory:  </w:t>
      </w:r>
      <w:r>
        <w:rPr>
          <w:sz w:val="22"/>
        </w:rPr>
        <w:t>Alpha power change (Fp1/2, F3/4, P3/4) stimulation vs. baseline; HRV (RMSSD, LF/HF ratio) during VNS vs. sham.</w:t>
      </w:r>
    </w:p>
    <w:p>
      <w:pPr>
        <w:ind w:firstLine="360"/>
      </w:pPr>
      <w:r>
        <w:t>Analysis: Descriptive statistics for safety outcomes. Paired t-test (or Wilcoxon signed-rank where appropriate) for closed-loop performance endpoints vs. pre-specified specifications. All analyses pre-specified in protocol. No multiple comparison correction for exploratory biomarker outcomes (hypothesis-generating only).</w:t>
      </w:r>
    </w:p>
    <w:p>
      <w:pPr>
        <w:ind w:firstLine="360"/>
      </w:pPr>
      <w:r>
        <w:t>Human subjects: Healthy adult volunteers only in Phase I. No vulnerable populations. IRB expedited review (45 CFR 46.110, categories 6–7). No deception. Minimal risk. Written informed consent. HIPAA authorisation for any incidentally acquired health information. Sex and gender will be recorded and reported; no Phase I exclusion on this basis.</w:t>
      </w:r>
    </w:p>
    <w:p>
      <w:pPr>
        <w:ind w:firstLine="360"/>
      </w:pPr>
      <w:r>
        <w:t>Potential challenge — EEG contamination by LED switching artifacts: Mitigated by (i) hardware notch filter at LED PWM switching frequency; (ii) synchronous LED switching gated to EEG sampling blanking intervals (implemented in firmware); (iii) blinded artifact analysis before any closed-loop adaptation data is analysed. If contamination exceeds 15% of epochs in first 5 participants, additional firmware adjustment cycles initiated before enrollment resumes.</w:t>
      </w:r>
    </w:p>
    <w:p>
      <w:pPr>
        <w:spacing w:before="160"/>
      </w:pPr>
      <w:r>
        <w:rPr>
          <w:b/>
          <w:sz w:val="22"/>
        </w:rPr>
        <w:t>C.4  Aim 3: Autonomous Home-Use Reliability and Data Integrity — 30-Day Simulated Deployment (Months 7–10)</w:t>
      </w:r>
    </w:p>
    <w:p>
      <w:pPr>
        <w:ind w:firstLine="360"/>
      </w:pPr>
      <w:r>
        <w:t>Rationale: Autonomous home operation without smartphone dependency is NeurOne's primary competitive and clinical advantage in an MCI population. Aim 3 validates this operationally at scale before clinical deployment.</w:t>
      </w:r>
    </w:p>
    <w:p>
      <w:pPr>
        <w:ind w:firstLine="360"/>
      </w:pPr>
      <w:r>
        <w:t>Test design: 10 NeurOne units (from Aim 1 production run) operated by an automated scripted test harness (Raspberry Pi 4 controller per unit) for 30 consecutive days: 4 sessions/day, varied USB-C power sources across 5 W, 15 W, and 45 W adapters and three commercial power banks, simulated USB-C reconnection events (download mode). Total: 1,200 test sessions across 10 units. All units run in parallel.</w:t>
      </w:r>
    </w:p>
    <w:p>
      <w:pPr>
        <w:ind w:firstLine="360"/>
      </w:pPr>
      <w:r>
        <w:t>Success criteria:</w:t>
      </w:r>
    </w:p>
    <w:p>
      <w:pPr>
        <w:pStyle w:val="ListBullet"/>
        <w:spacing w:after="40"/>
      </w:pPr>
      <w:r>
        <w:t>Session completion rate ≥95%</w:t>
      </w:r>
    </w:p>
    <w:p>
      <w:pPr>
        <w:pStyle w:val="ListBullet"/>
        <w:spacing w:after="40"/>
      </w:pPr>
      <w:r>
        <w:t>Firmware uptime ≥99.9% (unplanned resets ≤1 per unit over 30 days)</w:t>
      </w:r>
    </w:p>
    <w:p>
      <w:pPr>
        <w:pStyle w:val="ListBullet"/>
        <w:spacing w:after="40"/>
      </w:pPr>
      <w:r>
        <w:t>Zero UHDR/SHDR partition boundary violations (zero tolerance)</w:t>
      </w:r>
    </w:p>
    <w:p>
      <w:pPr>
        <w:pStyle w:val="ListBullet"/>
        <w:spacing w:after="40"/>
      </w:pPr>
      <w:r>
        <w:t>Closed-loop adaptation consistency: CV ≤15% in EEG spectral output across equivalent scripted sessions</w:t>
      </w:r>
    </w:p>
    <w:p>
      <w:pPr>
        <w:pStyle w:val="ListBullet"/>
        <w:spacing w:after="40"/>
      </w:pPr>
      <w:r>
        <w:t>LED dose-metering stability: CV ≤5% per zone across equivalent scripted sessions</w:t>
      </w:r>
    </w:p>
    <w:p>
      <w:pPr>
        <w:pStyle w:val="ListBullet"/>
        <w:spacing w:after="40"/>
      </w:pPr>
      <w:r>
        <w:t>Data integrity on download: 100% EDF+ file completeness; UHDR encryption verified on all files</w:t>
      </w:r>
    </w:p>
    <w:p>
      <w:pPr>
        <w:spacing w:before="160"/>
      </w:pPr>
      <w:r>
        <w:rPr>
          <w:b/>
          <w:sz w:val="22"/>
        </w:rPr>
        <w:t>C.5  Timeline</w:t>
      </w:r>
    </w:p>
    <w:tbl>
      <w:tblPr>
        <w:tblStyle w:val="TableGrid"/>
        <w:tblW w:type="auto" w:w="0"/>
        <w:tblLook w:firstColumn="1" w:firstRow="1" w:lastColumn="0" w:lastRow="0" w:noHBand="0" w:noVBand="1" w:val="04A0"/>
      </w:tblPr>
      <w:tblGrid>
        <w:gridCol w:w="4680"/>
        <w:gridCol w:w="4680"/>
      </w:tblGrid>
      <w:tr>
        <w:tc>
          <w:tcPr>
            <w:tcW w:type="dxa" w:w="7920"/>
          </w:tcPr>
          <w:p>
            <w:pPr>
              <w:spacing w:after="0"/>
            </w:pPr>
            <w:r>
              <w:rPr>
                <w:b/>
                <w:sz w:val="20"/>
              </w:rPr>
              <w:t>Milestone</w:t>
            </w:r>
          </w:p>
        </w:tc>
        <w:tc>
          <w:tcPr>
            <w:tcW w:type="dxa" w:w="1152"/>
          </w:tcPr>
          <w:p>
            <w:pPr>
              <w:spacing w:after="0"/>
            </w:pPr>
            <w:r>
              <w:rPr>
                <w:b/>
                <w:sz w:val="20"/>
              </w:rPr>
              <w:t>Month</w:t>
            </w:r>
          </w:p>
        </w:tc>
      </w:tr>
      <w:tr>
        <w:tc>
          <w:tcPr>
            <w:tcW w:type="dxa" w:w="7920"/>
          </w:tcPr>
          <w:p>
            <w:pPr>
              <w:spacing w:after="0"/>
            </w:pPr>
            <w:r>
              <w:rPr>
                <w:sz w:val="20"/>
              </w:rPr>
              <w:t>PCB layout final; tooling design review complete</w:t>
            </w:r>
          </w:p>
        </w:tc>
        <w:tc>
          <w:tcPr>
            <w:tcW w:type="dxa" w:w="1152"/>
          </w:tcPr>
          <w:p>
            <w:pPr>
              <w:spacing w:after="0"/>
            </w:pPr>
            <w:r>
              <w:rPr>
                <w:sz w:val="20"/>
              </w:rPr>
              <w:t>3</w:t>
            </w:r>
          </w:p>
        </w:tc>
      </w:tr>
      <w:tr>
        <w:tc>
          <w:tcPr>
            <w:tcW w:type="dxa" w:w="7920"/>
          </w:tcPr>
          <w:p>
            <w:pPr>
              <w:spacing w:after="0"/>
            </w:pPr>
            <w:r>
              <w:rPr>
                <w:sz w:val="20"/>
              </w:rPr>
              <w:t>IRB submission (Aim 2 healthy volunteer study)</w:t>
            </w:r>
          </w:p>
        </w:tc>
        <w:tc>
          <w:tcPr>
            <w:tcW w:type="dxa" w:w="1152"/>
          </w:tcPr>
          <w:p>
            <w:pPr>
              <w:spacing w:after="0"/>
            </w:pPr>
            <w:r>
              <w:rPr>
                <w:sz w:val="20"/>
              </w:rPr>
              <w:t>3</w:t>
            </w:r>
          </w:p>
        </w:tc>
      </w:tr>
      <w:tr>
        <w:tc>
          <w:tcPr>
            <w:tcW w:type="dxa" w:w="7920"/>
          </w:tcPr>
          <w:p>
            <w:pPr>
              <w:spacing w:after="0"/>
            </w:pPr>
            <w:r>
              <w:rPr>
                <w:sz w:val="20"/>
              </w:rPr>
              <w:t>Patent provisional filing (dose metering + closed-loop architecture)</w:t>
            </w:r>
          </w:p>
        </w:tc>
        <w:tc>
          <w:tcPr>
            <w:tcW w:type="dxa" w:w="1152"/>
          </w:tcPr>
          <w:p>
            <w:pPr>
              <w:spacing w:after="0"/>
            </w:pPr>
            <w:r>
              <w:rPr>
                <w:sz w:val="20"/>
              </w:rPr>
              <w:t>2</w:t>
            </w:r>
          </w:p>
        </w:tc>
      </w:tr>
      <w:tr>
        <w:tc>
          <w:tcPr>
            <w:tcW w:type="dxa" w:w="7920"/>
          </w:tcPr>
          <w:p>
            <w:pPr>
              <w:spacing w:after="0"/>
            </w:pPr>
            <w:r>
              <w:rPr>
                <w:sz w:val="20"/>
              </w:rPr>
              <w:t>Prototype hardware build complete (n=20 units)</w:t>
            </w:r>
          </w:p>
        </w:tc>
        <w:tc>
          <w:tcPr>
            <w:tcW w:type="dxa" w:w="1152"/>
          </w:tcPr>
          <w:p>
            <w:pPr>
              <w:spacing w:after="0"/>
            </w:pPr>
            <w:r>
              <w:rPr>
                <w:sz w:val="20"/>
              </w:rPr>
              <w:t>5</w:t>
            </w:r>
          </w:p>
        </w:tc>
      </w:tr>
      <w:tr>
        <w:tc>
          <w:tcPr>
            <w:tcW w:type="dxa" w:w="7920"/>
          </w:tcPr>
          <w:p>
            <w:pPr>
              <w:spacing w:after="0"/>
            </w:pPr>
            <w:r>
              <w:rPr>
                <w:sz w:val="20"/>
              </w:rPr>
              <w:t>IRB approval anticipated</w:t>
            </w:r>
          </w:p>
        </w:tc>
        <w:tc>
          <w:tcPr>
            <w:tcW w:type="dxa" w:w="1152"/>
          </w:tcPr>
          <w:p>
            <w:pPr>
              <w:spacing w:after="0"/>
            </w:pPr>
            <w:r>
              <w:rPr>
                <w:sz w:val="20"/>
              </w:rPr>
              <w:t>5</w:t>
            </w:r>
          </w:p>
        </w:tc>
      </w:tr>
      <w:tr>
        <w:tc>
          <w:tcPr>
            <w:tcW w:type="dxa" w:w="7920"/>
          </w:tcPr>
          <w:p>
            <w:pPr>
              <w:spacing w:after="0"/>
            </w:pPr>
            <w:r>
              <w:rPr>
                <w:sz w:val="20"/>
              </w:rPr>
              <w:t>Bench acceptance testing complete (Aim 1)</w:t>
            </w:r>
          </w:p>
        </w:tc>
        <w:tc>
          <w:tcPr>
            <w:tcW w:type="dxa" w:w="1152"/>
          </w:tcPr>
          <w:p>
            <w:pPr>
              <w:spacing w:after="0"/>
            </w:pPr>
            <w:r>
              <w:rPr>
                <w:sz w:val="20"/>
              </w:rPr>
              <w:t>6</w:t>
            </w:r>
          </w:p>
        </w:tc>
      </w:tr>
      <w:tr>
        <w:tc>
          <w:tcPr>
            <w:tcW w:type="dxa" w:w="7920"/>
          </w:tcPr>
          <w:p>
            <w:pPr>
              <w:spacing w:after="0"/>
            </w:pPr>
            <w:r>
              <w:rPr>
                <w:sz w:val="20"/>
              </w:rPr>
              <w:t>Aim 2 participant enrollment begins</w:t>
            </w:r>
          </w:p>
        </w:tc>
        <w:tc>
          <w:tcPr>
            <w:tcW w:type="dxa" w:w="1152"/>
          </w:tcPr>
          <w:p>
            <w:pPr>
              <w:spacing w:after="0"/>
            </w:pPr>
            <w:r>
              <w:rPr>
                <w:sz w:val="20"/>
              </w:rPr>
              <w:t>6</w:t>
            </w:r>
          </w:p>
        </w:tc>
      </w:tr>
      <w:tr>
        <w:tc>
          <w:tcPr>
            <w:tcW w:type="dxa" w:w="7920"/>
          </w:tcPr>
          <w:p>
            <w:pPr>
              <w:spacing w:after="0"/>
            </w:pPr>
            <w:r>
              <w:rPr>
                <w:sz w:val="20"/>
              </w:rPr>
              <w:t>Aim 3 simulated deployment begins</w:t>
            </w:r>
          </w:p>
        </w:tc>
        <w:tc>
          <w:tcPr>
            <w:tcW w:type="dxa" w:w="1152"/>
          </w:tcPr>
          <w:p>
            <w:pPr>
              <w:spacing w:after="0"/>
            </w:pPr>
            <w:r>
              <w:rPr>
                <w:sz w:val="20"/>
              </w:rPr>
              <w:t>7</w:t>
            </w:r>
          </w:p>
        </w:tc>
      </w:tr>
      <w:tr>
        <w:tc>
          <w:tcPr>
            <w:tcW w:type="dxa" w:w="7920"/>
          </w:tcPr>
          <w:p>
            <w:pPr>
              <w:spacing w:after="0"/>
            </w:pPr>
            <w:r>
              <w:rPr>
                <w:sz w:val="20"/>
              </w:rPr>
              <w:t>Aim 2 data collection complete (n=15)</w:t>
            </w:r>
          </w:p>
        </w:tc>
        <w:tc>
          <w:tcPr>
            <w:tcW w:type="dxa" w:w="1152"/>
          </w:tcPr>
          <w:p>
            <w:pPr>
              <w:spacing w:after="0"/>
            </w:pPr>
            <w:r>
              <w:rPr>
                <w:sz w:val="20"/>
              </w:rPr>
              <w:t>9</w:t>
            </w:r>
          </w:p>
        </w:tc>
      </w:tr>
      <w:tr>
        <w:tc>
          <w:tcPr>
            <w:tcW w:type="dxa" w:w="7920"/>
          </w:tcPr>
          <w:p>
            <w:pPr>
              <w:spacing w:after="0"/>
            </w:pPr>
            <w:r>
              <w:rPr>
                <w:sz w:val="20"/>
              </w:rPr>
              <w:t>Aim 3 data collection complete</w:t>
            </w:r>
          </w:p>
        </w:tc>
        <w:tc>
          <w:tcPr>
            <w:tcW w:type="dxa" w:w="1152"/>
          </w:tcPr>
          <w:p>
            <w:pPr>
              <w:spacing w:after="0"/>
            </w:pPr>
            <w:r>
              <w:rPr>
                <w:sz w:val="20"/>
              </w:rPr>
              <w:t>10</w:t>
            </w:r>
          </w:p>
        </w:tc>
      </w:tr>
      <w:tr>
        <w:tc>
          <w:tcPr>
            <w:tcW w:type="dxa" w:w="7920"/>
          </w:tcPr>
          <w:p>
            <w:pPr>
              <w:spacing w:after="0"/>
            </w:pPr>
            <w:r>
              <w:rPr>
                <w:sz w:val="20"/>
              </w:rPr>
              <w:t>Data analysis; manuscript preparation</w:t>
            </w:r>
          </w:p>
        </w:tc>
        <w:tc>
          <w:tcPr>
            <w:tcW w:type="dxa" w:w="1152"/>
          </w:tcPr>
          <w:p>
            <w:pPr>
              <w:spacing w:after="0"/>
            </w:pPr>
            <w:r>
              <w:rPr>
                <w:sz w:val="20"/>
              </w:rPr>
              <w:t>11</w:t>
            </w:r>
          </w:p>
        </w:tc>
      </w:tr>
      <w:tr>
        <w:tc>
          <w:tcPr>
            <w:tcW w:type="dxa" w:w="7920"/>
          </w:tcPr>
          <w:p>
            <w:pPr>
              <w:spacing w:after="0"/>
            </w:pPr>
            <w:r>
              <w:rPr>
                <w:sz w:val="20"/>
              </w:rPr>
              <w:t>Final report; Phase II application preparation begins</w:t>
            </w:r>
          </w:p>
        </w:tc>
        <w:tc>
          <w:tcPr>
            <w:tcW w:type="dxa" w:w="1152"/>
          </w:tcPr>
          <w:p>
            <w:pPr>
              <w:spacing w:after="0"/>
            </w:pPr>
            <w:r>
              <w:rPr>
                <w:sz w:val="20"/>
              </w:rPr>
              <w:t>12</w:t>
            </w:r>
          </w:p>
        </w:tc>
      </w:tr>
    </w:tbl>
    <w:p/>
    <w:p>
      <w:r>
        <w:br w:type="page"/>
      </w:r>
    </w:p>
    <w:p>
      <w:pPr>
        <w:spacing w:before="240" w:after="80"/>
      </w:pPr>
      <w:r>
        <w:rPr>
          <w:b/>
          <w:color w:val="003366"/>
          <w:sz w:val="26"/>
        </w:rPr>
        <w:t>COMMERCIALISATION PLAN</w:t>
      </w:r>
    </w:p>
    <w:p>
      <w:pPr>
        <w:ind w:left="360"/>
      </w:pPr>
      <w:r>
        <w:rPr>
          <w:i/>
          <w:sz w:val="20"/>
        </w:rPr>
        <w:t>NIH instructions: 3 pages for Phase I. Reviewed but not formally scored; significantly influences overall impact score. Must demonstrate viable path from Phase I results to commercial product.</w:t>
      </w:r>
    </w:p>
    <w:p>
      <w:pPr>
        <w:spacing w:before="200" w:after="60"/>
      </w:pPr>
      <w:r>
        <w:rPr>
          <w:b/>
          <w:color w:val="003366"/>
          <w:sz w:val="22"/>
        </w:rPr>
        <w:t>D.1  Market Opportunity</w:t>
      </w:r>
    </w:p>
    <w:p>
      <w:pPr>
        <w:ind w:firstLine="360"/>
      </w:pPr>
      <w:r>
        <w:t>The U.S. cognitive health and clinical neuromodulation markets represent a combined $2.1B addressable opportunity for NeurOne, with three distinct commercial segments: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tcPr>
          <w:p>
            <w:pPr>
              <w:spacing w:after="0"/>
            </w:pPr>
            <w:r>
              <w:rPr>
                <w:b/>
                <w:sz w:val="20"/>
              </w:rPr>
              <w:t>Segment</w:t>
            </w:r>
          </w:p>
        </w:tc>
        <w:tc>
          <w:tcPr>
            <w:tcW w:type="dxa" w:w="2160"/>
          </w:tcPr>
          <w:p>
            <w:pPr>
              <w:spacing w:after="0"/>
            </w:pPr>
            <w:r>
              <w:rPr>
                <w:b/>
                <w:sz w:val="20"/>
              </w:rPr>
              <w:t>Market size</w:t>
            </w:r>
          </w:p>
        </w:tc>
        <w:tc>
          <w:tcPr>
            <w:tcW w:type="dxa" w:w="2592"/>
          </w:tcPr>
          <w:p>
            <w:pPr>
              <w:spacing w:after="0"/>
            </w:pPr>
            <w:r>
              <w:rPr>
                <w:b/>
                <w:sz w:val="20"/>
              </w:rPr>
              <w:t>NeurOne product</w:t>
            </w:r>
          </w:p>
        </w:tc>
        <w:tc>
          <w:tcPr>
            <w:tcW w:type="dxa" w:w="1728"/>
          </w:tcPr>
          <w:p>
            <w:pPr>
              <w:spacing w:after="0"/>
            </w:pPr>
            <w:r>
              <w:rPr>
                <w:b/>
                <w:sz w:val="20"/>
              </w:rPr>
              <w:t>Price point</w:t>
            </w:r>
          </w:p>
        </w:tc>
        <w:tc>
          <w:tcPr>
            <w:tcW w:type="dxa" w:w="2448"/>
          </w:tcPr>
          <w:p>
            <w:pPr>
              <w:spacing w:after="0"/>
            </w:pPr>
            <w:r>
              <w:rPr>
                <w:b/>
                <w:sz w:val="20"/>
              </w:rPr>
              <w:t>Key buyer</w:t>
            </w:r>
          </w:p>
        </w:tc>
      </w:tr>
      <w:tr>
        <w:tc>
          <w:tcPr>
            <w:tcW w:type="dxa" w:w="2592"/>
          </w:tcPr>
          <w:p>
            <w:pPr>
              <w:spacing w:after="0"/>
            </w:pPr>
            <w:r>
              <w:rPr>
                <w:sz w:val="20"/>
              </w:rPr>
              <w:t>Consumer MCI/cognitive wellness</w:t>
            </w:r>
          </w:p>
        </w:tc>
        <w:tc>
          <w:tcPr>
            <w:tcW w:type="dxa" w:w="2160"/>
          </w:tcPr>
          <w:p>
            <w:pPr>
              <w:spacing w:after="0"/>
            </w:pPr>
            <w:r>
              <w:rPr>
                <w:sz w:val="20"/>
              </w:rPr>
              <w:t>$3.7B (2024), 18% CAGR</w:t>
            </w:r>
          </w:p>
        </w:tc>
        <w:tc>
          <w:tcPr>
            <w:tcW w:type="dxa" w:w="2592"/>
          </w:tcPr>
          <w:p>
            <w:pPr>
              <w:spacing w:after="0"/>
            </w:pPr>
            <w:r>
              <w:rPr>
                <w:sz w:val="20"/>
              </w:rPr>
              <w:t>Home Standard / Home Premium</w:t>
            </w:r>
          </w:p>
        </w:tc>
        <w:tc>
          <w:tcPr>
            <w:tcW w:type="dxa" w:w="1728"/>
          </w:tcPr>
          <w:p>
            <w:pPr>
              <w:spacing w:after="0"/>
            </w:pPr>
            <w:r>
              <w:rPr>
                <w:sz w:val="20"/>
              </w:rPr>
              <w:t>$849 / $1,199</w:t>
            </w:r>
          </w:p>
        </w:tc>
        <w:tc>
          <w:tcPr>
            <w:tcW w:type="dxa" w:w="2448"/>
          </w:tcPr>
          <w:p>
            <w:pPr>
              <w:spacing w:after="0"/>
            </w:pPr>
            <w:r>
              <w:rPr>
                <w:sz w:val="20"/>
              </w:rPr>
              <w:t>Individual with MCI / caregiver</w:t>
            </w:r>
          </w:p>
        </w:tc>
      </w:tr>
      <w:tr>
        <w:tc>
          <w:tcPr>
            <w:tcW w:type="dxa" w:w="2592"/>
          </w:tcPr>
          <w:p>
            <w:pPr>
              <w:spacing w:after="0"/>
            </w:pPr>
            <w:r>
              <w:rPr>
                <w:sz w:val="20"/>
              </w:rPr>
              <w:t>Clinical neuromodulation</w:t>
            </w:r>
          </w:p>
        </w:tc>
        <w:tc>
          <w:tcPr>
            <w:tcW w:type="dxa" w:w="2160"/>
          </w:tcPr>
          <w:p>
            <w:pPr>
              <w:spacing w:after="0"/>
            </w:pPr>
            <w:r>
              <w:rPr>
                <w:sz w:val="20"/>
              </w:rPr>
              <w:t>$4.7B projected (2030)</w:t>
            </w:r>
          </w:p>
        </w:tc>
        <w:tc>
          <w:tcPr>
            <w:tcW w:type="dxa" w:w="2592"/>
          </w:tcPr>
          <w:p>
            <w:pPr>
              <w:spacing w:after="0"/>
            </w:pPr>
            <w:r>
              <w:rPr>
                <w:sz w:val="20"/>
              </w:rPr>
              <w:t>Pro Entry / Pro Full</w:t>
            </w:r>
          </w:p>
        </w:tc>
        <w:tc>
          <w:tcPr>
            <w:tcW w:type="dxa" w:w="1728"/>
          </w:tcPr>
          <w:p>
            <w:pPr>
              <w:spacing w:after="0"/>
            </w:pPr>
            <w:r>
              <w:rPr>
                <w:sz w:val="20"/>
              </w:rPr>
              <w:t>$4,999 / $13,999 + $1,800/yr</w:t>
            </w:r>
          </w:p>
        </w:tc>
        <w:tc>
          <w:tcPr>
            <w:tcW w:type="dxa" w:w="2448"/>
          </w:tcPr>
          <w:p>
            <w:pPr>
              <w:spacing w:after="0"/>
            </w:pPr>
            <w:r>
              <w:rPr>
                <w:sz w:val="20"/>
              </w:rPr>
              <w:t>Neurology clinic, TMS center, research institution</w:t>
            </w:r>
          </w:p>
        </w:tc>
      </w:tr>
      <w:tr>
        <w:tc>
          <w:tcPr>
            <w:tcW w:type="dxa" w:w="2592"/>
          </w:tcPr>
          <w:p>
            <w:pPr>
              <w:spacing w:after="0"/>
            </w:pPr>
            <w:r>
              <w:rPr>
                <w:sz w:val="20"/>
              </w:rPr>
              <w:t>Recurring consumables</w:t>
            </w:r>
          </w:p>
        </w:tc>
        <w:tc>
          <w:tcPr>
            <w:tcW w:type="dxa" w:w="2160"/>
          </w:tcPr>
          <w:p>
            <w:pPr>
              <w:spacing w:after="0"/>
            </w:pPr>
            <w:r>
              <w:rPr>
                <w:sz w:val="20"/>
              </w:rPr>
              <w:t>$0.96–2.88M/yr per 10,000 units</w:t>
            </w:r>
          </w:p>
        </w:tc>
        <w:tc>
          <w:tcPr>
            <w:tcW w:type="dxa" w:w="2592"/>
          </w:tcPr>
          <w:p>
            <w:pPr>
              <w:spacing w:after="0"/>
            </w:pPr>
            <w:r>
              <w:rPr>
                <w:sz w:val="20"/>
              </w:rPr>
              <w:t>Intranasal sleeves, electrode tips, VNS pads</w:t>
            </w:r>
          </w:p>
        </w:tc>
        <w:tc>
          <w:tcPr>
            <w:tcW w:type="dxa" w:w="1728"/>
          </w:tcPr>
          <w:p>
            <w:pPr>
              <w:spacing w:after="0"/>
            </w:pPr>
            <w:r>
              <w:rPr>
                <w:sz w:val="20"/>
              </w:rPr>
              <w:t>$8–19/item</w:t>
            </w:r>
          </w:p>
        </w:tc>
        <w:tc>
          <w:tcPr>
            <w:tcW w:type="dxa" w:w="2448"/>
          </w:tcPr>
          <w:p>
            <w:pPr>
              <w:spacing w:after="0"/>
            </w:pPr>
            <w:r>
              <w:rPr>
                <w:sz w:val="20"/>
              </w:rPr>
              <w:t>Existing device owners</w:t>
            </w:r>
          </w:p>
        </w:tc>
      </w:tr>
    </w:tbl>
    <w:p/>
    <w:p>
      <w:pPr>
        <w:ind w:firstLine="360"/>
      </w:pPr>
      <w:r>
        <w:t>Comparable devices — Vielight Neuro Pro 2 (~$5,000), Neuronic 1070 ($3,000–5,000), sens.ai ($1,500–2,000 + $99–199/yr subscription) — all maintain active presales despite a narrower modality stack and no dose metering, demonstrating validated willingness-to-pay in this segment. NeurOne Home Standard ($849) undercuts the competitive set at ~17% of Vielight's price while offering a 50× greater LED count, dual-wavelength delivery, real-time dose metering, closed-loop EEG, and full autonomous operation.</w:t>
      </w:r>
    </w:p>
    <w:p>
      <w:pPr>
        <w:spacing w:before="200" w:after="60"/>
      </w:pPr>
      <w:r>
        <w:rPr>
          <w:b/>
          <w:color w:val="003366"/>
          <w:sz w:val="22"/>
        </w:rPr>
        <w:t>D.2  Competitive Advantage and Durable Moats</w:t>
      </w:r>
    </w:p>
    <w:p>
      <w:pPr>
        <w:pStyle w:val="ListBullet"/>
        <w:spacing w:after="80"/>
      </w:pPr>
      <w:r>
        <w:rPr>
          <w:b/>
          <w:sz w:val="22"/>
        </w:rPr>
        <w:t xml:space="preserve">Dose verification first-mover:  </w:t>
      </w:r>
      <w:r>
        <w:rPr>
          <w:sz w:val="22"/>
        </w:rPr>
        <w:t>Real-time J/cm² metering is a technical first. Once clinical literature cites NeurOne dose data, competitor devices without dose metering face a credibility gap that cannot be closed without hardware redesign and re-validation.</w:t>
      </w:r>
    </w:p>
    <w:p>
      <w:pPr>
        <w:pStyle w:val="ListBullet"/>
        <w:spacing w:after="80"/>
      </w:pPr>
      <w:r>
        <w:rPr>
          <w:b/>
          <w:sz w:val="22"/>
        </w:rPr>
        <w:t xml:space="preserve">Autonomous closed-loop operation:  </w:t>
      </w:r>
      <w:r>
        <w:rPr>
          <w:sz w:val="22"/>
        </w:rPr>
        <w:t>No competitor device operates without smartphone connectivity. In the MCI population — the highest-volume addressable segment — this is a clinical requirement that cannot be met by current platform architectures.</w:t>
      </w:r>
    </w:p>
    <w:p>
      <w:pPr>
        <w:pStyle w:val="ListBullet"/>
        <w:spacing w:after="80"/>
      </w:pPr>
      <w:r>
        <w:rPr>
          <w:b/>
          <w:sz w:val="22"/>
        </w:rPr>
        <w:t xml:space="preserve">Fleet SHDR telemetry moat:  </w:t>
      </w:r>
      <w:r>
        <w:rPr>
          <w:sz w:val="22"/>
        </w:rPr>
        <w:t>Continuous system health data from the installed base enables predictive consumable prompting, remote device performance monitoring, and ongoing competitive benchmarking of real-world device performance. This data moat compounds automatically with installed base growth.</w:t>
      </w:r>
    </w:p>
    <w:p>
      <w:pPr>
        <w:spacing w:before="200" w:after="60"/>
      </w:pPr>
      <w:r>
        <w:rPr>
          <w:b/>
          <w:color w:val="003366"/>
          <w:sz w:val="22"/>
        </w:rPr>
        <w:t>D.3  Regulatory Pathway</w:t>
      </w:r>
    </w:p>
    <w:p>
      <w:pPr>
        <w:ind w:firstLine="360"/>
      </w:pPr>
      <w:r>
        <w:t>NeurOne Home (Tier 1): General wellness device under FDA's 2016 General Wellness Policy — the same regulatory category as Muse, sens.ai, and Apollo Neuro. Required standards: IEC 60601-1, IEC 60601-2-10, IEC 62471 (optical radiation), IEC 62133 (battery safety), FCC Part 15. Consumer naming avoids medical device classification triggers: "Brainwave Entrainment Stimulation" (not tACS), "Cortical Priming Stimulation" (not tDCS). Phase I SBIR bench testing generates IEC 60601 compliance data required for market authorisation. [NOTE: 400 mW/cm² peak irradiance claim is pending independent regulatory counsel opinion and will not appear in any public material until cleared — see internal §13.1.]</w:t>
      </w:r>
    </w:p>
    <w:p>
      <w:pPr>
        <w:ind w:firstLine="360"/>
      </w:pPr>
      <w:r>
        <w:t>NeurOne Pro (Tier 2): 510(k) premarket notification targeting 18–36 months post-Tier 1 launch. Modular predicate strategy: TMS (NeuroStar K083538, BrainsWay K122288) + tACS (Soterix K142485, Neuroelectrics K173185) + taVNS (electroCore K163334, K173323). FDA Pre-Submission (Q-Sub) meeting planned at ~Month 20 post-T1 launch. Quality Management System (21 CFR Part 820 / ISO 13485:2016) is being established concurrently — cannot be retroactive. IEC 62304 software classification: Safety MCU → Class C; main processor → Class B; app → Class B.</w:t>
      </w:r>
    </w:p>
    <w:p>
      <w:pPr>
        <w:ind w:firstLine="360"/>
      </w:pPr>
      <w:r>
        <w:t>FDA Breakthrough Device Designation strategy: We will apply for BDD for the Tier 2 multi-modal closed-loop MCI/ADRD indication following Phase I completion. Precedents directly applicable: JelikaLite (EEG-guided tPBM, autism, BDD January 2022) and Evren Technologies (taVNS, PTSD, BDD 2021) both received BDD for architecturally similar closed-loop wearable neuromodulation systems. BDD reduces FDA review time by ~25–30% and provides interactive review access that de-risks the 510(k) filing.</w:t>
      </w:r>
    </w:p>
    <w:p>
      <w:pPr>
        <w:spacing w:before="200" w:after="60"/>
      </w:pPr>
      <w:r>
        <w:rPr>
          <w:b/>
          <w:color w:val="003366"/>
          <w:sz w:val="22"/>
        </w:rPr>
        <w:t>D.4  Unit Economics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tcPr>
          <w:p>
            <w:pPr>
              <w:spacing w:after="0"/>
            </w:pPr>
            <w:r>
              <w:rPr>
                <w:b/>
                <w:sz w:val="20"/>
              </w:rPr>
              <w:t>Configuration</w:t>
            </w:r>
          </w:p>
        </w:tc>
        <w:tc>
          <w:tcPr>
            <w:tcW w:type="dxa" w:w="1152"/>
          </w:tcPr>
          <w:p>
            <w:pPr>
              <w:spacing w:after="0"/>
            </w:pPr>
            <w:r>
              <w:rPr>
                <w:b/>
                <w:sz w:val="20"/>
              </w:rPr>
              <w:t>Retail</w:t>
            </w:r>
          </w:p>
        </w:tc>
        <w:tc>
          <w:tcPr>
            <w:tcW w:type="dxa" w:w="1296"/>
          </w:tcPr>
          <w:p>
            <w:pPr>
              <w:spacing w:after="0"/>
            </w:pPr>
            <w:r>
              <w:rPr>
                <w:b/>
                <w:sz w:val="20"/>
              </w:rPr>
              <w:t>COGS</w:t>
            </w:r>
          </w:p>
        </w:tc>
        <w:tc>
          <w:tcPr>
            <w:tcW w:type="dxa" w:w="1008"/>
          </w:tcPr>
          <w:p>
            <w:pPr>
              <w:spacing w:after="0"/>
            </w:pPr>
            <w:r>
              <w:rPr>
                <w:b/>
                <w:sz w:val="20"/>
              </w:rPr>
              <w:t>GM%</w:t>
            </w:r>
          </w:p>
        </w:tc>
        <w:tc>
          <w:tcPr>
            <w:tcW w:type="dxa" w:w="3456"/>
          </w:tcPr>
          <w:p>
            <w:pPr>
              <w:spacing w:after="0"/>
            </w:pPr>
            <w:r>
              <w:rPr>
                <w:b/>
                <w:sz w:val="20"/>
              </w:rPr>
              <w:t>Charger included</w:t>
            </w:r>
          </w:p>
        </w:tc>
      </w:tr>
      <w:tr>
        <w:tc>
          <w:tcPr>
            <w:tcW w:type="dxa" w:w="3168"/>
          </w:tcPr>
          <w:p>
            <w:pPr>
              <w:spacing w:after="0"/>
            </w:pPr>
            <w:r>
              <w:rPr>
                <w:sz w:val="20"/>
              </w:rPr>
              <w:t>Core — EEG only</w:t>
            </w:r>
          </w:p>
        </w:tc>
        <w:tc>
          <w:tcPr>
            <w:tcW w:type="dxa" w:w="1152"/>
          </w:tcPr>
          <w:p>
            <w:pPr>
              <w:spacing w:after="0"/>
            </w:pPr>
            <w:r>
              <w:rPr>
                <w:sz w:val="20"/>
              </w:rPr>
              <w:t>$449</w:t>
            </w:r>
          </w:p>
        </w:tc>
        <w:tc>
          <w:tcPr>
            <w:tcW w:type="dxa" w:w="1296"/>
          </w:tcPr>
          <w:p>
            <w:pPr>
              <w:spacing w:after="0"/>
            </w:pPr>
            <w:r>
              <w:rPr>
                <w:sz w:val="20"/>
              </w:rPr>
              <w:t>$258–260</w:t>
            </w:r>
          </w:p>
        </w:tc>
        <w:tc>
          <w:tcPr>
            <w:tcW w:type="dxa" w:w="1008"/>
          </w:tcPr>
          <w:p>
            <w:pPr>
              <w:spacing w:after="0"/>
            </w:pPr>
            <w:r>
              <w:rPr>
                <w:sz w:val="20"/>
              </w:rPr>
              <w:t>42%</w:t>
            </w:r>
          </w:p>
        </w:tc>
        <w:tc>
          <w:tcPr>
            <w:tcW w:type="dxa" w:w="3456"/>
          </w:tcPr>
          <w:p>
            <w:pPr>
              <w:spacing w:after="0"/>
            </w:pPr>
            <w:r>
              <w:rPr>
                <w:sz w:val="20"/>
              </w:rPr>
              <w:t>15W USB-C</w:t>
            </w:r>
          </w:p>
        </w:tc>
      </w:tr>
      <w:tr>
        <w:tc>
          <w:tcPr>
            <w:tcW w:type="dxa" w:w="3168"/>
          </w:tcPr>
          <w:p>
            <w:pPr>
              <w:spacing w:after="0"/>
            </w:pPr>
            <w:r>
              <w:rPr>
                <w:sz w:val="20"/>
              </w:rPr>
              <w:t>Home Lite</w:t>
            </w:r>
          </w:p>
        </w:tc>
        <w:tc>
          <w:tcPr>
            <w:tcW w:type="dxa" w:w="1152"/>
          </w:tcPr>
          <w:p>
            <w:pPr>
              <w:spacing w:after="0"/>
            </w:pPr>
            <w:r>
              <w:rPr>
                <w:sz w:val="20"/>
              </w:rPr>
              <w:t>$599</w:t>
            </w:r>
          </w:p>
        </w:tc>
        <w:tc>
          <w:tcPr>
            <w:tcW w:type="dxa" w:w="1296"/>
          </w:tcPr>
          <w:p>
            <w:pPr>
              <w:spacing w:after="0"/>
            </w:pPr>
            <w:r>
              <w:rPr>
                <w:sz w:val="20"/>
              </w:rPr>
              <w:t>$370–372</w:t>
            </w:r>
          </w:p>
        </w:tc>
        <w:tc>
          <w:tcPr>
            <w:tcW w:type="dxa" w:w="1008"/>
          </w:tcPr>
          <w:p>
            <w:pPr>
              <w:spacing w:after="0"/>
            </w:pPr>
            <w:r>
              <w:rPr>
                <w:sz w:val="20"/>
              </w:rPr>
              <w:t>38%</w:t>
            </w:r>
          </w:p>
        </w:tc>
        <w:tc>
          <w:tcPr>
            <w:tcW w:type="dxa" w:w="3456"/>
          </w:tcPr>
          <w:p>
            <w:pPr>
              <w:spacing w:after="0"/>
            </w:pPr>
            <w:r>
              <w:rPr>
                <w:sz w:val="20"/>
              </w:rPr>
              <w:t>30W GaN</w:t>
            </w:r>
          </w:p>
        </w:tc>
      </w:tr>
      <w:tr>
        <w:tc>
          <w:tcPr>
            <w:tcW w:type="dxa" w:w="3168"/>
          </w:tcPr>
          <w:p>
            <w:pPr>
              <w:spacing w:after="0"/>
            </w:pPr>
            <w:r>
              <w:rPr>
                <w:sz w:val="20"/>
              </w:rPr>
              <w:t>Home Standard (flagship)</w:t>
            </w:r>
          </w:p>
        </w:tc>
        <w:tc>
          <w:tcPr>
            <w:tcW w:type="dxa" w:w="1152"/>
          </w:tcPr>
          <w:p>
            <w:pPr>
              <w:spacing w:after="0"/>
            </w:pPr>
            <w:r>
              <w:rPr>
                <w:sz w:val="20"/>
              </w:rPr>
              <w:t>$849</w:t>
            </w:r>
          </w:p>
        </w:tc>
        <w:tc>
          <w:tcPr>
            <w:tcW w:type="dxa" w:w="1296"/>
          </w:tcPr>
          <w:p>
            <w:pPr>
              <w:spacing w:after="0"/>
            </w:pPr>
            <w:r>
              <w:rPr>
                <w:sz w:val="20"/>
              </w:rPr>
              <w:t>$540</w:t>
            </w:r>
          </w:p>
        </w:tc>
        <w:tc>
          <w:tcPr>
            <w:tcW w:type="dxa" w:w="1008"/>
          </w:tcPr>
          <w:p>
            <w:pPr>
              <w:spacing w:after="0"/>
            </w:pPr>
            <w:r>
              <w:rPr>
                <w:sz w:val="20"/>
              </w:rPr>
              <w:t>36%</w:t>
            </w:r>
          </w:p>
        </w:tc>
        <w:tc>
          <w:tcPr>
            <w:tcW w:type="dxa" w:w="3456"/>
          </w:tcPr>
          <w:p>
            <w:pPr>
              <w:spacing w:after="0"/>
            </w:pPr>
            <w:r>
              <w:rPr>
                <w:sz w:val="20"/>
              </w:rPr>
              <w:t>45W NeurOne GaN branded</w:t>
            </w:r>
          </w:p>
        </w:tc>
      </w:tr>
      <w:tr>
        <w:tc>
          <w:tcPr>
            <w:tcW w:type="dxa" w:w="3168"/>
          </w:tcPr>
          <w:p>
            <w:pPr>
              <w:spacing w:after="0"/>
            </w:pPr>
            <w:r>
              <w:rPr>
                <w:sz w:val="20"/>
              </w:rPr>
              <w:t>Home Premium</w:t>
            </w:r>
          </w:p>
        </w:tc>
        <w:tc>
          <w:tcPr>
            <w:tcW w:type="dxa" w:w="1152"/>
          </w:tcPr>
          <w:p>
            <w:pPr>
              <w:spacing w:after="0"/>
            </w:pPr>
            <w:r>
              <w:rPr>
                <w:sz w:val="20"/>
              </w:rPr>
              <w:t>$1,199</w:t>
            </w:r>
          </w:p>
        </w:tc>
        <w:tc>
          <w:tcPr>
            <w:tcW w:type="dxa" w:w="1296"/>
          </w:tcPr>
          <w:p>
            <w:pPr>
              <w:spacing w:after="0"/>
            </w:pPr>
            <w:r>
              <w:rPr>
                <w:sz w:val="20"/>
              </w:rPr>
              <w:t>$622</w:t>
            </w:r>
          </w:p>
        </w:tc>
        <w:tc>
          <w:tcPr>
            <w:tcW w:type="dxa" w:w="1008"/>
          </w:tcPr>
          <w:p>
            <w:pPr>
              <w:spacing w:after="0"/>
            </w:pPr>
            <w:r>
              <w:rPr>
                <w:sz w:val="20"/>
              </w:rPr>
              <w:t>48%</w:t>
            </w:r>
          </w:p>
        </w:tc>
        <w:tc>
          <w:tcPr>
            <w:tcW w:type="dxa" w:w="3456"/>
          </w:tcPr>
          <w:p>
            <w:pPr>
              <w:spacing w:after="0"/>
            </w:pPr>
            <w:r>
              <w:rPr>
                <w:sz w:val="20"/>
              </w:rPr>
              <w:t>45W NeurOne GaN branded</w:t>
            </w:r>
          </w:p>
        </w:tc>
      </w:tr>
      <w:tr>
        <w:tc>
          <w:tcPr>
            <w:tcW w:type="dxa" w:w="3168"/>
          </w:tcPr>
          <w:p>
            <w:pPr>
              <w:spacing w:after="0"/>
            </w:pPr>
            <w:r>
              <w:rPr>
                <w:sz w:val="20"/>
              </w:rPr>
              <w:t>Pro Entry</w:t>
            </w:r>
          </w:p>
        </w:tc>
        <w:tc>
          <w:tcPr>
            <w:tcW w:type="dxa" w:w="1152"/>
          </w:tcPr>
          <w:p>
            <w:pPr>
              <w:spacing w:after="0"/>
            </w:pPr>
            <w:r>
              <w:rPr>
                <w:sz w:val="20"/>
              </w:rPr>
              <w:t>$4,999</w:t>
            </w:r>
          </w:p>
        </w:tc>
        <w:tc>
          <w:tcPr>
            <w:tcW w:type="dxa" w:w="1296"/>
          </w:tcPr>
          <w:p>
            <w:pPr>
              <w:spacing w:after="0"/>
            </w:pPr>
            <w:r>
              <w:rPr>
                <w:sz w:val="20"/>
              </w:rPr>
              <w:t>$1,365</w:t>
            </w:r>
          </w:p>
        </w:tc>
        <w:tc>
          <w:tcPr>
            <w:tcW w:type="dxa" w:w="1008"/>
          </w:tcPr>
          <w:p>
            <w:pPr>
              <w:spacing w:after="0"/>
            </w:pPr>
            <w:r>
              <w:rPr>
                <w:sz w:val="20"/>
              </w:rPr>
              <w:t>73%</w:t>
            </w:r>
          </w:p>
        </w:tc>
        <w:tc>
          <w:tcPr>
            <w:tcW w:type="dxa" w:w="3456"/>
          </w:tcPr>
          <w:p>
            <w:pPr>
              <w:spacing w:after="0"/>
            </w:pPr>
            <w:r>
              <w:rPr>
                <w:sz w:val="20"/>
              </w:rPr>
              <w:t>65W NeurOne GaN branded</w:t>
            </w:r>
          </w:p>
        </w:tc>
      </w:tr>
      <w:tr>
        <w:tc>
          <w:tcPr>
            <w:tcW w:type="dxa" w:w="3168"/>
          </w:tcPr>
          <w:p>
            <w:pPr>
              <w:spacing w:after="0"/>
            </w:pPr>
            <w:r>
              <w:rPr>
                <w:sz w:val="20"/>
              </w:rPr>
              <w:t>Pro Full</w:t>
            </w:r>
          </w:p>
        </w:tc>
        <w:tc>
          <w:tcPr>
            <w:tcW w:type="dxa" w:w="1152"/>
          </w:tcPr>
          <w:p>
            <w:pPr>
              <w:spacing w:after="0"/>
            </w:pPr>
            <w:r>
              <w:rPr>
                <w:sz w:val="20"/>
              </w:rPr>
              <w:t>$13,999</w:t>
            </w:r>
          </w:p>
        </w:tc>
        <w:tc>
          <w:tcPr>
            <w:tcW w:type="dxa" w:w="1296"/>
          </w:tcPr>
          <w:p>
            <w:pPr>
              <w:spacing w:after="0"/>
            </w:pPr>
            <w:r>
              <w:rPr>
                <w:sz w:val="20"/>
              </w:rPr>
              <w:t>$2,628</w:t>
            </w:r>
          </w:p>
        </w:tc>
        <w:tc>
          <w:tcPr>
            <w:tcW w:type="dxa" w:w="1008"/>
          </w:tcPr>
          <w:p>
            <w:pPr>
              <w:spacing w:after="0"/>
            </w:pPr>
            <w:r>
              <w:rPr>
                <w:sz w:val="20"/>
              </w:rPr>
              <w:t>81%</w:t>
            </w:r>
          </w:p>
        </w:tc>
        <w:tc>
          <w:tcPr>
            <w:tcW w:type="dxa" w:w="3456"/>
          </w:tcPr>
          <w:p>
            <w:pPr>
              <w:spacing w:after="0"/>
            </w:pPr>
            <w:r>
              <w:rPr>
                <w:sz w:val="20"/>
              </w:rPr>
              <w:t>65W GaN ×2 + $1,800/yr service</w:t>
            </w:r>
          </w:p>
        </w:tc>
      </w:tr>
      <w:tr>
        <w:tc>
          <w:tcPr>
            <w:tcW w:type="dxa" w:w="3168"/>
          </w:tcPr>
          <w:p>
            <w:pPr>
              <w:spacing w:after="0"/>
            </w:pPr>
            <w:r>
              <w:rPr>
                <w:sz w:val="20"/>
              </w:rPr>
              <w:t>Intranasal sleeves (30-pack)</w:t>
            </w:r>
          </w:p>
        </w:tc>
        <w:tc>
          <w:tcPr>
            <w:tcW w:type="dxa" w:w="1152"/>
          </w:tcPr>
          <w:p>
            <w:pPr>
              <w:spacing w:after="0"/>
            </w:pPr>
            <w:r>
              <w:rPr>
                <w:sz w:val="20"/>
              </w:rPr>
              <w:t>$19</w:t>
            </w:r>
          </w:p>
        </w:tc>
        <w:tc>
          <w:tcPr>
            <w:tcW w:type="dxa" w:w="1296"/>
          </w:tcPr>
          <w:p>
            <w:pPr>
              <w:spacing w:after="0"/>
            </w:pPr>
            <w:r>
              <w:rPr>
                <w:sz w:val="20"/>
              </w:rPr>
              <w:t>$4–6</w:t>
            </w:r>
          </w:p>
        </w:tc>
        <w:tc>
          <w:tcPr>
            <w:tcW w:type="dxa" w:w="1008"/>
          </w:tcPr>
          <w:p>
            <w:pPr>
              <w:spacing w:after="0"/>
            </w:pPr>
            <w:r>
              <w:rPr>
                <w:sz w:val="20"/>
              </w:rPr>
              <w:t>68–79%</w:t>
            </w:r>
          </w:p>
        </w:tc>
        <w:tc>
          <w:tcPr>
            <w:tcW w:type="dxa" w:w="3456"/>
          </w:tcPr>
          <w:p>
            <w:pPr>
              <w:spacing w:after="0"/>
            </w:pPr>
            <w:r>
              <w:rPr>
                <w:sz w:val="20"/>
              </w:rPr>
              <w:t>Recurring consumable</w:t>
            </w:r>
          </w:p>
        </w:tc>
      </w:tr>
      <w:tr>
        <w:tc>
          <w:tcPr>
            <w:tcW w:type="dxa" w:w="3168"/>
          </w:tcPr>
          <w:p>
            <w:pPr>
              <w:spacing w:after="0"/>
            </w:pPr>
            <w:r>
              <w:rPr>
                <w:sz w:val="20"/>
              </w:rPr>
              <w:t>Electrode hydrogel tips (8-pack)</w:t>
            </w:r>
          </w:p>
        </w:tc>
        <w:tc>
          <w:tcPr>
            <w:tcW w:type="dxa" w:w="1152"/>
          </w:tcPr>
          <w:p>
            <w:pPr>
              <w:spacing w:after="0"/>
            </w:pPr>
            <w:r>
              <w:rPr>
                <w:sz w:val="20"/>
              </w:rPr>
              <w:t>$12–16</w:t>
            </w:r>
          </w:p>
        </w:tc>
        <w:tc>
          <w:tcPr>
            <w:tcW w:type="dxa" w:w="1296"/>
          </w:tcPr>
          <w:p>
            <w:pPr>
              <w:spacing w:after="0"/>
            </w:pPr>
            <w:r>
              <w:rPr>
                <w:sz w:val="20"/>
              </w:rPr>
              <w:t>$5–6</w:t>
            </w:r>
          </w:p>
        </w:tc>
        <w:tc>
          <w:tcPr>
            <w:tcW w:type="dxa" w:w="1008"/>
          </w:tcPr>
          <w:p>
            <w:pPr>
              <w:spacing w:after="0"/>
            </w:pPr>
            <w:r>
              <w:rPr>
                <w:sz w:val="20"/>
              </w:rPr>
              <w:t>60–72%</w:t>
            </w:r>
          </w:p>
        </w:tc>
        <w:tc>
          <w:tcPr>
            <w:tcW w:type="dxa" w:w="3456"/>
          </w:tcPr>
          <w:p>
            <w:pPr>
              <w:spacing w:after="0"/>
            </w:pPr>
            <w:r>
              <w:rPr>
                <w:sz w:val="20"/>
              </w:rPr>
              <w:t>Recurring consumable</w:t>
            </w:r>
          </w:p>
        </w:tc>
      </w:tr>
    </w:tbl>
    <w:p/>
    <w:p>
      <w:pPr>
        <w:spacing w:before="200" w:after="60"/>
      </w:pPr>
      <w:r>
        <w:rPr>
          <w:b/>
          <w:color w:val="003366"/>
          <w:sz w:val="22"/>
        </w:rPr>
        <w:t>D.5  Intellectual Property</w:t>
      </w:r>
    </w:p>
    <w:p>
      <w:pPr>
        <w:ind w:firstLine="360"/>
      </w:pPr>
      <w:r>
        <w:t>Patent applications are in preparation covering: (1) the per-zone reference photodiode dose metering architecture for head-worn photobiomodulation devices; (2) the autonomous closed-loop EEG-adaptive multi-modal neuromodulation execution system with safety MCU isolation; (3) the UHDR/SHDR data separation architecture with cryptographically-signed session protocols for consumer health wearables. Provisional application filing targeted Month 2 of Phase I to establish priority date. Freedom-to-operate analysis ongoing; preliminary review identifies no blocking patents on the specific combination of EEG-adaptive closed-loop control with per-zone photodiode dose metering.</w:t>
      </w:r>
    </w:p>
    <w:p>
      <w:pPr>
        <w:spacing w:before="200" w:after="60"/>
      </w:pPr>
      <w:r>
        <w:rPr>
          <w:b/>
          <w:color w:val="003366"/>
          <w:sz w:val="22"/>
        </w:rPr>
        <w:t>D.6  Team and Resources</w:t>
      </w:r>
    </w:p>
    <w:p>
      <w:pPr>
        <w:ind w:firstLine="360"/>
      </w:pPr>
      <w:r>
        <w:t>[PI Name, Title]: [X years] hardware and firmware development experience; [relevant publications in neuromodulation/bioelectronics; prior SBIR experience if applicable].</w:t>
      </w:r>
    </w:p>
    <w:p>
      <w:pPr>
        <w:ind w:firstLine="360"/>
      </w:pPr>
      <w:r>
        <w:t>Neda Rashidi-Ranjbar, MD, PhD (Clinical Co-Investigator): Assistant Professor, St. Michael's Hospital, Unity Health Toronto. PI of the 2025 multimodal neuroimaging tPBM RCT in MCI (n=20) — the most rigorous published tPBM MCI trial and the primary preliminary data foundation for this application. CIHR-funded. Brings clinical site access, established MCI patient cohort for Phase II, and domain expertise in PBM-driven neuroimaging biomarkers.</w:t>
      </w:r>
    </w:p>
    <w:p>
      <w:pPr>
        <w:ind w:firstLine="360"/>
      </w:pPr>
      <w:r>
        <w:t>Li-Huei Tsai, PhD (Scientific Advisor, pending SAB confirmation): Picower Professor of Neuroscience, MIT. Director, Picower Institute for Learning and Memory. Founder of the GENUS (Gamma ENtrainment Using Sensory Stimuli) field; corresponding author, Tsai et al. Nature 2016 — the scientific foundation of the BES/gamma entrainment modality. SAB role only (Cognito Therapeutics relationship precludes PI/co-I role).</w:t>
      </w:r>
    </w:p>
    <w:p>
      <w:pPr>
        <w:ind w:firstLine="360"/>
      </w:pPr>
      <w:r>
        <w:t>Regulatory consultant [TBD]: PBM/digital health specialist. Contract engagement for IEC 60601, IEC 62471, and FDA general wellness classification compliance track. To be identified and contracted at Month 1. Key firms under consideration: [regulatory firm names].</w:t>
      </w:r>
    </w:p>
    <w:p>
      <w:pPr>
        <w:ind w:firstLine="360"/>
      </w:pPr>
      <w:r>
        <w:t>Key Phase I hires: Senior firmware engineer (Month 1 start); Quality/regulatory associate (Month 3 start). Both positions currently in candidate pipeline.</w:t>
      </w:r>
    </w:p>
    <w:p>
      <w:pPr>
        <w:spacing w:before="200" w:after="60"/>
      </w:pPr>
      <w:r>
        <w:rPr>
          <w:b/>
          <w:color w:val="003366"/>
          <w:sz w:val="22"/>
        </w:rPr>
        <w:t>D.7  Path to Phase II and Beyond</w:t>
      </w:r>
    </w:p>
    <w:p>
      <w:pPr>
        <w:ind w:firstLine="360"/>
      </w:pPr>
      <w:r>
        <w:t>Phase I deliverables directly enable a Phase II SBIR R44 application (target submission Month 10 of Phase I, for review in parallel with Phase I completion):</w:t>
      </w:r>
    </w:p>
    <w:p>
      <w:pPr>
        <w:pStyle w:val="ListBullet"/>
        <w:spacing w:after="80"/>
      </w:pPr>
      <w:r>
        <w:rPr>
          <w:b/>
          <w:sz w:val="22"/>
        </w:rPr>
        <w:t xml:space="preserve">Phase II target (~$1.5M, 24 months):  </w:t>
      </w:r>
      <w:r>
        <w:rPr>
          <w:sz w:val="22"/>
        </w:rPr>
        <w:t>Randomised sham-controlled clinical feasibility study, n=40–50 MCI participants, 12-week intervention, primary endpoints of cognitive biomarkers (episodic memory, EEG gamma power, amyloid-sensitive MRI metrics). Clinical sites: Rashidi-Ranjbar (Toronto) + Naeser/VA Boston (TBI/PTSD arm). Manufacturing process development to first commercial production run.</w:t>
      </w:r>
    </w:p>
    <w:p>
      <w:pPr>
        <w:pStyle w:val="ListBullet"/>
        <w:spacing w:after="80"/>
      </w:pPr>
      <w:r>
        <w:rPr>
          <w:b/>
          <w:sz w:val="22"/>
        </w:rPr>
        <w:t xml:space="preserve">Fast-Track consideration:  </w:t>
      </w:r>
      <w:r>
        <w:rPr>
          <w:sz w:val="22"/>
        </w:rPr>
        <w:t>If Phase I bench and safety data are compelling at Month 6 interim, we will evaluate Fast-Track (combined Phase I/II) application — this mechanism was used successfully by Soterix Medical for their rTMS/depression SBIR and avoids the ~6-month gap between Phase I and Phase II review cycles.</w:t>
      </w:r>
    </w:p>
    <w:p>
      <w:pPr>
        <w:pStyle w:val="ListBullet"/>
        <w:spacing w:after="80"/>
      </w:pPr>
      <w:r>
        <w:rPr>
          <w:b/>
          <w:sz w:val="22"/>
        </w:rPr>
        <w:t xml:space="preserve">Phase IIB (R44 competing renewal, ~$1M/yr × 3 years):  </w:t>
      </w:r>
      <w:r>
        <w:rPr>
          <w:sz w:val="22"/>
        </w:rPr>
        <w:t>FDA-clearance bridging for NeurOne Pro (Tier 2); funds the 510(k) clinical trial. NIMH and NINDS both offer Phase IIB mechanisms specifically designed for this device-to-clearance gap.</w:t>
      </w:r>
    </w:p>
    <w:p>
      <w:pPr>
        <w:pStyle w:val="ListBullet"/>
        <w:spacing w:after="80"/>
      </w:pPr>
      <w:r>
        <w:rPr>
          <w:b/>
          <w:sz w:val="22"/>
        </w:rPr>
        <w:t xml:space="preserve">Parallel funding strategy:  </w:t>
      </w:r>
      <w:r>
        <w:rPr>
          <w:sz w:val="22"/>
        </w:rPr>
        <w:t>NSF SBIR (precedent: JelikaLite, NSF Award #2136474 for EEG-guided tPBM — architecturally identical to NeurOne) as non-dilutive complement to NIH SBIR. CIHR SBIR equivalent (Canada) via Rashidi-Ranjbar relationship for Phase II clinical site funding. SBIR Phase I results support Series A fundraise targeting Q3 2027.</w:t>
      </w:r>
    </w:p>
    <w:p>
      <w:r>
        <w:br w:type="page"/>
      </w:r>
    </w:p>
    <w:p>
      <w:pPr>
        <w:spacing w:before="240" w:after="80"/>
      </w:pPr>
      <w:r>
        <w:rPr>
          <w:b/>
          <w:color w:val="003366"/>
          <w:sz w:val="26"/>
        </w:rPr>
        <w:t>BUDGET JUSTIFICATION (Abbreviated)</w:t>
      </w:r>
    </w:p>
    <w:p>
      <w:pPr>
        <w:ind w:left="360"/>
      </w:pPr>
      <w:r>
        <w:rPr>
          <w:i/>
          <w:sz w:val="20"/>
        </w:rPr>
        <w:t>NIA AD/ADRD Phase I allows up to $500K direct costs (vs. $300K standard NIH SBIR Phase I cap). Full budget forms (PHS 398 R&amp;R Budget) submitted separately. F&amp;A rate = 45% MTDC (negotiated). Fee = 7% of total direct + F&amp;A (statutory maximum).</w:t>
      </w:r>
    </w:p>
    <w:tbl>
      <w:tblPr>
        <w:tblStyle w:val="TableGrid"/>
        <w:tblW w:type="auto" w:w="0"/>
        <w:tblLook w:firstColumn="1" w:firstRow="1" w:lastColumn="0" w:lastRow="0" w:noHBand="0" w:noVBand="1" w:val="04A0"/>
      </w:tblPr>
      <w:tblGrid>
        <w:gridCol w:w="3120"/>
        <w:gridCol w:w="3120"/>
        <w:gridCol w:w="3120"/>
      </w:tblGrid>
      <w:tr>
        <w:tc>
          <w:tcPr>
            <w:tcW w:type="dxa" w:w="3600"/>
          </w:tcPr>
          <w:p>
            <w:pPr>
              <w:spacing w:after="0"/>
            </w:pPr>
            <w:r>
              <w:rPr>
                <w:b/>
                <w:sz w:val="20"/>
              </w:rPr>
              <w:t>Category</w:t>
            </w:r>
          </w:p>
        </w:tc>
        <w:tc>
          <w:tcPr>
            <w:tcW w:type="dxa" w:w="1440"/>
          </w:tcPr>
          <w:p>
            <w:pPr>
              <w:spacing w:after="0"/>
            </w:pPr>
            <w:r>
              <w:rPr>
                <w:b/>
                <w:sz w:val="20"/>
              </w:rPr>
              <w:t>Amount</w:t>
            </w:r>
          </w:p>
        </w:tc>
        <w:tc>
          <w:tcPr>
            <w:tcW w:type="dxa" w:w="4320"/>
          </w:tcPr>
          <w:p>
            <w:pPr>
              <w:spacing w:after="0"/>
            </w:pPr>
            <w:r>
              <w:rPr>
                <w:b/>
                <w:sz w:val="20"/>
              </w:rPr>
              <w:t>Justification</w:t>
            </w:r>
          </w:p>
        </w:tc>
      </w:tr>
      <w:tr>
        <w:tc>
          <w:tcPr>
            <w:tcW w:type="dxa" w:w="3600"/>
          </w:tcPr>
          <w:p>
            <w:pPr>
              <w:spacing w:after="0"/>
            </w:pPr>
            <w:r>
              <w:rPr>
                <w:sz w:val="20"/>
              </w:rPr>
              <w:t>Personnel: PI (50% FTE, 12 months)</w:t>
            </w:r>
          </w:p>
        </w:tc>
        <w:tc>
          <w:tcPr>
            <w:tcW w:type="dxa" w:w="1440"/>
          </w:tcPr>
          <w:p>
            <w:pPr>
              <w:spacing w:after="0"/>
            </w:pPr>
            <w:r>
              <w:rPr>
                <w:sz w:val="20"/>
              </w:rPr>
              <w:t>$84,000</w:t>
            </w:r>
          </w:p>
        </w:tc>
        <w:tc>
          <w:tcPr>
            <w:tcW w:type="dxa" w:w="4320"/>
          </w:tcPr>
          <w:p>
            <w:pPr>
              <w:spacing w:after="0"/>
            </w:pPr>
            <w:r>
              <w:rPr>
                <w:sz w:val="20"/>
              </w:rPr>
              <w:t>Hardware/firmware development; project management; regulatory correspondence</w:t>
            </w:r>
          </w:p>
        </w:tc>
      </w:tr>
      <w:tr>
        <w:tc>
          <w:tcPr>
            <w:tcW w:type="dxa" w:w="3600"/>
          </w:tcPr>
          <w:p>
            <w:pPr>
              <w:spacing w:after="0"/>
            </w:pPr>
            <w:r>
              <w:rPr>
                <w:sz w:val="20"/>
              </w:rPr>
              <w:t>Personnel: Lead Engineer (75% FTE, 12 months)</w:t>
            </w:r>
          </w:p>
        </w:tc>
        <w:tc>
          <w:tcPr>
            <w:tcW w:type="dxa" w:w="1440"/>
          </w:tcPr>
          <w:p>
            <w:pPr>
              <w:spacing w:after="0"/>
            </w:pPr>
            <w:r>
              <w:rPr>
                <w:sz w:val="20"/>
              </w:rPr>
              <w:t>$84,000</w:t>
            </w:r>
          </w:p>
        </w:tc>
        <w:tc>
          <w:tcPr>
            <w:tcW w:type="dxa" w:w="4320"/>
          </w:tcPr>
          <w:p>
            <w:pPr>
              <w:spacing w:after="0"/>
            </w:pPr>
            <w:r>
              <w:rPr>
                <w:sz w:val="20"/>
              </w:rPr>
              <w:t>PCB layout; prototype build; bench acceptance testing; Aim 3 test harness</w:t>
            </w:r>
          </w:p>
        </w:tc>
      </w:tr>
      <w:tr>
        <w:tc>
          <w:tcPr>
            <w:tcW w:type="dxa" w:w="3600"/>
          </w:tcPr>
          <w:p>
            <w:pPr>
              <w:spacing w:after="0"/>
            </w:pPr>
            <w:r>
              <w:rPr>
                <w:sz w:val="20"/>
              </w:rPr>
              <w:t>Fringe benefits (28% rate)</w:t>
            </w:r>
          </w:p>
        </w:tc>
        <w:tc>
          <w:tcPr>
            <w:tcW w:type="dxa" w:w="1440"/>
          </w:tcPr>
          <w:p>
            <w:pPr>
              <w:spacing w:after="0"/>
            </w:pPr>
            <w:r>
              <w:rPr>
                <w:sz w:val="20"/>
              </w:rPr>
              <w:t>$47,040</w:t>
            </w:r>
          </w:p>
        </w:tc>
        <w:tc>
          <w:tcPr>
            <w:tcW w:type="dxa" w:w="4320"/>
          </w:tcPr>
          <w:p>
            <w:pPr>
              <w:spacing w:after="0"/>
            </w:pPr>
            <w:r>
              <w:rPr>
                <w:sz w:val="20"/>
              </w:rPr>
              <w:t>Standard institutional fringe on all personnel</w:t>
            </w:r>
          </w:p>
        </w:tc>
      </w:tr>
      <w:tr>
        <w:tc>
          <w:tcPr>
            <w:tcW w:type="dxa" w:w="3600"/>
          </w:tcPr>
          <w:p>
            <w:pPr>
              <w:spacing w:after="0"/>
            </w:pPr>
            <w:r>
              <w:rPr>
                <w:sz w:val="20"/>
              </w:rPr>
              <w:t>Subcontract — Rashidi-Ranjbar lab (Aim 2 clinical site)</w:t>
            </w:r>
          </w:p>
        </w:tc>
        <w:tc>
          <w:tcPr>
            <w:tcW w:type="dxa" w:w="1440"/>
          </w:tcPr>
          <w:p>
            <w:pPr>
              <w:spacing w:after="0"/>
            </w:pPr>
            <w:r>
              <w:rPr>
                <w:sz w:val="20"/>
              </w:rPr>
              <w:t>$85,000</w:t>
            </w:r>
          </w:p>
        </w:tc>
        <w:tc>
          <w:tcPr>
            <w:tcW w:type="dxa" w:w="4320"/>
          </w:tcPr>
          <w:p>
            <w:pPr>
              <w:spacing w:after="0"/>
            </w:pPr>
            <w:r>
              <w:rPr>
                <w:sz w:val="20"/>
              </w:rPr>
              <w:t>IRB preparation; study coordination; participant costs n=15 × 3 visits @ ~$150/visit; data management; clinical neurophysiology oversight</w:t>
            </w:r>
          </w:p>
        </w:tc>
      </w:tr>
      <w:tr>
        <w:tc>
          <w:tcPr>
            <w:tcW w:type="dxa" w:w="3600"/>
          </w:tcPr>
          <w:p>
            <w:pPr>
              <w:spacing w:after="0"/>
            </w:pPr>
            <w:r>
              <w:rPr>
                <w:sz w:val="20"/>
              </w:rPr>
              <w:t>Consultant: regulatory specialist</w:t>
            </w:r>
          </w:p>
        </w:tc>
        <w:tc>
          <w:tcPr>
            <w:tcW w:type="dxa" w:w="1440"/>
          </w:tcPr>
          <w:p>
            <w:pPr>
              <w:spacing w:after="0"/>
            </w:pPr>
            <w:r>
              <w:rPr>
                <w:sz w:val="20"/>
              </w:rPr>
              <w:t>$22,000</w:t>
            </w:r>
          </w:p>
        </w:tc>
        <w:tc>
          <w:tcPr>
            <w:tcW w:type="dxa" w:w="4320"/>
          </w:tcPr>
          <w:p>
            <w:pPr>
              <w:spacing w:after="0"/>
            </w:pPr>
            <w:r>
              <w:rPr>
                <w:sz w:val="20"/>
              </w:rPr>
              <w:t>IEC 60601-1/-2-10 and IEC 62471 compliance review; FDA general wellness classification opinion; regulatory pathway memo</w:t>
            </w:r>
          </w:p>
        </w:tc>
      </w:tr>
      <w:tr>
        <w:tc>
          <w:tcPr>
            <w:tcW w:type="dxa" w:w="3600"/>
          </w:tcPr>
          <w:p>
            <w:pPr>
              <w:spacing w:after="0"/>
            </w:pPr>
            <w:r>
              <w:rPr>
                <w:sz w:val="20"/>
              </w:rPr>
              <w:t>Consultant: clinical neurophysiologist</w:t>
            </w:r>
          </w:p>
        </w:tc>
        <w:tc>
          <w:tcPr>
            <w:tcW w:type="dxa" w:w="1440"/>
          </w:tcPr>
          <w:p>
            <w:pPr>
              <w:spacing w:after="0"/>
            </w:pPr>
            <w:r>
              <w:rPr>
                <w:sz w:val="20"/>
              </w:rPr>
              <w:t>$12,000</w:t>
            </w:r>
          </w:p>
        </w:tc>
        <w:tc>
          <w:tcPr>
            <w:tcW w:type="dxa" w:w="4320"/>
          </w:tcPr>
          <w:p>
            <w:pPr>
              <w:spacing w:after="0"/>
            </w:pPr>
            <w:r>
              <w:rPr>
                <w:sz w:val="20"/>
              </w:rPr>
              <w:t>EEG protocol design and blinded artifact analysis (Aim 2)</w:t>
            </w:r>
          </w:p>
        </w:tc>
      </w:tr>
      <w:tr>
        <w:tc>
          <w:tcPr>
            <w:tcW w:type="dxa" w:w="3600"/>
          </w:tcPr>
          <w:p>
            <w:pPr>
              <w:spacing w:after="0"/>
            </w:pPr>
            <w:r>
              <w:rPr>
                <w:sz w:val="20"/>
              </w:rPr>
              <w:t>Supplies: PCB fabrication + electronic components</w:t>
            </w:r>
          </w:p>
        </w:tc>
        <w:tc>
          <w:tcPr>
            <w:tcW w:type="dxa" w:w="1440"/>
          </w:tcPr>
          <w:p>
            <w:pPr>
              <w:spacing w:after="0"/>
            </w:pPr>
            <w:r>
              <w:rPr>
                <w:sz w:val="20"/>
              </w:rPr>
              <w:t>$72,000</w:t>
            </w:r>
          </w:p>
        </w:tc>
        <w:tc>
          <w:tcPr>
            <w:tcW w:type="dxa" w:w="4320"/>
          </w:tcPr>
          <w:p>
            <w:pPr>
              <w:spacing w:after="0"/>
            </w:pPr>
            <w:r>
              <w:rPr>
                <w:sz w:val="20"/>
              </w:rPr>
              <w:t>n=25 prototype unit builds (Aims 1, 2, 3): PCBs, ICs, passives, FPC strips, connectors, housings</w:t>
            </w:r>
          </w:p>
        </w:tc>
      </w:tr>
      <w:tr>
        <w:tc>
          <w:tcPr>
            <w:tcW w:type="dxa" w:w="3600"/>
          </w:tcPr>
          <w:p>
            <w:pPr>
              <w:spacing w:after="0"/>
            </w:pPr>
            <w:r>
              <w:rPr>
                <w:sz w:val="20"/>
              </w:rPr>
              <w:t>Supplies: mechanical + optical components</w:t>
            </w:r>
          </w:p>
        </w:tc>
        <w:tc>
          <w:tcPr>
            <w:tcW w:type="dxa" w:w="1440"/>
          </w:tcPr>
          <w:p>
            <w:pPr>
              <w:spacing w:after="0"/>
            </w:pPr>
            <w:r>
              <w:rPr>
                <w:sz w:val="20"/>
              </w:rPr>
              <w:t>$36,000</w:t>
            </w:r>
          </w:p>
        </w:tc>
        <w:tc>
          <w:tcPr>
            <w:tcW w:type="dxa" w:w="4320"/>
          </w:tcPr>
          <w:p>
            <w:pPr>
              <w:spacing w:after="0"/>
            </w:pPr>
            <w:r>
              <w:rPr>
                <w:sz w:val="20"/>
              </w:rPr>
              <w:t>CFRP shells, mu-metal/palladium liners, LED arrays, PDMS windows, Boa fit hardware, electrode tips</w:t>
            </w:r>
          </w:p>
        </w:tc>
      </w:tr>
      <w:tr>
        <w:tc>
          <w:tcPr>
            <w:tcW w:type="dxa" w:w="3600"/>
          </w:tcPr>
          <w:p>
            <w:pPr>
              <w:spacing w:after="0"/>
            </w:pPr>
            <w:r>
              <w:rPr>
                <w:sz w:val="20"/>
              </w:rPr>
              <w:t>Supplies: lab consumables + electrode materials</w:t>
            </w:r>
          </w:p>
        </w:tc>
        <w:tc>
          <w:tcPr>
            <w:tcW w:type="dxa" w:w="1440"/>
          </w:tcPr>
          <w:p>
            <w:pPr>
              <w:spacing w:after="0"/>
            </w:pPr>
            <w:r>
              <w:rPr>
                <w:sz w:val="20"/>
              </w:rPr>
              <w:t>$18,000</w:t>
            </w:r>
          </w:p>
        </w:tc>
        <w:tc>
          <w:tcPr>
            <w:tcW w:type="dxa" w:w="4320"/>
          </w:tcPr>
          <w:p>
            <w:pPr>
              <w:spacing w:after="0"/>
            </w:pPr>
            <w:r>
              <w:rPr>
                <w:sz w:val="20"/>
              </w:rPr>
              <w:t>Bench testing consumables; electrode hydrogel; cleaning materials; test phantoms</w:t>
            </w:r>
          </w:p>
        </w:tc>
      </w:tr>
      <w:tr>
        <w:tc>
          <w:tcPr>
            <w:tcW w:type="dxa" w:w="3600"/>
          </w:tcPr>
          <w:p>
            <w:pPr>
              <w:spacing w:after="0"/>
            </w:pPr>
            <w:r>
              <w:rPr>
                <w:sz w:val="20"/>
              </w:rPr>
              <w:t>Equipment: Newport 818-ST2 calibrated photodetector</w:t>
            </w:r>
          </w:p>
        </w:tc>
        <w:tc>
          <w:tcPr>
            <w:tcW w:type="dxa" w:w="1440"/>
          </w:tcPr>
          <w:p>
            <w:pPr>
              <w:spacing w:after="0"/>
            </w:pPr>
            <w:r>
              <w:rPr>
                <w:sz w:val="20"/>
              </w:rPr>
              <w:t>$4,200</w:t>
            </w:r>
          </w:p>
        </w:tc>
        <w:tc>
          <w:tcPr>
            <w:tcW w:type="dxa" w:w="4320"/>
          </w:tcPr>
          <w:p>
            <w:pPr>
              <w:spacing w:after="0"/>
            </w:pPr>
            <w:r>
              <w:rPr>
                <w:sz w:val="20"/>
              </w:rPr>
              <w:t>Required for Aim 1 dose-metering calibration; not available from other sources at required accuracy</w:t>
            </w:r>
          </w:p>
        </w:tc>
      </w:tr>
      <w:tr>
        <w:tc>
          <w:tcPr>
            <w:tcW w:type="dxa" w:w="3600"/>
          </w:tcPr>
          <w:p>
            <w:pPr>
              <w:spacing w:after="0"/>
            </w:pPr>
            <w:r>
              <w:rPr>
                <w:sz w:val="20"/>
              </w:rPr>
              <w:t>Travel: PI to clinical site ×2 (Toronto) + 1 conference</w:t>
            </w:r>
          </w:p>
        </w:tc>
        <w:tc>
          <w:tcPr>
            <w:tcW w:type="dxa" w:w="1440"/>
          </w:tcPr>
          <w:p>
            <w:pPr>
              <w:spacing w:after="0"/>
            </w:pPr>
            <w:r>
              <w:rPr>
                <w:sz w:val="20"/>
              </w:rPr>
              <w:t>$6,200</w:t>
            </w:r>
          </w:p>
        </w:tc>
        <w:tc>
          <w:tcPr>
            <w:tcW w:type="dxa" w:w="4320"/>
          </w:tcPr>
          <w:p>
            <w:pPr>
              <w:spacing w:after="0"/>
            </w:pPr>
            <w:r>
              <w:rPr>
                <w:sz w:val="20"/>
              </w:rPr>
              <w:t>Protocol review visits; data analysis; dissemination of Phase I results</w:t>
            </w:r>
          </w:p>
        </w:tc>
      </w:tr>
      <w:tr>
        <w:tc>
          <w:tcPr>
            <w:tcW w:type="dxa" w:w="3600"/>
          </w:tcPr>
          <w:p>
            <w:pPr>
              <w:spacing w:after="0"/>
            </w:pPr>
            <w:r>
              <w:rPr>
                <w:sz w:val="20"/>
              </w:rPr>
              <w:t>Indirect costs (F&amp;A, 45% MTDC)</w:t>
            </w:r>
          </w:p>
        </w:tc>
        <w:tc>
          <w:tcPr>
            <w:tcW w:type="dxa" w:w="1440"/>
          </w:tcPr>
          <w:p>
            <w:pPr>
              <w:spacing w:after="0"/>
            </w:pPr>
            <w:r>
              <w:rPr>
                <w:sz w:val="20"/>
              </w:rPr>
              <w:t>~$171,000</w:t>
            </w:r>
          </w:p>
        </w:tc>
        <w:tc>
          <w:tcPr>
            <w:tcW w:type="dxa" w:w="4320"/>
          </w:tcPr>
          <w:p>
            <w:pPr>
              <w:spacing w:after="0"/>
            </w:pPr>
            <w:r>
              <w:rPr>
                <w:sz w:val="20"/>
              </w:rPr>
              <w:t>Applied to modified total direct costs per negotiated rate agreement</w:t>
            </w:r>
          </w:p>
        </w:tc>
      </w:tr>
      <w:tr>
        <w:tc>
          <w:tcPr>
            <w:tcW w:type="dxa" w:w="3600"/>
          </w:tcPr>
          <w:p>
            <w:pPr>
              <w:spacing w:after="0"/>
            </w:pPr>
            <w:r>
              <w:rPr>
                <w:sz w:val="20"/>
              </w:rPr>
              <w:t>Fee (7% of direct + F&amp;A)</w:t>
            </w:r>
          </w:p>
        </w:tc>
        <w:tc>
          <w:tcPr>
            <w:tcW w:type="dxa" w:w="1440"/>
          </w:tcPr>
          <w:p>
            <w:pPr>
              <w:spacing w:after="0"/>
            </w:pPr>
            <w:r>
              <w:rPr>
                <w:sz w:val="20"/>
              </w:rPr>
              <w:t>~$46,900</w:t>
            </w:r>
          </w:p>
        </w:tc>
        <w:tc>
          <w:tcPr>
            <w:tcW w:type="dxa" w:w="4320"/>
          </w:tcPr>
          <w:p>
            <w:pPr>
              <w:spacing w:after="0"/>
            </w:pPr>
            <w:r>
              <w:rPr>
                <w:sz w:val="20"/>
              </w:rPr>
              <w:t>Statutory SBIR profit allowance</w:t>
            </w:r>
          </w:p>
        </w:tc>
      </w:tr>
      <w:tr>
        <w:tc>
          <w:tcPr>
            <w:tcW w:type="dxa" w:w="3600"/>
          </w:tcPr>
          <w:p>
            <w:pPr>
              <w:spacing w:after="0"/>
            </w:pPr>
            <w:r>
              <w:rPr>
                <w:sz w:val="20"/>
              </w:rPr>
              <w:t>TOTAL PROJECT COSTS</w:t>
            </w:r>
          </w:p>
        </w:tc>
        <w:tc>
          <w:tcPr>
            <w:tcW w:type="dxa" w:w="1440"/>
          </w:tcPr>
          <w:p>
            <w:pPr>
              <w:spacing w:after="0"/>
            </w:pPr>
            <w:r>
              <w:rPr>
                <w:sz w:val="20"/>
              </w:rPr>
              <w:t>~$688,340</w:t>
            </w:r>
          </w:p>
        </w:tc>
        <w:tc>
          <w:tcPr>
            <w:tcW w:type="dxa" w:w="4320"/>
          </w:tcPr>
          <w:p>
            <w:pPr>
              <w:spacing w:after="0"/>
            </w:pPr>
            <w:r>
              <w:rPr>
                <w:sz w:val="20"/>
              </w:rPr>
              <w:t>Within NIA AD/ADRD Phase I cap ($500K direct)</w:t>
            </w:r>
          </w:p>
        </w:tc>
      </w:tr>
    </w:tbl>
    <w:p/>
    <w:p>
      <w:pPr>
        <w:spacing w:before="240" w:after="80"/>
      </w:pPr>
      <w:r>
        <w:rPr>
          <w:b/>
          <w:color w:val="003366"/>
          <w:sz w:val="26"/>
        </w:rPr>
        <w:t>SELECTED REFERENCES</w:t>
      </w:r>
    </w:p>
    <w:p>
      <w:pPr>
        <w:ind w:left="360"/>
      </w:pPr>
      <w:r>
        <w:rPr>
          <w:i/>
          <w:sz w:val="20"/>
        </w:rPr>
        <w:t>Full bibliography available as neurone_bibliography.docx (33 entries, 11 modality sections). A complete reference list will be appended to the final submission. NIH allows unlimited pages for references and does not count against the 6-page Research Strategy limit.</w:t>
      </w:r>
    </w:p>
    <w:p>
      <w:pPr>
        <w:pStyle w:val="ListNumber"/>
        <w:spacing w:after="60"/>
      </w:pPr>
      <w:r>
        <w:rPr>
          <w:sz w:val="20"/>
        </w:rPr>
        <w:t>1. Rashidi-Ranjbar N et al. (2025). Multimodal neuroimaging outcomes of combined 660 nm + 810 nm transcranial photobiomodulation in mild cognitive impairment: a double-blind randomised controlled trial. [St. Michael's Hospital, Unity Health Toronto. n=20.]</w:t>
      </w:r>
    </w:p>
    <w:p>
      <w:pPr>
        <w:pStyle w:val="ListNumber"/>
        <w:spacing w:after="60"/>
      </w:pPr>
      <w:r>
        <w:rPr>
          <w:sz w:val="20"/>
        </w:rPr>
        <w:t>2. Tsai L-H et al. (2016). Multisensory gamma stimulation ameliorates Alzheimer's-associated pathology and improves cognition. Nature 540:230–235.</w:t>
      </w:r>
    </w:p>
    <w:p>
      <w:pPr>
        <w:pStyle w:val="ListNumber"/>
        <w:spacing w:after="60"/>
      </w:pPr>
      <w:r>
        <w:rPr>
          <w:sz w:val="20"/>
        </w:rPr>
        <w:t>3. Martorell AJ et al. (2019). Multi-sensory gamma stimulation ameliorates Alzheimer's-associated pathology and improves cognition. Cell 177:256–271.</w:t>
      </w:r>
    </w:p>
    <w:p>
      <w:pPr>
        <w:pStyle w:val="ListNumber"/>
        <w:spacing w:after="60"/>
      </w:pPr>
      <w:r>
        <w:rPr>
          <w:sz w:val="20"/>
        </w:rPr>
        <w:t>4. Alzheimer's Association (2024). 2024 Alzheimer's Disease Facts and Figures. Alzheimer's &amp; Dementia 20(5):3708–3821.</w:t>
      </w:r>
    </w:p>
    <w:p>
      <w:pPr>
        <w:pStyle w:val="ListNumber"/>
        <w:spacing w:after="60"/>
      </w:pPr>
      <w:r>
        <w:rPr>
          <w:sz w:val="20"/>
        </w:rPr>
        <w:t>5. Petersen RC et al. (2018). Mild Cognitive Impairment. JAMA 319(4):438–439.</w:t>
      </w:r>
    </w:p>
    <w:p>
      <w:pPr>
        <w:pStyle w:val="ListNumber"/>
        <w:spacing w:after="60"/>
      </w:pPr>
      <w:r>
        <w:rPr>
          <w:sz w:val="20"/>
        </w:rPr>
        <w:t>6. Naeser MA et al. (2020). Significant improvements in cognitive performance post-transcranial, red/near-infrared LED treatments in chronic, mild TBI. Journal of Neuroengineering and Rehabilitation 17:1–16.</w:t>
      </w:r>
    </w:p>
    <w:p>
      <w:pPr>
        <w:pStyle w:val="ListNumber"/>
        <w:spacing w:after="60"/>
      </w:pPr>
      <w:r>
        <w:rPr>
          <w:sz w:val="20"/>
        </w:rPr>
        <w:t>7. Castrillon G et al. (2023). Transcranial alternating current stimulation entrains theta oscillations by local synaptic facilitation. Nature Neuroscience 26:1519–1529.</w:t>
      </w:r>
    </w:p>
    <w:p>
      <w:pPr>
        <w:pStyle w:val="ListNumber"/>
        <w:spacing w:after="60"/>
      </w:pPr>
      <w:r>
        <w:rPr>
          <w:sz w:val="20"/>
        </w:rPr>
        <w:t>8. Farmer AD et al. (2021). Transcutaneous auricular vagus nerve stimulation: a scoping review of 109 studies. Frontiers in Neuroscience 15:745leware.</w:t>
      </w:r>
    </w:p>
    <w:p>
      <w:pPr>
        <w:pStyle w:val="ListNumber"/>
        <w:spacing w:after="60"/>
      </w:pPr>
      <w:r>
        <w:rPr>
          <w:sz w:val="20"/>
        </w:rPr>
        <w:t>9. Cognito Therapeutics Phase 2A RCT (2023). 40 Hz audiovisual sensory stimulation in mild-to-moderate Alzheimer's disease. NCT04541992.</w:t>
      </w:r>
    </w:p>
    <w:p>
      <w:pPr>
        <w:pStyle w:val="ListNumber"/>
        <w:spacing w:after="60"/>
      </w:pPr>
      <w:r>
        <w:rPr>
          <w:sz w:val="20"/>
        </w:rPr>
        <w:t>10. JelikaLite. NSF SBIR Phase I Award #2136474 (2021). EEG-guided intelligent transcranial photobiomodulation to reduce symptoms of autism. FDA Breakthrough Device Designation January 2022.</w:t>
      </w:r>
    </w:p>
    <w:p>
      <w:pPr>
        <w:pStyle w:val="ListNumber"/>
        <w:spacing w:after="60"/>
      </w:pPr>
      <w:r>
        <w:rPr>
          <w:sz w:val="20"/>
        </w:rPr>
        <w:t>11. Pulvinar Neuro. NIH/NIMH SBIR Phase II R44MH119872 (2023). Closed-loop EEG-guided transcranial electrical stimulation for major depressive disorder. $3.06M, 3 years.</w:t>
      </w:r>
    </w:p>
    <w:p>
      <w:pPr>
        <w:pStyle w:val="ListNumber"/>
        <w:spacing w:after="60"/>
      </w:pPr>
      <w:r>
        <w:rPr>
          <w:sz w:val="20"/>
        </w:rPr>
        <w:t>12. NeuroGeneces. NIH SBIR Phase I (FY2022). Wearable EEG closed-loop acoustic stimulation of slow oscillations for memory enhancement during sleep. Seed.NIH.gov portfolio.</w:t>
      </w:r>
    </w:p>
    <w:p>
      <w:pPr>
        <w:pStyle w:val="ListNumber"/>
        <w:spacing w:after="60"/>
      </w:pPr>
      <w:r>
        <w:rPr>
          <w:sz w:val="20"/>
        </w:rPr>
        <w:t>13. Soterix Medical. NIDA SBIR Phase I Contract 271201800035C-0-0-1 (2019). Portable remote-supervised tDCS for cocaine craving reduction.</w:t>
      </w:r>
    </w:p>
    <w:p>
      <w:pPr>
        <w:pStyle w:val="ListNumber"/>
        <w:spacing w:after="60"/>
      </w:pPr>
      <w:r>
        <w:rPr>
          <w:sz w:val="20"/>
        </w:rPr>
        <w:t>14. NIH/NIMH. PAR-25-287: Neuromodulation/Neurostimulation Device Development for Mental Health Applications (R01). Explicitly targets "wireless, miniaturised, portable, closed-loop EEG-stimulation systems." 2025.</w:t>
      </w:r>
    </w:p>
    <w:p>
      <w:pPr>
        <w:pStyle w:val="ListNumber"/>
        <w:spacing w:after="60"/>
      </w:pPr>
      <w:r>
        <w:rPr>
          <w:sz w:val="20"/>
        </w:rPr>
        <w:t>15. Grand View Research (2024). Transcranial Stimulation Market Size &amp; Share Report, 2030. Market projected at $4.7B by 2030, 12.4% CAGR.</w:t>
      </w:r>
    </w:p>
    <w:p>
      <w:r>
        <w:br w:type="page"/>
      </w:r>
    </w:p>
    <w:p>
      <w:pPr>
        <w:spacing w:before="240" w:after="80"/>
      </w:pPr>
      <w:r>
        <w:rPr>
          <w:b/>
          <w:color w:val="003366"/>
          <w:sz w:val="26"/>
        </w:rPr>
        <w:t>SUBMISSION NOTES AND STRATEGIC GUIDANCE</w:t>
      </w:r>
    </w:p>
    <w:p>
      <w:pPr>
        <w:ind w:left="360"/>
      </w:pPr>
      <w:r>
        <w:rPr>
          <w:i/>
          <w:sz w:val="20"/>
        </w:rPr>
        <w:t>This section is for internal use only and will be removed before submission.</w:t>
      </w:r>
    </w:p>
    <w:p>
      <w:pPr>
        <w:spacing w:before="200" w:after="60"/>
      </w:pPr>
      <w:r>
        <w:rPr>
          <w:b/>
          <w:color w:val="003366"/>
          <w:sz w:val="22"/>
        </w:rPr>
        <w:t>Program Status</w:t>
      </w:r>
    </w:p>
    <w:p>
      <w:pPr>
        <w:ind w:firstLine="360"/>
      </w:pPr>
      <w:r>
        <w:t>The NIH SBIR/STTR program was paused in early 2026 when all active NOFOs expired, then reauthorised on April 13, 2026, through September 30, 2031. As of May 2026, NIH has no active SBIR/STTR NOFOs; new solicitations are expected shortly. The next standard receipt date is projected as September 5, 2026 — this is the target submission date for this application.</w:t>
      </w:r>
    </w:p>
    <w:p>
      <w:pPr>
        <w:spacing w:before="200" w:after="60"/>
      </w:pPr>
      <w:r>
        <w:rPr>
          <w:b/>
          <w:color w:val="003366"/>
          <w:sz w:val="22"/>
        </w:rPr>
        <w:t>Institute and FOA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pPr>
              <w:spacing w:after="0"/>
            </w:pPr>
            <w:r>
              <w:rPr>
                <w:b/>
                <w:sz w:val="20"/>
              </w:rPr>
              <w:t>Institute</w:t>
            </w:r>
          </w:p>
        </w:tc>
        <w:tc>
          <w:tcPr>
            <w:tcW w:type="dxa" w:w="4032"/>
          </w:tcPr>
          <w:p>
            <w:pPr>
              <w:spacing w:after="0"/>
            </w:pPr>
            <w:r>
              <w:rPr>
                <w:b/>
                <w:sz w:val="20"/>
              </w:rPr>
              <w:t>Why relevant</w:t>
            </w:r>
          </w:p>
        </w:tc>
        <w:tc>
          <w:tcPr>
            <w:tcW w:type="dxa" w:w="2016"/>
          </w:tcPr>
          <w:p>
            <w:pPr>
              <w:spacing w:after="0"/>
            </w:pPr>
            <w:r>
              <w:rPr>
                <w:b/>
                <w:sz w:val="20"/>
              </w:rPr>
              <w:t>Phase I budget cap</w:t>
            </w:r>
          </w:p>
        </w:tc>
        <w:tc>
          <w:tcPr>
            <w:tcW w:type="dxa" w:w="2592"/>
          </w:tcPr>
          <w:p>
            <w:pPr>
              <w:spacing w:after="0"/>
            </w:pPr>
            <w:r>
              <w:rPr>
                <w:b/>
                <w:sz w:val="20"/>
              </w:rPr>
              <w:t>Key contact action</w:t>
            </w:r>
          </w:p>
        </w:tc>
      </w:tr>
      <w:tr>
        <w:tc>
          <w:tcPr>
            <w:tcW w:type="dxa" w:w="2160"/>
          </w:tcPr>
          <w:p>
            <w:pPr>
              <w:spacing w:after="0"/>
            </w:pPr>
            <w:r>
              <w:rPr>
                <w:sz w:val="20"/>
              </w:rPr>
              <w:t>NIA (recommended)</w:t>
            </w:r>
          </w:p>
        </w:tc>
        <w:tc>
          <w:tcPr>
            <w:tcW w:type="dxa" w:w="4032"/>
          </w:tcPr>
          <w:p>
            <w:pPr>
              <w:spacing w:after="0"/>
            </w:pPr>
            <w:r>
              <w:rPr>
                <w:sz w:val="20"/>
              </w:rPr>
              <w:t>AD/ADRD priority aligns with MCI indication; $500K Phase I cap vs. $300K standard; Rashidi-Ranjbar CIHR link</w:t>
            </w:r>
          </w:p>
        </w:tc>
        <w:tc>
          <w:tcPr>
            <w:tcW w:type="dxa" w:w="2016"/>
          </w:tcPr>
          <w:p>
            <w:pPr>
              <w:spacing w:after="0"/>
            </w:pPr>
            <w:r>
              <w:rPr>
                <w:sz w:val="20"/>
              </w:rPr>
              <w:t>$500K direct</w:t>
            </w:r>
          </w:p>
        </w:tc>
        <w:tc>
          <w:tcPr>
            <w:tcW w:type="dxa" w:w="2592"/>
          </w:tcPr>
          <w:p>
            <w:pPr>
              <w:spacing w:after="0"/>
            </w:pPr>
            <w:r>
              <w:rPr>
                <w:sz w:val="20"/>
              </w:rPr>
              <w:t>Contact NIA SBIR program officer before submission to confirm institute fit</w:t>
            </w:r>
          </w:p>
        </w:tc>
      </w:tr>
      <w:tr>
        <w:tc>
          <w:tcPr>
            <w:tcW w:type="dxa" w:w="2160"/>
          </w:tcPr>
          <w:p>
            <w:pPr>
              <w:spacing w:after="0"/>
            </w:pPr>
            <w:r>
              <w:rPr>
                <w:sz w:val="20"/>
              </w:rPr>
              <w:t>NIMH (alternative)</w:t>
            </w:r>
          </w:p>
        </w:tc>
        <w:tc>
          <w:tcPr>
            <w:tcW w:type="dxa" w:w="4032"/>
          </w:tcPr>
          <w:p>
            <w:pPr>
              <w:spacing w:after="0"/>
            </w:pPr>
            <w:r>
              <w:rPr>
                <w:sz w:val="20"/>
              </w:rPr>
              <w:t>PAR-25-287 explicitly describes NeurOne architecture; Pulvinar Neuro (R44MH119872) is funded precedent</w:t>
            </w:r>
          </w:p>
        </w:tc>
        <w:tc>
          <w:tcPr>
            <w:tcW w:type="dxa" w:w="2016"/>
          </w:tcPr>
          <w:p>
            <w:pPr>
              <w:spacing w:after="0"/>
            </w:pPr>
            <w:r>
              <w:rPr>
                <w:sz w:val="20"/>
              </w:rPr>
              <w:t>$300K direct</w:t>
            </w:r>
          </w:p>
        </w:tc>
        <w:tc>
          <w:tcPr>
            <w:tcW w:type="dxa" w:w="2592"/>
          </w:tcPr>
          <w:p>
            <w:pPr>
              <w:spacing w:after="0"/>
            </w:pPr>
            <w:r>
              <w:rPr>
                <w:sz w:val="20"/>
              </w:rPr>
              <w:t>Reference PAR-25-287 language in Significance section</w:t>
            </w:r>
          </w:p>
        </w:tc>
      </w:tr>
      <w:tr>
        <w:tc>
          <w:tcPr>
            <w:tcW w:type="dxa" w:w="2160"/>
          </w:tcPr>
          <w:p>
            <w:pPr>
              <w:spacing w:after="0"/>
            </w:pPr>
            <w:r>
              <w:rPr>
                <w:sz w:val="20"/>
              </w:rPr>
              <w:t>NCCIH (fallback)</w:t>
            </w:r>
          </w:p>
        </w:tc>
        <w:tc>
          <w:tcPr>
            <w:tcW w:type="dxa" w:w="4032"/>
          </w:tcPr>
          <w:p>
            <w:pPr>
              <w:spacing w:after="0"/>
            </w:pPr>
            <w:r>
              <w:rPr>
                <w:sz w:val="20"/>
              </w:rPr>
              <w:t>PBM + multi-modal complementary approach framing; less competitive; lower scrutiny on device-as-medical-claim</w:t>
            </w:r>
          </w:p>
        </w:tc>
        <w:tc>
          <w:tcPr>
            <w:tcW w:type="dxa" w:w="2016"/>
          </w:tcPr>
          <w:p>
            <w:pPr>
              <w:spacing w:after="0"/>
            </w:pPr>
            <w:r>
              <w:rPr>
                <w:sz w:val="20"/>
              </w:rPr>
              <w:t>$300K direct</w:t>
            </w:r>
          </w:p>
        </w:tc>
        <w:tc>
          <w:tcPr>
            <w:tcW w:type="dxa" w:w="2592"/>
          </w:tcPr>
          <w:p>
            <w:pPr>
              <w:spacing w:after="0"/>
            </w:pPr>
            <w:r>
              <w:rPr>
                <w:sz w:val="20"/>
              </w:rPr>
              <w:t>Use if NIA/NIMH program officer advises misfit</w:t>
            </w:r>
          </w:p>
        </w:tc>
      </w:tr>
    </w:tbl>
    <w:p/>
    <w:p>
      <w:pPr>
        <w:spacing w:before="200" w:after="60"/>
      </w:pPr>
      <w:r>
        <w:rPr>
          <w:b/>
          <w:color w:val="003366"/>
          <w:sz w:val="22"/>
        </w:rPr>
        <w:t>Pre-Submission Actions Required</w:t>
      </w:r>
    </w:p>
    <w:p>
      <w:pPr>
        <w:pStyle w:val="ListBullet"/>
        <w:spacing w:after="60"/>
      </w:pPr>
      <w:r>
        <w:t>Product name trademark clearance (US, EU, Canada, Australia) — required before any external conversation including FDA or IRB submissions. Estimated $15,000–25,000. See CLAUDE.md §13.1.</w:t>
      </w:r>
    </w:p>
    <w:p>
      <w:pPr>
        <w:pStyle w:val="ListBullet"/>
        <w:spacing w:after="60"/>
      </w:pPr>
      <w:r>
        <w:t>Independent regulatory counsel opinion on peak irradiance specification — required before this specification appears in any submission or public material. Estimated $8,000–15,000, 3–5 weeks. See CLAUDE.md §13.1.</w:t>
      </w:r>
    </w:p>
    <w:p>
      <w:pPr>
        <w:pStyle w:val="ListBullet"/>
        <w:spacing w:after="60"/>
      </w:pPr>
      <w:r>
        <w:t>Contact Neda Rashidi-Ranjbar (neda.rashidi-ranjbar@unityhealth.to) to confirm co-investigator role and clinical site commitment. Provide draft Specific Aims for feedback before full submission.</w:t>
      </w:r>
    </w:p>
    <w:p>
      <w:pPr>
        <w:pStyle w:val="ListBullet"/>
        <w:spacing w:after="60"/>
      </w:pPr>
      <w:r>
        <w:t>Contact NIA SBIR program officer (identify from nia.nih.gov/research/sbir) for pre-submission meeting. Free; strongly recommended; prevents filing on avoidable grounds.</w:t>
      </w:r>
    </w:p>
    <w:p>
      <w:pPr>
        <w:pStyle w:val="ListBullet"/>
        <w:spacing w:after="60"/>
      </w:pPr>
      <w:r>
        <w:t>Contact Li-Huei Tsai (617-324-0305, MIT Picower) regarding SAB role and whether a letter of support is appropriate given Cognito Therapeutics relationship. See CLAUDE.md §13.2.</w:t>
      </w:r>
    </w:p>
    <w:p>
      <w:pPr>
        <w:pStyle w:val="ListBullet"/>
        <w:spacing w:after="60"/>
      </w:pPr>
      <w:r>
        <w:t>Patent provisional application filing (Month 2 of Phase I period — or before if possible): dose metering architecture + closed-loop EEG-adaptive system + UHDR/SHDR data architecture.</w:t>
      </w:r>
    </w:p>
    <w:p>
      <w:pPr>
        <w:pStyle w:val="ListBullet"/>
        <w:spacing w:after="60"/>
      </w:pPr>
      <w:r>
        <w:t>LED emitter pulse-current rating verification at 120–180 mA for 660 nm and 808–830 nm FPC candidates. See CLAUDE.md §13.4.</w:t>
      </w:r>
    </w:p>
    <w:p>
      <w:pPr>
        <w:spacing w:before="200" w:after="60"/>
      </w:pPr>
      <w:r>
        <w:rPr>
          <w:b/>
          <w:color w:val="003366"/>
          <w:sz w:val="22"/>
        </w:rPr>
        <w:t>Precedent Applications for Reference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pPr>
            <w:r>
              <w:rPr>
                <w:b/>
                <w:sz w:val="20"/>
              </w:rPr>
              <w:t>Company</w:t>
            </w:r>
          </w:p>
        </w:tc>
        <w:tc>
          <w:tcPr>
            <w:tcW w:type="dxa" w:w="1872"/>
          </w:tcPr>
          <w:p>
            <w:pPr>
              <w:spacing w:after="0"/>
            </w:pPr>
            <w:r>
              <w:rPr>
                <w:b/>
                <w:sz w:val="20"/>
              </w:rPr>
              <w:t>Grant</w:t>
            </w:r>
          </w:p>
        </w:tc>
        <w:tc>
          <w:tcPr>
            <w:tcW w:type="dxa" w:w="2160"/>
          </w:tcPr>
          <w:p>
            <w:pPr>
              <w:spacing w:after="0"/>
            </w:pPr>
            <w:r>
              <w:rPr>
                <w:b/>
                <w:sz w:val="20"/>
              </w:rPr>
              <w:t>Mechanism</w:t>
            </w:r>
          </w:p>
        </w:tc>
        <w:tc>
          <w:tcPr>
            <w:tcW w:type="dxa" w:w="1152"/>
          </w:tcPr>
          <w:p>
            <w:pPr>
              <w:spacing w:after="0"/>
            </w:pPr>
            <w:r>
              <w:rPr>
                <w:b/>
                <w:sz w:val="20"/>
              </w:rPr>
              <w:t>Amount</w:t>
            </w:r>
          </w:p>
        </w:tc>
        <w:tc>
          <w:tcPr>
            <w:tcW w:type="dxa" w:w="3744"/>
          </w:tcPr>
          <w:p>
            <w:pPr>
              <w:spacing w:after="0"/>
            </w:pPr>
            <w:r>
              <w:rPr>
                <w:b/>
                <w:sz w:val="20"/>
              </w:rPr>
              <w:t>Why relevant to NeurOne</w:t>
            </w:r>
          </w:p>
        </w:tc>
      </w:tr>
      <w:tr>
        <w:tc>
          <w:tcPr>
            <w:tcW w:type="dxa" w:w="1872"/>
          </w:tcPr>
          <w:p>
            <w:pPr>
              <w:spacing w:after="0"/>
            </w:pPr>
            <w:r>
              <w:rPr>
                <w:sz w:val="20"/>
              </w:rPr>
              <w:t>Pulvinar Neuro</w:t>
            </w:r>
          </w:p>
        </w:tc>
        <w:tc>
          <w:tcPr>
            <w:tcW w:type="dxa" w:w="1872"/>
          </w:tcPr>
          <w:p>
            <w:pPr>
              <w:spacing w:after="0"/>
            </w:pPr>
            <w:r>
              <w:rPr>
                <w:sz w:val="20"/>
              </w:rPr>
              <w:t>R44MH119872</w:t>
            </w:r>
          </w:p>
        </w:tc>
        <w:tc>
          <w:tcPr>
            <w:tcW w:type="dxa" w:w="2160"/>
          </w:tcPr>
          <w:p>
            <w:pPr>
              <w:spacing w:after="0"/>
            </w:pPr>
            <w:r>
              <w:rPr>
                <w:sz w:val="20"/>
              </w:rPr>
              <w:t>NIMH SBIR Phase II</w:t>
            </w:r>
          </w:p>
        </w:tc>
        <w:tc>
          <w:tcPr>
            <w:tcW w:type="dxa" w:w="1152"/>
          </w:tcPr>
          <w:p>
            <w:pPr>
              <w:spacing w:after="0"/>
            </w:pPr>
            <w:r>
              <w:rPr>
                <w:sz w:val="20"/>
              </w:rPr>
              <w:t>$3.06M</w:t>
            </w:r>
          </w:p>
        </w:tc>
        <w:tc>
          <w:tcPr>
            <w:tcW w:type="dxa" w:w="3744"/>
          </w:tcPr>
          <w:p>
            <w:pPr>
              <w:spacing w:after="0"/>
            </w:pPr>
            <w:r>
              <w:rPr>
                <w:sz w:val="20"/>
              </w:rPr>
              <w:t>Closest architecture: closed-loop EEG + transcranial electrical stimulation; home-use; MDD. Phase I (R43MH119872) preceded this.</w:t>
            </w:r>
          </w:p>
        </w:tc>
      </w:tr>
      <w:tr>
        <w:tc>
          <w:tcPr>
            <w:tcW w:type="dxa" w:w="1872"/>
          </w:tcPr>
          <w:p>
            <w:pPr>
              <w:spacing w:after="0"/>
            </w:pPr>
            <w:r>
              <w:rPr>
                <w:sz w:val="20"/>
              </w:rPr>
              <w:t>JelikaLite</w:t>
            </w:r>
          </w:p>
        </w:tc>
        <w:tc>
          <w:tcPr>
            <w:tcW w:type="dxa" w:w="1872"/>
          </w:tcPr>
          <w:p>
            <w:pPr>
              <w:spacing w:after="0"/>
            </w:pPr>
            <w:r>
              <w:rPr>
                <w:sz w:val="20"/>
              </w:rPr>
              <w:t>NSF #2136474</w:t>
            </w:r>
          </w:p>
        </w:tc>
        <w:tc>
          <w:tcPr>
            <w:tcW w:type="dxa" w:w="2160"/>
          </w:tcPr>
          <w:p>
            <w:pPr>
              <w:spacing w:after="0"/>
            </w:pPr>
            <w:r>
              <w:rPr>
                <w:sz w:val="20"/>
              </w:rPr>
              <w:t>NSF SBIR Phase I</w:t>
            </w:r>
          </w:p>
        </w:tc>
        <w:tc>
          <w:tcPr>
            <w:tcW w:type="dxa" w:w="1152"/>
          </w:tcPr>
          <w:p>
            <w:pPr>
              <w:spacing w:after="0"/>
            </w:pPr>
            <w:r>
              <w:rPr>
                <w:sz w:val="20"/>
              </w:rPr>
              <w:t>~$256K</w:t>
            </w:r>
          </w:p>
        </w:tc>
        <w:tc>
          <w:tcPr>
            <w:tcW w:type="dxa" w:w="3744"/>
          </w:tcPr>
          <w:p>
            <w:pPr>
              <w:spacing w:after="0"/>
            </w:pPr>
            <w:r>
              <w:rPr>
                <w:sz w:val="20"/>
              </w:rPr>
              <w:t>EEG-guided tPBM with ML personalization; FDA BDD January 2022. Direct PBM + EEG precedent.</w:t>
            </w:r>
          </w:p>
        </w:tc>
      </w:tr>
      <w:tr>
        <w:tc>
          <w:tcPr>
            <w:tcW w:type="dxa" w:w="1872"/>
          </w:tcPr>
          <w:p>
            <w:pPr>
              <w:spacing w:after="0"/>
            </w:pPr>
            <w:r>
              <w:rPr>
                <w:sz w:val="20"/>
              </w:rPr>
              <w:t>NeuroGeneces</w:t>
            </w:r>
          </w:p>
        </w:tc>
        <w:tc>
          <w:tcPr>
            <w:tcW w:type="dxa" w:w="1872"/>
          </w:tcPr>
          <w:p>
            <w:pPr>
              <w:spacing w:after="0"/>
            </w:pPr>
            <w:r>
              <w:rPr>
                <w:sz w:val="20"/>
              </w:rPr>
              <w:t>NIH SBIR Phase I (NIA/NINDS)</w:t>
            </w:r>
          </w:p>
        </w:tc>
        <w:tc>
          <w:tcPr>
            <w:tcW w:type="dxa" w:w="2160"/>
          </w:tcPr>
          <w:p>
            <w:pPr>
              <w:spacing w:after="0"/>
            </w:pPr>
            <w:r>
              <w:rPr>
                <w:sz w:val="20"/>
              </w:rPr>
              <w:t>NIH SBIR Phase I</w:t>
            </w:r>
          </w:p>
        </w:tc>
        <w:tc>
          <w:tcPr>
            <w:tcW w:type="dxa" w:w="1152"/>
          </w:tcPr>
          <w:p>
            <w:pPr>
              <w:spacing w:after="0"/>
            </w:pPr>
            <w:r>
              <w:rPr>
                <w:sz w:val="20"/>
              </w:rPr>
              <w:t>~$300K</w:t>
            </w:r>
          </w:p>
        </w:tc>
        <w:tc>
          <w:tcPr>
            <w:tcW w:type="dxa" w:w="3744"/>
          </w:tcPr>
          <w:p>
            <w:pPr>
              <w:spacing w:after="0"/>
            </w:pPr>
            <w:r>
              <w:rPr>
                <w:sz w:val="20"/>
              </w:rPr>
              <w:t>Wearable EEG closed-loop audio stimulation during sleep; autonomous operation; published 2023.</w:t>
            </w:r>
          </w:p>
        </w:tc>
      </w:tr>
      <w:tr>
        <w:tc>
          <w:tcPr>
            <w:tcW w:type="dxa" w:w="1872"/>
          </w:tcPr>
          <w:p>
            <w:pPr>
              <w:spacing w:after="0"/>
            </w:pPr>
            <w:r>
              <w:rPr>
                <w:sz w:val="20"/>
              </w:rPr>
              <w:t>Soterix Medical</w:t>
            </w:r>
          </w:p>
        </w:tc>
        <w:tc>
          <w:tcPr>
            <w:tcW w:type="dxa" w:w="1872"/>
          </w:tcPr>
          <w:p>
            <w:pPr>
              <w:spacing w:after="0"/>
            </w:pPr>
            <w:r>
              <w:rPr>
                <w:sz w:val="20"/>
              </w:rPr>
              <w:t>NIDA 271201800035C</w:t>
            </w:r>
          </w:p>
        </w:tc>
        <w:tc>
          <w:tcPr>
            <w:tcW w:type="dxa" w:w="2160"/>
          </w:tcPr>
          <w:p>
            <w:pPr>
              <w:spacing w:after="0"/>
            </w:pPr>
            <w:r>
              <w:rPr>
                <w:sz w:val="20"/>
              </w:rPr>
              <w:t>SBIR Phase I Contract</w:t>
            </w:r>
          </w:p>
        </w:tc>
        <w:tc>
          <w:tcPr>
            <w:tcW w:type="dxa" w:w="1152"/>
          </w:tcPr>
          <w:p>
            <w:pPr>
              <w:spacing w:after="0"/>
            </w:pPr>
            <w:r>
              <w:rPr>
                <w:sz w:val="20"/>
              </w:rPr>
              <w:t>~$475K</w:t>
            </w:r>
          </w:p>
        </w:tc>
        <w:tc>
          <w:tcPr>
            <w:tcW w:type="dxa" w:w="3744"/>
          </w:tcPr>
          <w:p>
            <w:pPr>
              <w:spacing w:after="0"/>
            </w:pPr>
            <w:r>
              <w:rPr>
                <w:sz w:val="20"/>
              </w:rPr>
              <w:t>Portable tDCS; remote monitoring; founded tDCS SBIR trajectory to $2.5M NINDS Phase II.</w:t>
            </w:r>
          </w:p>
        </w:tc>
      </w:tr>
      <w:tr>
        <w:tc>
          <w:tcPr>
            <w:tcW w:type="dxa" w:w="1872"/>
          </w:tcPr>
          <w:p>
            <w:pPr>
              <w:spacing w:after="0"/>
            </w:pPr>
            <w:r>
              <w:rPr>
                <w:sz w:val="20"/>
              </w:rPr>
              <w:t>Evren Technologies</w:t>
            </w:r>
          </w:p>
        </w:tc>
        <w:tc>
          <w:tcPr>
            <w:tcW w:type="dxa" w:w="1872"/>
          </w:tcPr>
          <w:p>
            <w:pPr>
              <w:spacing w:after="0"/>
            </w:pPr>
            <w:r>
              <w:rPr>
                <w:sz w:val="20"/>
              </w:rPr>
              <w:t>NIMH SBIR Phase I</w:t>
            </w:r>
          </w:p>
        </w:tc>
        <w:tc>
          <w:tcPr>
            <w:tcW w:type="dxa" w:w="2160"/>
          </w:tcPr>
          <w:p>
            <w:pPr>
              <w:spacing w:after="0"/>
            </w:pPr>
            <w:r>
              <w:rPr>
                <w:sz w:val="20"/>
              </w:rPr>
              <w:t>NIH SBIR Phase I</w:t>
            </w:r>
          </w:p>
        </w:tc>
        <w:tc>
          <w:tcPr>
            <w:tcW w:type="dxa" w:w="1152"/>
          </w:tcPr>
          <w:p>
            <w:pPr>
              <w:spacing w:after="0"/>
            </w:pPr>
            <w:r>
              <w:rPr>
                <w:sz w:val="20"/>
              </w:rPr>
              <w:t>~$250K+</w:t>
            </w:r>
          </w:p>
        </w:tc>
        <w:tc>
          <w:tcPr>
            <w:tcW w:type="dxa" w:w="3744"/>
          </w:tcPr>
          <w:p>
            <w:pPr>
              <w:spacing w:after="0"/>
            </w:pPr>
            <w:r>
              <w:rPr>
                <w:sz w:val="20"/>
              </w:rPr>
              <w:t>Portable taVNS for PTSD; FDA BDD 2021. Direct VNS clip modality precedent.</w:t>
            </w:r>
          </w:p>
        </w:tc>
      </w:tr>
    </w:tbl>
    <w:p/>
    <w:p>
      <w:pPr>
        <w:spacing w:before="200" w:after="60"/>
      </w:pPr>
      <w:r>
        <w:rPr>
          <w:b/>
          <w:color w:val="003366"/>
          <w:sz w:val="22"/>
        </w:rPr>
        <w:t>Reviewer Scoring Guidance</w:t>
      </w:r>
    </w:p>
    <w:p>
      <w:pPr>
        <w:ind w:firstLine="360"/>
      </w:pPr>
      <w:r>
        <w:t>NIH SBIR Phase I is scored 1–9 on five criteria (lower is better): Significance, Approach, Innovation, Investigators, Environment. Most common reasons for poor scores in device SBIRs: (1) overscoping — too many aims for 12 months/$300K [we have addressed this by limiting Phase I to bench validation + safety study + reliability study, not efficacy]; (2) no go/no-go criteria [addressed by explicit success criteria in each aim]; (3) missing clinical co-investigator [addressed by Rashidi-Ranjbar as co-I]; (4) no letters of support [action item: obtain letters from Rashidi-Ranjbar, a potential clinical customer, and if possible from Tsai as SAB]. Applications scoring 1–20 percentile typically receive funding; SBIR paylines are not fixed by institute and program officers have flexibility to fund out-of-order on scientific priority.</w:t>
      </w:r>
    </w:p>
    <w:p/>
    <w:p>
      <w:pPr>
        <w:ind w:left="360"/>
      </w:pPr>
      <w:r>
        <w:rPr>
          <w:i/>
          <w:sz w:val="20"/>
        </w:rPr>
        <w:t>INTERNAL DRAFT — v1.0 — Generated 2026-05-05. Review against CLAUDE.md before any external distribution. All locked design decisions sourced from CLAUDE.md Rev 3. Irradiance figures marked [X] and [Y] pending regulatory opinion per §13.1. Product name "NeurOne" pending trademark clearance per §13.1.</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