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/>
      <w:r>
        <w:rPr>
          <w:b/>
          <w:color w:val="CC0000"/>
          <w:sz w:val="36"/>
        </w:rPr>
        <w:t xml:space="preserve">SUPERSEDED — </w:t>
      </w:r>
    </w:p>
    <w:p>
      <w:pPr>
        <w:spacing w:after="70" w:before="0"/>
        <w:jc w:val="center"/>
      </w:pPr>
      <w:r>
        <w:rPr>
          <w:rFonts w:ascii="Arial" w:cs="Arial" w:eastAsia="Arial" w:hAnsi="Arial"/>
          <w:b/>
          <w:bCs/>
          <w:color w:val="0F6E56"/>
          <w:sz w:val="64"/>
          <w:szCs w:val="64"/>
        </w:rPr>
        <w:t>NeurOne</w:t>
      </w:r>
    </w:p>
    <w:p>
      <w:pPr>
        <w:spacing w:after="70" w:before="0"/>
        <w:jc w:val="center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Master Design Brief — Revision 3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Closed-Loop Multi-Modal Neuromodulation Platform</w:t>
      </w:r>
    </w:p>
    <w:p>
      <w:pPr>
        <w:spacing w:after="280" w:before="0"/>
        <w:jc w:val="center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May 4, 2026  ·  Revision 3 — incorporates all decisions through current session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Revision 3 — Key Additions Since Revision 2</w:t>
      </w:r>
    </w:p>
    <w:p>
      <w:pPr>
        <w:spacing w:after="0" w:before="40"/>
      </w:pPr>
      <w:r>
        <w:t xml:space="preserve"/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40"/>
        <w:gridCol w:w="5940"/>
      </w:tblGrid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Category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New decisions added</w:t>
            </w:r>
          </w:p>
        </w:tc>
      </w:tr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UHDR / SHDR data architecture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Complete UHDR/SHDR terminology framework. SHDR linked to device ID + warranty owner only — never user identity. UHDR encrypted with user-held key. Separate eMMC partitions from first firmware line. All boundary cases resolved by derivation rule. Session count in SHDR is unsigned integer with no user link.</w:t>
            </w:r>
          </w:p>
        </w:tc>
      </w:tr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Clinical consent engine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Use case library (9 defined use cases). Minimum necessary data mapper. Plain-language consent document generator (not legal forms). Subscription tiers (Monitor $49, Assess $149, Full Clinical $299, Research $599/mo). Expansion workflow with differential consent and 'approve with questions' path.</w:t>
            </w:r>
          </w:p>
        </w:tc>
      </w:tr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Research consent + partnership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Three a priori consent layers (contact, category, blanket). 9 research categories. Blanket consent still receives per-study engagement notifications. Results opt-in (plain-language summary + paper link + null result notifications). Study suggestion portal (votes, participation intent, pledges). Crowdfunding mechanics (pledge → pilot → grant catalyst). POA workflow with human document review. Researcher portal with pre-identified cohort data.</w:t>
            </w:r>
          </w:p>
        </w:tc>
      </w:tr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Durability engineering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ITO → AgNW lens coating. Hard clamshell case replaces pouch. Intranasal probe hub dock. Palladium fabric (replaces silver — marketing differentiator + fleet-verified claim). N52 → N42 magnets. 1,000-cycle zone connectors. Interface protection covers (all tethered). Braided aramid USB-C cable. MagSafe hard gold contacts. 22F supercapacitor. IPX4 target. Audio cup user-replaceable mesh frame + mesh cleaning brush.</w:t>
            </w:r>
          </w:p>
        </w:tc>
      </w:tr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Calibration + self-maintenance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Reference photodiode per zone (eliminates 3-year service calibration visit). Plasma-activated anti-fouling PDMS. Fluxgate zero-field nulling + geomagnetic comparison. Hub NTC cross-calibration of headset NTCs. ADS1299 internal reference self-calibration at session start. EC lens transition time monitoring for contact resistance. Audio cup driver impedance monitoring for mesh fouling. Probe tip reference LED at probe base.</w:t>
            </w:r>
          </w:p>
        </w:tc>
      </w:tr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Software resilience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Dual-bank OTA firmware (Bank A runs while Bank B staged, cryptographic verification before switch). USB-C DFU recovery mode. Safety MCU firmware only updated in maintenance mode. Industrial eMMC + LittleFS. Firmware partition write-protected. Automated nightly incremental UHDR backup. Cloud service commitment in warranty. 7-day OS compatibility SLA. New device migration prompt.</w:t>
            </w:r>
          </w:p>
        </w:tc>
      </w:tr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Service network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>Tier A optical centers (S3 Rx + lens + calibration, 4-hr cert, $400–600 equipment). Tier B electronics repair (FPC, DFU, data recovery, 6-hr cert). Tier C retail triage (Best Buy Geek Squad type, 2-hr cert, no equipment). NeurOne depot (backstop + T2 loaner). Sliding rail lens mount (user self-install). Lever ZIF connectors (user zone module swap). Tool-free hub fan. Design changes reduce service dependency substantially.</w:t>
            </w:r>
          </w:p>
        </w:tc>
      </w:tr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Box contents (updated)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>Hard clamshell case (replaces pouch). Braided aramid USB-C cable (spare included). 45W GaN charger (branded NeurOne). Mesh cleaning brush. Boa replacement cable + hook tool. Moisture-barrier electrode tip hydration caps. Humidity indicator card. Pre-impregnated cleaning cloth packets. Interface covers (installed + one spare set each type).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1. Executive Summary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40"/>
        <w:gridCol w:w="5940"/>
      </w:tblGrid>
      <w:tr>
        <w:tc>
          <w:tcPr>
            <w:tcW w:type="dxa" w:w="5940"/>
            <w:tcBorders>
              <w:top w:val="single" w:color="0F6E56" w:sz="3"/>
              <w:left w:val="single" w:color="CCCCCC" w:sz="1"/>
              <w:bottom w:val="single" w:color="CCCCCC" w:sz="1"/>
              <w:right w:val="single" w:color="CCCCCC" w:sz="1"/>
            </w:tcBorders>
            <w:shd w:fill="F4F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>NeurOne Home — Tier 1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Consumer wellness · FDA-exempt · 8 modalities · $449–$1,199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600 LEDs (300×660nm + 300×810nm) on FPC zone strips — uniform field, 80,000-hr lifetime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400 mW/cm² peak pulsed irradiance (firmware-only, $0 BOM) — matches Vielight Neuro Pro 2 headline spec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8-channel semi-dry EEG, autonomous closed-loop EEG-adaptive stimulation without phone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5-layer EMF shielding + active Helmholtz cancellation — only consumer brain wearable with measured shielding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Pricing: $449 Core · $599 Lite · $849 Standard ★ · $1,199 Premium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mandatory subscription. All core functions offline-capable permanently.</w:t>
            </w:r>
          </w:p>
        </w:tc>
        <w:tc>
          <w:tcPr>
            <w:tcW w:type="dxa" w:w="5940"/>
            <w:tcBorders>
              <w:top w:val="single" w:color="534AB7" w:sz="3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>NeurOne Pro — Tier 2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Clinical/research · FDA 510(k) target · all modalities · $4,999–$13,999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21-channel qEEG wet gel: full 10-20 + FC3/FC4 (M1 TMS targeting) + Oz (photoparoxysmal) + A1/A2 (normative database reference)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TMS focal figure-8 coil (rTMS/TBS) · 1170nm deep PBM (35–40mm subcortical) · clinical tACS ≤4mA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HIPAA cloud · EHR (FHIR R4) · multi-patient dashboard · sLORETA source imaging · LSL streaming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Pricing: $4,999 Pro Entry · $13,999 Pro Full · $1,800/yr service (same-day loaner)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CPT 90867–90869 TMS reimbursement · 510(k) pathway 18–36 months · $2–5M budget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2. Data Architecture — UHDR / SHDR Framework</w:t>
      </w:r>
    </w:p>
    <w:p>
      <w:pPr>
        <w:spacing w:after="0" w:before="40"/>
      </w:pPr>
      <w:r>
        <w:t xml:space="preserve"/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Record type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Definition, contents, access, and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>UHDR — User Health Data Record</w:t>
              <w:br/>
              <w:t>(user's property, never accessed by NeurOne)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>DEFINITION: Any record describing the user's biological state, cognitive function, therapeutic response, or health outcomes. Defining test: does this record tell us something about the person? If yes → UHDR.</w:t>
              <w:br/>
              <w:br/>
              <w:t>CONTENTS: EEG waveforms (all channels) · HRV time series · PPG optical signal · Neurofeedback performance scores · Session timestamps and duration · Protocol parameters used per session · Closed-loop adaptation events · PBM dose (J/cm²) per zone · User-entered symptom/outcome logs · Eye-open/closed state during sessions.</w:t>
              <w:br/>
              <w:br/>
              <w:t>ACCESS: User (always, unconditionally). Clinicians (per-element, per-use-case consent, time-limited, audited, revocable). Researchers (anonymized aggregate, separate IRB + explicit research consent). NeurOne: NEVER.</w:t>
              <w:br/>
              <w:br/>
              <w:t>STORAGE: On-device eMMC UHDR partition, AES-256 encrypted with user biometric-derived key. NeurOne does not hold decryption key. Optional E2E encrypted cloud backup (user-held key). Automatic incremental backup on USB-C connect.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>SHDR — System Health Data Record</w:t>
              <w:br/>
              <w:t>(NeurOne property, never linked to user identity)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>DEFINITION: Any record describing device performance, wear state, and operational history — independent of who is wearing it. Defining test: does this tell us something about the device's condition, containing nothing that reveals user biology? If yes → SHDR.</w:t>
              <w:br/>
              <w:br/>
              <w:t>CONTENTS: LED output ratio per zone · NTC temperature profiles · EMF shielding attenuation ratio · Device session count (unsigned integer, no timestamps) · Consumable session counts per component · USB-C insertion counter · PD negotiation log · Impact events (g-force, orientation — between sessions only) · Fan RPM · Supercapacitor cycles · Firmware version history · OTA success/failure log · Accessory authentication pass/fail · Calibration coefficient history.</w:t>
              <w:br/>
              <w:br/>
              <w:t>ACCESS: NeurOne (fleet database, maintenance prediction, reliability improvement). Warranty owner (maintenance alerts derived from SHDR). Researchers (aggregate only, per data sharing agreement).</w:t>
              <w:br/>
              <w:br/>
              <w:t>LINKAGE: SHDR is linked to device ID + warranty owner ID only. Never to user identity. The SHDR database and UHDR storage share no common identifier — they cannot be joined.</w:t>
              <w:br/>
              <w:br/>
              <w:t>STORAGE: On-device eMMC SHDR partition, separate encryption from UHDR. Uploaded to NeurOne fleet database on USB-C connect (warranty consent required).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Boundary case resolution rule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>When in doubt → classify as UHDR. Reclassification to SHDR requires positive demonstration of no user biology content.</w:t>
              <w:br/>
              <w:br/>
              <w:t>SPECIFIC RESOLUTIONS: Raw EEG impedance (reflects user scalp biology) → UHDR. Derived trend slope across sessions (reflects electrode tip condition only) → SHDR. Raw accelerometer during active sessions → UHDR. Impact events detected between sessions → SHDR. Raw ambient light values (reveal when/where user uses device) → UHDR. Cumulative UV exposure index (single dimensionless engineering number) → SHDR. Raw VNS contact impedance → UHDR. Contact resistance trend → SHDR. IR eye state during sessions → UHDR. Safety interlock log (device behavior record) → SHDR.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3. Clinical Consent Engine</w:t>
      </w:r>
    </w:p>
    <w:p>
      <w:pPr>
        <w:spacing w:after="0" w:before="40"/>
      </w:pPr>
      <w:r>
        <w:t xml:space="preserve"/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800"/>
        <w:gridCol w:w="2400"/>
        <w:gridCol w:w="32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Subscription 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Price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Use cases included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UHDR elements accessible (with user consent)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Target clinician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Monitor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$49/mo/patient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Treatment adherence monitoring · Protocol compliance tracking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Session timestamps · Session duration · Protocol parameters used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Primary care, wellness providers, care coordinators checking adherence between visits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Assess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$149/mo/patient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Monitor + EEG session review · Neurofeedback performance · Treatment efficacy tracking · Sleep session 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Adds: EEG waveforms · Neurofeedback performance scores · PBM dose logs · Eye-state during session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Neurologists, psychiatrists, EEG specialists, sleep clinicians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Full Clinical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$299/mo/patient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Assess + Autonomic monitoring (HRV) · Closed-loop response review · Patient-reported outcomes · TMS response 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Adds: HRV time series · PPG optical signal · Closed-loop adaptation events · User-entered symptom logs (if separately consented) · EEG FC3/FC4 channels specifically for TMS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Tier 2 neuromodulation programmes, TMS clinics, integrative psychiatry, Parkinson's specialists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Research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$599/mo/study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>IRB-defined custom use case combination (reviewed by NeurOne before activation)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>IRB-approved minimum necessary set only · Anonymized output · k-anonymity ≥10 required · No individual identifiers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Academic clinical trials · IRB-approved observational studies · Population meta-analysis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3.1 A Priori Research Consent — Four Onboarding Screens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400"/>
        <w:gridCol w:w="30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If 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If no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Effect on device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L1 — Contact consent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Can we contact you about future research opportunities?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Provide preferred contact method + frequency limit. POA holders upload POA document (human review, 3 business days). All research contact goes to POA holder if applicable.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 research contact sent. Category and blanket consents still recorded. Changeable at any time.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None — device fully functional regardless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L2 — Category consent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Which research areas would you broadly support? (9 categories: AD/dementia, Depression, PTSD, TBI, Sleep, Attention, Parkinson's, Healthy ageing, Visual health)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Receives per-project contact requests only for studies in selected categories. Each contact is a fresh per-project decision — no data shared until per-project consent given.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contacted for that category. Other categories unaffected. Category selections changeable anytime.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L3 — Blanket consent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>Do you pre-approve all NeurOne-reviewed research uses of your anonymized data?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>Data included in all reviewed studies. STILL receives per-study engagement notifications (not consent requests — the patient is kept informed and can opt out per-study). Anonymization standard: k≥10, no device/user ID, no sub-weekly timestamps, no sub-regional geography.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>Per-category and per-project process applies. Not a lesser choice — equal in NeurOne's treatment.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L4 — Results + community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Would you like to hear study results? Would you like to join the suggestion portal?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Plain-language results notification per contributed study (including null results) + paper link. Access to suggestion/voting/pledge/crowdfunding portal. Suggestions visible to researcher community.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 results contact. No portal access. Both changeable at any time in Settings → Research + Privacy.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None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4. Configurations + Pricing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800"/>
        <w:gridCol w:w="800"/>
        <w:gridCol w:w="700"/>
        <w:gridCol w:w="3000"/>
        <w:gridCol w:w="42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Configuration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BOM est.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COGS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Retail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GM%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Included modalities + key items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Target customer + justification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Core — EEG only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$255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$449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43%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4-ch EEG · all connectivity (USB-C/BT/Wi-Fi) · EMF shielding (palladium fabric) · full processor stack · 8GB eMMC · hard clamshell case · interface covers (installed + spare set) · braided aramid cable · 45W GaN charger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Cautious entry buyer. Neurofeedback baseline. B2B modular base unit. Establishes field upgrade path.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Home Lite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$260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$365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$599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39%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Core + PBM 5 zones (660+810nm, 600 LEDs FPC, 400 mW/cm² peak pulsed) · 8-ch EEG · VNS+HRV auricular clip (A1/A2 EEG references included)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Wellness-focused consumer. First meaningful PBM config. Targets Neuronic/Vielight alternative seekers below $600.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Home Standard 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$395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$530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$849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38%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T1 modalities: PBM 600 LEDs · intranasal bilateral 2λ 3-depth · 8-ch EEG · BES · tDCS · VNS+HRV · audio cups (planar + bone conduction) · standard lens (35% VLT, 108 micro-LEDs/lens) · S1 opaque shade · all covers · hard case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Primary flagship. Biohacker 35–65. All T1 modalities. 50× more transcranial LEDs than Vielight at 17% of price. Primary marketing SKU. Full SHDR fleet telemetry + maintenance predictions.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Home Premium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$610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$1,199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49%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>All T1 + EC lens upgrade (5–75% VLT bistable, +$89 value) · 2yr warranty · priority support · NeurOne-branded 45W GaN charger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High-income buyer, premium lens day-one. Highest T1 gross margin. EC lens + palladium fabric as premium differentiators.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 Entry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$820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$1,350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$4,999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73%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T1 + 21-ch qEEG wet gel (FC3/FC4/Oz/A1/A2) · 1170nm deep PBM LDs + TEC · clinical tACS ≤4mA 16-ch · HIPAA cloud · EDF+ · sLORETA source imaging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Neurology clinic, concussion rehab, academic PI (IRB exemption seeding). CPT 90867–90869 TMS eligible as add-on.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 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$1,480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$2,600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$13,999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81%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>All T2: Pro Entry + TMS focal figure-8 coil hub · multi-patient dashboard · research mode · LSL streaming · scripting API · FHIR R4 EHR · anonymized session tag for clinical multi-patient · $1,800/yr 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>Academic medical center, psychiatry clinic, neuromodulation research lab. Same-day loaner via service contract. Highest absolute gross margin.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5. Durability + Maintenance Engineering</w:t>
      </w:r>
    </w:p>
    <w:p>
      <w:pPr>
        <w:spacing w:after="0" w:before="4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5.1 All design changes — status and impact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100"/>
        <w:gridCol w:w="70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Change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BOM delta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Rationale + tooling timing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ITO → AgNW (silver nanowire) conductive lens coating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7"/>
                <w:szCs w:val="17"/>
              </w:rPr>
              <w:t xml:space="preserve">PRE-TOOLING 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+$8–12/lens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ITO has 0.5% strain-to-failure — cracks on any flex or point impact. AgNW tolerates 5–10% flex, compatible with hard coat overlay, maintains 85–90% transmission. Must specify before lens tooling is cut.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Hard clamshell case replaces soft pouch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7"/>
                <w:szCs w:val="17"/>
              </w:rPr>
              <w:t xml:space="preserve">PRE-PRODUCTION 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+$8–14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>Lens scratching from bag contents certain within first month without case. Molded case includes headset form, lens support, probe dock, accessories tray. Doubles as shipping container.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>Intranasal probe hub dock (molded)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7"/>
                <w:szCs w:val="17"/>
              </w:rPr>
              <w:t xml:space="preserve">PRE-TOOLING 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Hub retool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Probe dropped probe-first fractures Y-junction. Hub dock is only reliable storage. Cannot be retrofitted — must be in hub tooling from day 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Palladium-coated EMF shielding fabric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DECIDED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+$6/headset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Silver tarnishes 12–18 months daily sweat use. Palladium immune to tarnishing for device lifetime. Fleet SHDR shielding attenuation data will demonstrate stable performance over years — measurable, publishable marketing claim.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Reference photodiode per zone (behind PDMS window)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7"/>
                <w:szCs w:val="17"/>
              </w:rPr>
              <w:t xml:space="preserve">PRE-PCB LAYOUT 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+$2 total (5 zones)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Detects LED output drift AND window fouling simultaneously. Eliminates 3-year service center calibration visit entirely. Most important single maintenance engineering decision.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Braided aramid USB-C cable + dual silicone strain relief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DECIDED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+$3–4/cable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Commodity cables fail at strain relief within 6–18 months. Braided aramid rated 50,000+ flex cycles. Spare in box. Most-handled component in the system.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MagSafe hard gold contact faces (&gt;0.5µm cobalt-alloyed)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PRE-PRODUCTION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+$1.20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Oxidised contacts raise resistance → power throttling during sessions. Hard gold resists wear 10× better than soft gold. 10,000-cycle rating at full current.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22F supercapacitor (from 10F)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DECIDED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+$1.80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Allows 50% capacitance degradation over 5 years while maintaining transient absorption. Hub NTC monitors temperature for aging estimation.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Dual-bank OTA firmware architecture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7"/>
                <w:szCs w:val="17"/>
              </w:rPr>
              <w:t xml:space="preserve">PRE-FIRMWARE 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$0 (software)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Failed update bricking is 100% manufacturer-caused. Bank A runs while Bank B staged. Boot switches only after cryptographic hash verification. USB-C DFU recovery if both banks corrupted.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Industrial eMMC (SLC cache, 30,000+ P/E) + LittleFS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COMPONENT SELECTION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+$2.40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Consumer eMMC (1,000–3,000 P/E) may fail within 3–5 years at daily use. LittleFS manages bad blocks gracefully. Firmware partition write-protected.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Zone slot connectors: 1,000-cycle rated (Molex SlimStack)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7"/>
                <w:szCs w:val="17"/>
              </w:rPr>
              <w:t xml:space="preserve">PRE-PCB LAYOUT 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+$2.00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Standard connectors rated 100–500 cycles — inadequate for modular users. Specify before PCB layout.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Interface protection covers (all tethered)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7"/>
                <w:szCs w:val="17"/>
              </w:rPr>
              <w:t xml:space="preserve">PRE-TOOLING 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+$8–9 total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>Zone plugs (Shore 30A silicone, 5 colours, IP54). Port covers (TPE + steel disc + silicone fins). Lens rim guards (Shore 85A TPU, clear). Anchor posts molded into shell at zero cost if specified before first cut.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Audio cup user-replaceable snap-in mesh frame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PRE-TOOLING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+$0.60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Earwax degrades both acoustic and RF shielding functions simultaneously. Snap-in frame enables user cleaning and annual replacement ($9.99/pair).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Sliding rail lens mount (user self-install)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PRE-TOOLING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+$1.20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Eliminates lens alignment jig requirement. User slides damaged lens out, new lens in, clips retention tab. App validates via EC transition + micro-LED test. Eliminates Tier A installation service visits.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Lever-actuated ZIF connectors for zone modules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PRE-PCB LAYOUT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Included in connector upgrade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Standard ZIF requires tools and care. Lever-actuated ZIF with supplied lever tool enables user zone module self-service.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Automated nightly UHDR backup (incremental)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PRE-LAUNCH SOFTWARE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When on USB-C power, silently encrypts and pushes new UHDRs to backup destination. Failure becomes hardware swap not data loss. Eliminates most data recovery service events.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N52 → N42 magnets in lens rim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DECIDED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−$0.80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N52 brittle under corner impact. N42 significantly more impact-tolerant with adequate holding force at slightly larger format.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ADS1299 internal reference self-calibration at session start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FIRMWARE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Routes internal reference to all channels, measures gain/offset, applies correction coefficients. Eliminates EEG amplitude drift over device lifetime. Coefficients logged in SHDR.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Plasma-activated PDMS (anti-fouling) for optical windows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PRE-PRODUCTION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Minimal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Hydrophilic surface repels sebum fouling. Standard microfluidics treatment. Same material, surface treatment at manufacture.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6. Service Network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1400"/>
        <w:gridCol w:w="1200"/>
        <w:gridCol w:w="1200"/>
        <w:gridCol w:w="26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Examples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Service tasks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Certification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Equipment 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Revenue/yr at scale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Launch timing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Tier A — Optical centers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LensCrafters · Pearle Vision · Independent opticians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S3 Rx clip manufacture + fitting (primary) · Lens replacement (standard + EC) · Calibration (reference surface, app-guided)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4-hr initial · 1-hr annual online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$400–600 loaned calibration reference + $80–120 alignment jig (eliminated by sliding rail — jig becomes optional)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$8K–35K/yr at scale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>Year 1 — already engaged via S3 Rx program. Anchor of entire network.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Tier B — Electronics repair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uBreakiFix / Asurion · iFixit partners · Independent repair shops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Zone module FPC swap · Hub fan replacement · DFU firmware recovery · eMMC data recovery · Impact inspection · Fluxgate calibration (Helmholtz coil reference)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6-hr initial · 2-hr annual practical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>Existing ESD workstation + eMMC recovery adapter ($150–200) + NeurOne DFU software (downloaded)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$4K–18K/yr at scale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Year 2 — major metros first, expand with fleet. Becomes primary for electronic failures.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Tier C — Retail triage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Best Buy Geek Squad · Apple Authorized Service Providers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Warranty intake + triage · Routing to Tier A/B · Consumable sales · DFU if trained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2-hr initial · 30-min annual online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None — partner app access only. Consumable stock.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$1K–7K/yr (triage fee + consumable margin)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Year 1–2 broadly — legitimacy signal, geographic coverage, routing function.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>NeurOne Depot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Mail-in backstop for all cases local partners cannot handle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tasks. T2 same-day loaner. eMMC specialist recovery. Fluxgate precision calibration.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>Full NeurOne internal training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equipment in-house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Highest margin per task — backstop role not primary channel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Day 1 — required before any device ships.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7. Remaining Weaknesses + Open Risks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86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6"/>
                <w:szCs w:val="16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6"/>
                <w:szCs w:val="16"/>
              </w:rPr>
              <w:t xml:space="preserve">Issue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6"/>
                <w:szCs w:val="16"/>
              </w:rPr>
              <w:t xml:space="preserve">Current status + mitigation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7"/>
                <w:szCs w:val="17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Zero published clinical trials — 35-trial gap vs Vielight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>Every clinical adoption decision, press mention, and regulatory discussion will reference Vielight's 35+ RCTs against NeurOne's zero. SBIR Phase I + academic seeding strategy is correct but takes 2–3 years to produce published data. PRIORITY: Commission SBIR Phase I immediately. First contacts: Rashidi-Ranjbar (Toronto PBM MCI RCT), Jog (UCLA HD-tDCS), Naeser (VA Boston TBI/PTSD). The 33-entry bibliography supports 'consistent with established evidence on each component modality' framing at launch.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7"/>
                <w:szCs w:val="17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400 mW/cm² regulatory opinion not yet obtained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This number cannot appear in any public-facing material, investor deck, or product spec sheet until outside regulatory counsel confirms it is consistent with FDA-exempt wellness positioning and does not implicitly adopt Vielight's medical indications under FTC implied claim doctrine. Commission immediately: $8,000–15,000, 3–5 weeks. Until opinion is in hand, all materials must use '200 mW/cm²' or omit irradiance entirely.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7"/>
                <w:szCs w:val="17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>'NeurOne' is an uncleared placeholder name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Trademark search and clearance in US, EU, Canada, Australia required before any external conversation — researcher outreach, investor pitch, crowdfunding design, regulatory filing. Budget $15,000–25,000. If name conflicts, better to know now than after any public exposure.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4000"/>
                <w:sz w:val="17"/>
                <w:szCs w:val="17"/>
              </w:rPr>
              <w:t xml:space="preserve">MODERATE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Scientific Advisory Board not formed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Device markets multi-modal 40Hz neuromodulation without any SAB credentialing. Priority: Li-Huei Tsai (MIT, 40Hz GENUS founder) as SAB member — NOT trial PI (Cognito conflict). Contact: 617-324-0305. Glen Jeffery (UCL, retinal PBM) and Margaret Naeser (VA Boston) also natural SAB candidates. 5-person SAB: $50,000–80,000/yr. Must be announced before or concurrent with clinical researcher outreach.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4000"/>
                <w:sz w:val="17"/>
                <w:szCs w:val="17"/>
              </w:rPr>
              <w:t xml:space="preserve">MODERATE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Vulnerable population edge cases in research consent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>Depression/PTSD category patients who contribute data and later wish to withdraw may not understand that already-anonymized data cannot be removed from an ongoing study. Withdrawal flow must disclose at per-project consent: 'Once your anonymized data is included in a study, individual withdrawal is not possible — future contributions can always be stopped.' Required by research ethics (Common Rule) and must appear in consent document before IRB approval of any study using this platform.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4000"/>
                <w:sz w:val="17"/>
                <w:szCs w:val="17"/>
              </w:rPr>
              <w:t xml:space="preserve">MODERATE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45W GaN charger not universally available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Full therapeutic PBM requires 45W USB-C PD. Users with only a 5V/2A phone charger get EEG-only mode. Decision: include branded 45W GaN charger in Home Standard box ($8–12 BOM). App clearly communicates 'power level: full therapeutic' vs 'power level: reduced' at session start. Eliminates friction at first use.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STRUCTURAL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Fluxgate calibration still requires service center visit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Reference photodiode eliminates PBM calibration visits. NTC cross-calibration and ADS1299 self-cal eliminate temperature and EEG drift. But fluxgate sensitivity drift (scale factor) requires a Helmholtz test coil providing a known field magnitude — not achievable via geomagnetic comparison alone. Residual requirement: Tier B service center every 3–5 years. Mitigated by: geomagnetic comparison detecting when drift is severe enough to schedule, fleet SHDR trend prediction giving non-urgent lead time, 3–5 year interval being long enough for Tier B network to be well-established first.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STRUCTURAL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iOS/Android OS updates can disrupt app function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Annual major iOS/Android releases can break USB accessory APIs, background execution, or health APIs without warning. Committed mitigation: participate in Apple/Google developer beta programmes, 7-day OS compatibility SLA, autonomous Mode 3 operation (pre-programmed session from power bank) as structural fallback when app is temporarily broken. This cannot be fully designed away — it is a dependency on platform vendors.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8. Open Items + Completed Decisions</w:t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8.1 Pending decisions — action required before first tooling cut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Product name trademark search and clearance (US/EU/CA/AU) — before ANY external conversation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400 mW/cm² regulatory opinion letter — before any marketing material references irradiance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Li-Huei Tsai SAB outreach (617-324-0305) — SAB role only, not trial PI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LED emitter pulse current rating verification (660nm + 808–830nm candidates) — confirm 120–180mA continuous FPC rating before component commitment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Zone module FPC layout specification — 6mm pitch, lever-actuated ZIF, reference photodiode per zone, plasma-activated PDMS windows — must be in PCB layout before first cut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Hub tooling: intranasal probe dock + anchor posts for all interface covers + large-radius Boa cable channel + tool-free fan access (quarter-turn captive fastener) — all in hub tooling before first cut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>Shell tooling: anchor posts for zone slot covers (5 positions, color-coded) and accessory port covers (3 positions) — in headset shell tooling before first cut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Lens tooling: sliding rail mount geometry + N42 magnet positions (≥1mm polymer wall all faces) + AgNW coating spec + hard coat over AgNW + EC lens driver electrical contacts spec — before lens tooling cut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Goggle arm tooling: anchor hook for lens rim guard tether — before arm tooling cut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>Partner optician network engagement — contract for S3 Rx clip program before device ships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eMMC partition architecture + UHDR/SHDR separate encryption scheme — in firmware specification before first firmware is written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Dual-bank OTA bootloader — must be in bootloader from first firmware line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SBIR Phase I application — initiate immediately after company formation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First researcher contact: Rashidi-Ranjbar (neda.rashidi-ranjbar@unityhealth.to), then Jog (mjog@mednet.ucla.edu), then Naeser (mnaeser@bu.edu)</w:t>
      </w:r>
    </w:p>
    <w:p>
      <w:pPr>
        <w:spacing w:after="0" w:before="6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8.2 Completed decisions — locked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Two-tier product strategy (T1 consumer wellness / T2 clinical) with shared platform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600 LEDs (300×660nm + 300×808–830nm) FPC zone modules from launch — no Rev A/Rev B split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400 mW/cm² peak pulsed via firmware duty cycle (Path A, $0 hardware) — pending regulatory opinion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21-channel EEG: FC3, FC4, Oz, A1/A2 (on VNS clips) — full 10-20 + auricular references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STM32G071 safety MCU (not G031 — SRAM error corrected) — +$0.45 BOM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No NFC anywhere — optical code + resistive pogo authentication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USB-C wired-first default, BT/Wi-Fi toggle, antennas in hub not headset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Boa-style dial + spring-decoupled electrode pods — one adult SKU 52–62cm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5-layer passive EMF shielding + active Helmholtz cancellation + palladium fabric (permanent shielding claim)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Auricular VNS clip = HRV PPG + A1/A2 EEG references (2 spare conductors in existing 6-pin cable)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Standard lens (35% VLT, 108 micro-LEDs/lens, S1 included) + EC premium (+$89, 5–75% VLT) + S3 Rx clip (both lenses)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Internal processor retained ($85 BOM) — autonomous closed-loop is primary competitive moat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UHDR/SHDR terminology framework — complete separation, never linked by design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Clinical consent engine: use case library → minimum necessary data mapper → consent document generator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Research partnership: a priori consent (contact/category/blanket), results opt-in, suggestion portal, crowdfunding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POA workflow with human document review, jurisdiction flagging, annual re-verification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Service network: Tier A optical (primary) + Tier B electronics + Tier C retail + depot backstop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All interface protection covers tethered to headset, anchor posts in tooling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Predictive maintenance: SHDR fleet database → fleet-trained RUL model → deployed back to devices via OTA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Design brief Revision 1, Revision 2, bibliography (33 entries), researcher candidates (12), and this Revision 3 generated as Word documents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C0000"/>
      </w:rPr>
      <w:t>SUPERSEDED — Superseded by neurone_design_brief_r5.docx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CC0000"/>
      </w:rPr>
      <w:t>SUPERSEDED — Superseded by neurone_design_brief_r5.docx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9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2026-05-04T22:49:06.010Z</dcterms:created>
  <dcterms:modified xsi:type="dcterms:W3CDTF">2026-05-04T22:49:06.017Z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