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jc w:val="center"/>
      </w:pPr>
      <w:r>
        <w:rPr>
          <w:b/>
          <w:color w:val="003366"/>
          <w:sz w:val="22"/>
        </w:rPr>
        <w:t>NeurOne</w:t>
      </w:r>
    </w:p>
    <w:p>
      <w:pPr>
        <w:jc w:val="center"/>
      </w:pPr>
      <w:r>
        <w:rPr>
          <w:b/>
          <w:color w:val="003366"/>
          <w:sz w:val="32"/>
        </w:rPr>
        <w:t>Zone Module FPC — Risk Register and Problem Analysis</w:t>
      </w:r>
    </w:p>
    <w:p>
      <w:pPr>
        <w:jc w:val="center"/>
      </w:pPr>
      <w:r>
        <w:rPr>
          <w:sz w:val="20"/>
        </w:rPr>
        <w:t>Companion to NP-HW-FPC-001 Rev A  |  2026-05-06  |  Pre-Tooling Draft</w:t>
      </w:r>
    </w:p>
    <w:p>
      <w:pPr>
        <w:jc w:val="center"/>
      </w:pPr>
      <w:r>
        <w:rPr>
          <w:b/>
          <w:color w:val="CC0000"/>
          <w:sz w:val="21"/>
        </w:rPr>
        <w:t>25 risks identified  |  3 CRITICAL  |  9 HIGH  |  9 MEDIUM  |  3 LOW  |  23 MITIGATED  |  2 OPEN (RISK-03, RISK-20)</w:t>
        <w:br/>
        <w:t>All CRITICAL and HIGH items must be resolved before FPC layout release.</w:t>
        <w:br/>
        <w:t>RISK-18 to RISK-25: newly introduced by mitigations — see detailed sections.</w:t>
      </w:r>
    </w:p>
    <w:p>
      <w:r>
        <w:br w:type="page"/>
      </w:r>
    </w:p>
    <w:p>
      <w:pPr>
        <w:spacing w:before="240"/>
      </w:pPr>
      <w:r>
        <w:rPr>
          <w:b/>
          <w:color w:val="003366"/>
          <w:sz w:val="26"/>
        </w:rPr>
        <w:t>RISK REGISTER — SUMMARY TABLE</w:t>
      </w:r>
    </w:p>
    <w:tbl>
      <w:tblPr>
        <w:tblStyle w:val="TableGrid"/>
        <w:tblW w:type="auto" w:w="0"/>
        <w:tblLook w:firstColumn="1" w:firstRow="1" w:lastColumn="0" w:lastRow="0" w:noHBand="0" w:noVBand="1" w:val="04A0"/>
      </w:tblPr>
      <w:tblGrid>
        <w:gridCol w:w="1072"/>
        <w:gridCol w:w="1072"/>
        <w:gridCol w:w="1072"/>
        <w:gridCol w:w="1072"/>
        <w:gridCol w:w="1072"/>
        <w:gridCol w:w="1072"/>
        <w:gridCol w:w="1072"/>
        <w:gridCol w:w="1072"/>
        <w:gridCol w:w="1072"/>
      </w:tblGrid>
      <w:tr>
        <w:tc>
          <w:tcPr>
            <w:tcW w:type="dxa" w:w="720"/>
            <w:shd w:val="clear" w:color="auto" w:fill="003366"/>
          </w:tcPr>
          <w:p>
            <w:pPr>
              <w:spacing w:after="0"/>
            </w:pPr>
            <w:r>
              <w:rPr>
                <w:b/>
                <w:color w:val="FFFFFF"/>
                <w:sz w:val="17"/>
              </w:rPr>
              <w:t>ID</w:t>
            </w:r>
          </w:p>
        </w:tc>
        <w:tc>
          <w:tcPr>
            <w:tcW w:type="dxa" w:w="1008"/>
            <w:shd w:val="clear" w:color="auto" w:fill="003366"/>
          </w:tcPr>
          <w:p>
            <w:pPr>
              <w:spacing w:after="0"/>
            </w:pPr>
            <w:r>
              <w:rPr>
                <w:b/>
                <w:color w:val="FFFFFF"/>
                <w:sz w:val="17"/>
              </w:rPr>
              <w:t>Severity</w:t>
            </w:r>
          </w:p>
        </w:tc>
        <w:tc>
          <w:tcPr>
            <w:tcW w:type="dxa" w:w="1872"/>
            <w:shd w:val="clear" w:color="auto" w:fill="003366"/>
          </w:tcPr>
          <w:p>
            <w:pPr>
              <w:spacing w:after="0"/>
            </w:pPr>
            <w:r>
              <w:rPr>
                <w:b/>
                <w:color w:val="FFFFFF"/>
                <w:sz w:val="17"/>
              </w:rPr>
              <w:t>Risk Title</w:t>
            </w:r>
          </w:p>
        </w:tc>
        <w:tc>
          <w:tcPr>
            <w:tcW w:type="dxa" w:w="2160"/>
            <w:shd w:val="clear" w:color="auto" w:fill="003366"/>
          </w:tcPr>
          <w:p>
            <w:pPr>
              <w:spacing w:after="0"/>
            </w:pPr>
            <w:r>
              <w:rPr>
                <w:b/>
                <w:color w:val="FFFFFF"/>
                <w:sz w:val="17"/>
              </w:rPr>
              <w:t>Root Cause</w:t>
            </w:r>
          </w:p>
        </w:tc>
        <w:tc>
          <w:tcPr>
            <w:tcW w:type="dxa" w:w="2160"/>
            <w:shd w:val="clear" w:color="auto" w:fill="003366"/>
          </w:tcPr>
          <w:p>
            <w:pPr>
              <w:spacing w:after="0"/>
            </w:pPr>
            <w:r>
              <w:rPr>
                <w:b/>
                <w:color w:val="FFFFFF"/>
                <w:sz w:val="17"/>
              </w:rPr>
              <w:t>Impact if Unmitigated</w:t>
            </w:r>
          </w:p>
        </w:tc>
        <w:tc>
          <w:tcPr>
            <w:tcW w:type="dxa" w:w="2448"/>
            <w:shd w:val="clear" w:color="auto" w:fill="003366"/>
          </w:tcPr>
          <w:p>
            <w:pPr>
              <w:spacing w:after="0"/>
            </w:pPr>
            <w:r>
              <w:rPr>
                <w:b/>
                <w:color w:val="FFFFFF"/>
                <w:sz w:val="17"/>
              </w:rPr>
              <w:t>Required Mitigation</w:t>
            </w:r>
          </w:p>
        </w:tc>
        <w:tc>
          <w:tcPr>
            <w:tcW w:type="dxa" w:w="1008"/>
            <w:shd w:val="clear" w:color="auto" w:fill="003366"/>
          </w:tcPr>
          <w:p>
            <w:pPr>
              <w:spacing w:after="0"/>
            </w:pPr>
            <w:r>
              <w:rPr>
                <w:b/>
                <w:color w:val="FFFFFF"/>
                <w:sz w:val="17"/>
              </w:rPr>
              <w:t>Owner</w:t>
            </w:r>
          </w:p>
        </w:tc>
        <w:tc>
          <w:tcPr>
            <w:tcW w:type="dxa" w:w="720"/>
            <w:shd w:val="clear" w:color="auto" w:fill="003366"/>
          </w:tcPr>
          <w:p>
            <w:pPr>
              <w:spacing w:after="0"/>
            </w:pPr>
            <w:r>
              <w:rPr>
                <w:b/>
                <w:color w:val="FFFFFF"/>
                <w:sz w:val="17"/>
              </w:rPr>
              <w:t>Spec §</w:t>
            </w:r>
          </w:p>
        </w:tc>
        <w:tc>
          <w:tcPr>
            <w:tcW w:type="dxa" w:w="864"/>
            <w:shd w:val="clear" w:color="auto" w:fill="003366"/>
          </w:tcPr>
          <w:p>
            <w:pPr>
              <w:spacing w:after="0"/>
            </w:pPr>
            <w:r>
              <w:rPr>
                <w:b/>
                <w:color w:val="FFFFFF"/>
                <w:sz w:val="17"/>
              </w:rPr>
              <w:t>Status</w:t>
            </w:r>
          </w:p>
        </w:tc>
      </w:tr>
      <w:tr>
        <w:tc>
          <w:tcPr>
            <w:tcW w:type="dxa" w:w="720"/>
          </w:tcPr>
          <w:p>
            <w:pPr>
              <w:spacing w:after="0"/>
            </w:pPr>
            <w:r>
              <w:rPr>
                <w:sz w:val="17"/>
              </w:rPr>
              <w:t>RISK-01</w:t>
            </w:r>
          </w:p>
        </w:tc>
        <w:tc>
          <w:tcPr>
            <w:tcW w:type="dxa" w:w="1008"/>
            <w:shd w:val="clear" w:color="auto" w:fill="FF4444"/>
            <w:shd w:val="clear" w:color="auto" w:fill="66BB66"/>
          </w:tcPr>
          <w:p>
            <w:pPr>
              <w:spacing w:after="0"/>
            </w:pPr>
            <w:r>
              <w:rPr>
                <w:b/>
                <w:sz w:val="17"/>
              </w:rPr>
              <w:t>CRITICAL</w:t>
              <w:br/>
              <w:t>(MITIGATED)</w:t>
            </w:r>
          </w:p>
        </w:tc>
        <w:tc>
          <w:tcPr>
            <w:tcW w:type="dxa" w:w="1872"/>
          </w:tcPr>
          <w:p>
            <w:pPr>
              <w:spacing w:after="0"/>
            </w:pPr>
            <w:r>
              <w:rPr>
                <w:sz w:val="17"/>
              </w:rPr>
              <w:t>Molex SlimStack is wrong connector family</w:t>
            </w:r>
          </w:p>
        </w:tc>
        <w:tc>
          <w:tcPr>
            <w:tcW w:type="dxa" w:w="2160"/>
          </w:tcPr>
          <w:p>
            <w:pPr>
              <w:spacing w:after="0"/>
            </w:pPr>
            <w:r>
              <w:rPr>
                <w:sz w:val="17"/>
              </w:rPr>
              <w:t>CLAUDE.md specifies "Molex SlimStack" for zone module FPC connectors. SlimStack is a board-to-board (BTB) stacking connector, not an FPC ZIF. Standard Molex ZIF FPC connectors (52610, 52745, 52892) are rated 20–30 insertion cycles only.</w:t>
            </w:r>
          </w:p>
        </w:tc>
        <w:tc>
          <w:tcPr>
            <w:tcW w:type="dxa" w:w="2160"/>
          </w:tcPr>
          <w:p>
            <w:pPr>
              <w:spacing w:after="0"/>
            </w:pPr>
            <w:r>
              <w:rPr>
                <w:sz w:val="17"/>
              </w:rPr>
              <w:t>Connector incompatible with FPC tail. If 20–30-cycle Molex ZIF is used, connector fails within first year of user field replacements. Design cannot meet 1,000-cycle requirement with any Molex ZIF FPC product confirmed in product catalog.</w:t>
            </w:r>
          </w:p>
        </w:tc>
        <w:tc>
          <w:tcPr>
            <w:tcW w:type="dxa" w:w="2448"/>
          </w:tcPr>
          <w:p>
            <w:pPr>
              <w:spacing w:after="0"/>
            </w:pPr>
            <w:r>
              <w:rPr>
                <w:b w:val="0"/>
                <w:sz w:val="17"/>
              </w:rPr>
              <w:t>MITIGATED: Connector spec updated to Hirose FH34S-20S-0.5SH(50) (0.5 mm pitch, back-flip lever ZIF, ≥1,000 cycles) as primary; JAE FF03 as backup. Molex SlimStack removed from all specs and CLAUDE.md. Remaining action: confirm ≥1,000-cycle rating from full FH34S datasheet before BOM lock.</w:t>
            </w:r>
          </w:p>
        </w:tc>
        <w:tc>
          <w:tcPr>
            <w:tcW w:type="dxa" w:w="1008"/>
          </w:tcPr>
          <w:p>
            <w:pPr>
              <w:spacing w:after="0"/>
            </w:pPr>
            <w:r>
              <w:rPr>
                <w:sz w:val="17"/>
              </w:rPr>
              <w:t>HW EE Lead</w:t>
            </w:r>
          </w:p>
        </w:tc>
        <w:tc>
          <w:tcPr>
            <w:tcW w:type="dxa" w:w="720"/>
          </w:tcPr>
          <w:p>
            <w:pPr>
              <w:spacing w:after="0"/>
            </w:pPr>
            <w:r>
              <w:rPr>
                <w:sz w:val="17"/>
              </w:rPr>
              <w:t>§5</w:t>
            </w:r>
          </w:p>
        </w:tc>
        <w:tc>
          <w:tcPr>
            <w:tcW w:type="dxa" w:w="864"/>
          </w:tcPr>
          <w:p>
            <w:pPr>
              <w:spacing w:after="0"/>
            </w:pPr>
            <w:r>
              <w:rPr>
                <w:b w:val="0"/>
                <w:sz w:val="17"/>
              </w:rPr>
              <w:t>MITIGATED — confirm cycle rating from FH34S datasheet</w:t>
            </w:r>
          </w:p>
        </w:tc>
      </w:tr>
      <w:tr>
        <w:tc>
          <w:tcPr>
            <w:tcW w:type="dxa" w:w="720"/>
          </w:tcPr>
          <w:p>
            <w:pPr>
              <w:spacing w:after="0"/>
            </w:pPr>
            <w:r>
              <w:rPr>
                <w:sz w:val="17"/>
              </w:rPr>
              <w:t>RISK-02</w:t>
            </w:r>
          </w:p>
        </w:tc>
        <w:tc>
          <w:tcPr>
            <w:tcW w:type="dxa" w:w="1008"/>
            <w:shd w:val="clear" w:color="auto" w:fill="FF4444"/>
            <w:shd w:val="clear" w:color="auto" w:fill="66BB66"/>
          </w:tcPr>
          <w:p>
            <w:pPr>
              <w:spacing w:after="0"/>
            </w:pPr>
            <w:r>
              <w:rPr>
                <w:b/>
                <w:sz w:val="17"/>
              </w:rPr>
              <w:t>HIGH</w:t>
              <w:br/>
              <w:t>(MITIGATED)</w:t>
            </w:r>
          </w:p>
        </w:tc>
        <w:tc>
          <w:tcPr>
            <w:tcW w:type="dxa" w:w="1872"/>
          </w:tcPr>
          <w:p>
            <w:pPr>
              <w:spacing w:after="0"/>
            </w:pPr>
            <w:r>
              <w:rPr>
                <w:sz w:val="17"/>
              </w:rPr>
              <w:t>FPC power trace current capacity severely underspecified</w:t>
            </w:r>
          </w:p>
        </w:tc>
        <w:tc>
          <w:tcPr>
            <w:tcW w:type="dxa" w:w="2160"/>
          </w:tcPr>
          <w:p>
            <w:pPr>
              <w:spacing w:after="0"/>
            </w:pPr>
            <w:r>
              <w:rPr>
                <w:sz w:val="17"/>
              </w:rPr>
              <w:t>10 strings × 180 mA = 1.8 A peak per wavelength per zone. Two wavelengths simultaneous = 3.6 A peak per zone. Standard FPC layout practice for signal routing produces traces far too narrow for these currents. IPC-2223 derated for FPC, 1 oz RA copper, 10°C rise: 3.6 A DC requires ~4 mm trace; 3.6 A pulsed 25% duty (1.8 A RMS) requires ~2 mm trace.</w:t>
            </w:r>
          </w:p>
        </w:tc>
        <w:tc>
          <w:tcPr>
            <w:tcW w:type="dxa" w:w="2160"/>
          </w:tcPr>
          <w:p>
            <w:pPr>
              <w:spacing w:after="0"/>
            </w:pPr>
            <w:r>
              <w:rPr>
                <w:sz w:val="17"/>
              </w:rPr>
              <w:t>Undersized traces cause localized heating, accelerated copper fatigue, potential open-circuit failure or fire risk in worst case. Also violates IEC 60601-1 general safety.</w:t>
            </w:r>
          </w:p>
        </w:tc>
        <w:tc>
          <w:tcPr>
            <w:tcW w:type="dxa" w:w="2448"/>
          </w:tcPr>
          <w:p>
            <w:pPr>
              <w:spacing w:after="0"/>
            </w:pPr>
            <w:r>
              <w:rPr>
                <w:b w:val="0"/>
                <w:sz w:val="17"/>
              </w:rPr>
              <w:t>MITIGATED IN SPEC Rev B: Zone FPC power bus ≥ 2.0 mm per rail (or copper pour). Hub PCB combined bus ≥ 4.0 mm. Fab note 12 added to drawing. Dual 25% duty cycle firmware enforcement now also a connector current-rating constraint.</w:t>
            </w:r>
          </w:p>
        </w:tc>
        <w:tc>
          <w:tcPr>
            <w:tcW w:type="dxa" w:w="1008"/>
          </w:tcPr>
          <w:p>
            <w:pPr>
              <w:spacing w:after="0"/>
            </w:pPr>
            <w:r>
              <w:rPr>
                <w:sz w:val="17"/>
              </w:rPr>
              <w:t>HW EE Lead</w:t>
            </w:r>
          </w:p>
        </w:tc>
        <w:tc>
          <w:tcPr>
            <w:tcW w:type="dxa" w:w="720"/>
          </w:tcPr>
          <w:p>
            <w:pPr>
              <w:spacing w:after="0"/>
            </w:pPr>
            <w:r>
              <w:rPr>
                <w:sz w:val="17"/>
              </w:rPr>
              <w:t>§10</w:t>
            </w:r>
          </w:p>
        </w:tc>
        <w:tc>
          <w:tcPr>
            <w:tcW w:type="dxa" w:w="864"/>
          </w:tcPr>
          <w:p>
            <w:pPr>
              <w:spacing w:after="0"/>
            </w:pPr>
            <w:r>
              <w:rPr>
                <w:b w:val="0"/>
                <w:sz w:val="17"/>
              </w:rPr>
              <w:t>MITIGATED — verify in layout DRC</w:t>
            </w:r>
          </w:p>
        </w:tc>
      </w:tr>
      <w:tr>
        <w:tc>
          <w:tcPr>
            <w:tcW w:type="dxa" w:w="720"/>
          </w:tcPr>
          <w:p>
            <w:pPr>
              <w:spacing w:after="0"/>
            </w:pPr>
            <w:r>
              <w:rPr>
                <w:sz w:val="17"/>
              </w:rPr>
              <w:t>RISK-03</w:t>
            </w:r>
          </w:p>
        </w:tc>
        <w:tc>
          <w:tcPr>
            <w:tcW w:type="dxa" w:w="1008"/>
            <w:shd w:val="clear" w:color="auto" w:fill="FF4444"/>
            <w:shd w:val="clear" w:color="auto" w:fill="FF9900"/>
          </w:tcPr>
          <w:p>
            <w:pPr>
              <w:spacing w:after="0"/>
            </w:pPr>
            <w:r>
              <w:rPr>
                <w:b/>
                <w:sz w:val="17"/>
              </w:rPr>
              <w:t>HIGH</w:t>
              <w:br/>
              <w:t>(hardware resilient;</w:t>
              <w:br/>
              <w:t>external pending)</w:t>
            </w:r>
          </w:p>
        </w:tc>
        <w:tc>
          <w:tcPr>
            <w:tcW w:type="dxa" w:w="1872"/>
          </w:tcPr>
          <w:p>
            <w:pPr>
              <w:spacing w:after="0"/>
            </w:pPr>
            <w:r>
              <w:rPr>
                <w:sz w:val="17"/>
              </w:rPr>
              <w:t>LED peak irradiance spec (400 mW/cm²) pending regulatory opinion — blocks driver current finalisation</w:t>
            </w:r>
          </w:p>
        </w:tc>
        <w:tc>
          <w:tcPr>
            <w:tcW w:type="dxa" w:w="2160"/>
          </w:tcPr>
          <w:p>
            <w:pPr>
              <w:spacing w:after="0"/>
            </w:pPr>
            <w:r>
              <w:rPr>
                <w:sz w:val="17"/>
              </w:rPr>
              <w:t>CLAUDE.md §13.1: "400 mW/cm² regulatory opinion not obtained — cannot appear in ANY public material until cleared." The LED forward current setting (120–180 mA) is the primary determinant of irradiance. Driver IC RSET values cannot be finalised without knowing the approved irradiance ceiling.</w:t>
            </w:r>
          </w:p>
        </w:tc>
        <w:tc>
          <w:tcPr>
            <w:tcW w:type="dxa" w:w="2160"/>
          </w:tcPr>
          <w:p>
            <w:pPr>
              <w:spacing w:after="0"/>
            </w:pPr>
            <w:r>
              <w:rPr>
                <w:b w:val="0"/>
                <w:sz w:val="17"/>
              </w:rPr>
              <w:t>RSET value selection deferred until opinion received. All other hardware decisions (FPC layout, connectors, thermal, connector current rating) are fully independent of approved irradiance level. Business/competitive impact possible if approved ceiling is significantly below 400 mW/cm².</w:t>
            </w:r>
          </w:p>
        </w:tc>
        <w:tc>
          <w:tcPr>
            <w:tcW w:type="dxa" w:w="2448"/>
          </w:tcPr>
          <w:p>
            <w:pPr>
              <w:spacing w:after="0"/>
            </w:pPr>
            <w:r>
              <w:rPr>
                <w:b w:val="0"/>
                <w:sz w:val="17"/>
              </w:rPr>
              <w:t>Hardware already covers all outcomes: FPC spec sized for 180 mA / 25% DC (worst case); any lower approved current makes every electrical spec easier. RSET R-ladder topology added in Rev B (two 0402 in series + one parallel): covers 50–180 mA per string with resistor swap, no PCB respin. Remaining: commission regulatory counsel; finalise RSET values post-opinion.</w:t>
            </w:r>
          </w:p>
        </w:tc>
        <w:tc>
          <w:tcPr>
            <w:tcW w:type="dxa" w:w="1008"/>
          </w:tcPr>
          <w:p>
            <w:pPr>
              <w:spacing w:after="0"/>
            </w:pPr>
            <w:r>
              <w:rPr>
                <w:sz w:val="17"/>
              </w:rPr>
              <w:t>CEO / Regulatory Counsel</w:t>
            </w:r>
          </w:p>
        </w:tc>
        <w:tc>
          <w:tcPr>
            <w:tcW w:type="dxa" w:w="720"/>
          </w:tcPr>
          <w:p>
            <w:pPr>
              <w:spacing w:after="0"/>
            </w:pPr>
            <w:r>
              <w:rPr>
                <w:sz w:val="17"/>
              </w:rPr>
              <w:t>§4.4</w:t>
            </w:r>
          </w:p>
        </w:tc>
        <w:tc>
          <w:tcPr>
            <w:tcW w:type="dxa" w:w="864"/>
          </w:tcPr>
          <w:p>
            <w:pPr>
              <w:spacing w:after="0"/>
            </w:pPr>
            <w:r>
              <w:rPr>
                <w:b w:val="0"/>
                <w:sz w:val="17"/>
              </w:rPr>
              <w:t>OPEN — external action (regulatory counsel). Hardware no longer blocked. RSET value TBD post-opinion.</w:t>
            </w:r>
          </w:p>
        </w:tc>
      </w:tr>
      <w:tr>
        <w:tc>
          <w:tcPr>
            <w:tcW w:type="dxa" w:w="720"/>
          </w:tcPr>
          <w:p>
            <w:pPr>
              <w:spacing w:after="0"/>
            </w:pPr>
            <w:r>
              <w:rPr>
                <w:sz w:val="17"/>
              </w:rPr>
              <w:t>RISK-04</w:t>
            </w:r>
          </w:p>
        </w:tc>
        <w:tc>
          <w:tcPr>
            <w:tcW w:type="dxa" w:w="1008"/>
            <w:shd w:val="clear" w:color="auto" w:fill="FF9900"/>
            <w:shd w:val="clear" w:color="auto" w:fill="E2EFDA"/>
          </w:tcPr>
          <w:p>
            <w:pPr>
              <w:spacing w:after="0"/>
            </w:pPr>
            <w:r>
              <w:rPr>
                <w:b/>
                <w:sz w:val="17"/>
              </w:rPr>
            </w:r>
            <w:r>
              <w:rPr>
                <w:b/>
                <w:color w:val="007000"/>
                <w:sz w:val="16"/>
              </w:rPr>
              <w:t>HIGH</w:t>
              <w:br/>
              <w:t>(MITIGATED)</w:t>
            </w:r>
          </w:p>
        </w:tc>
        <w:tc>
          <w:tcPr>
            <w:tcW w:type="dxa" w:w="1872"/>
          </w:tcPr>
          <w:p>
            <w:pPr>
              <w:spacing w:after="0"/>
            </w:pPr>
            <w:r>
              <w:rPr>
                <w:sz w:val="17"/>
              </w:rPr>
              <w:t>PDMS–polyimide CTE mismatch causes thermal cycling delamination</w:t>
            </w:r>
          </w:p>
        </w:tc>
        <w:tc>
          <w:tcPr>
            <w:tcW w:type="dxa" w:w="2160"/>
          </w:tcPr>
          <w:p>
            <w:pPr>
              <w:spacing w:after="0"/>
            </w:pPr>
            <w:r>
              <w:rPr>
                <w:sz w:val="17"/>
              </w:rPr>
              <w:t>PDMS CTE ~300 ppm/°C vs. polyimide ~18 ppm/°C — a 15:1 mismatch. At 40°C thermal excursion (22°C ambient to 62°C junction), differential strain ≈ 1.1% per cycle. Over 1,800+ thermal cycles (device lifetime), cumulative fatigue at bond interface is significant. Simple O₂ plasma bonding achieves only 7–12 N/m peel force — insufficient.</w:t>
            </w:r>
          </w:p>
        </w:tc>
        <w:tc>
          <w:tcPr>
            <w:tcW w:type="dxa" w:w="2160"/>
          </w:tcPr>
          <w:p>
            <w:pPr>
              <w:spacing w:after="0"/>
            </w:pPr>
            <w:r>
              <w:rPr>
                <w:sz w:val="17"/>
              </w:rPr>
              <w:t>PDMS window delamination mid-lifecycle. Once delaminated: (1) dose-metering fails (photodiode measures air gap, not tissue dose); (2) optical window fouling protection is lost; (3) LED surface is exposed to sebum/sweat, accelerating degradation. Field repair requires zone module replacement.</w:t>
            </w:r>
          </w:p>
        </w:tc>
        <w:tc>
          <w:tcPr>
            <w:tcW w:type="dxa" w:w="2448"/>
          </w:tcPr>
          <w:p>
            <w:pPr>
              <w:spacing w:after="0"/>
            </w:pPr>
            <w:r>
              <w:rPr>
                <w:sz w:val="17"/>
              </w:rPr>
            </w:r>
            <w:r>
              <w:rPr>
                <w:b w:val="0"/>
                <w:sz w:val="16"/>
              </w:rPr>
              <w:t>Three-tier mitigation: (1) Process — SiO₂ interlayer (75 nm RF magnetron sputter) on PI surface before O₂ plasma activation raises peel force from 7–12 N/m to 174–860 N/m per literature. Specified in NP-HW-FPC-001 §9.2. (2) Production screening — FAI-M02 peel test ≥ 150 N/m per batch; FAI-M03 5-cycle accelerated screen per batch. (3) Process qualification (BLOCKING) — IEC 60068-2-14, 200 cycles −10°C to +65°C on 10 coupons before any production starts. Post-cycle peel ≥ 150 N/m required (FAI-TC02/03). Signed qualification report NP-QR-PDMS-001 must be on file. CAT-C supplier qualification per NP-PROC-SUP-001 SUP-C-08.</w:t>
            </w:r>
          </w:p>
        </w:tc>
        <w:tc>
          <w:tcPr>
            <w:tcW w:type="dxa" w:w="1008"/>
          </w:tcPr>
          <w:p>
            <w:pPr>
              <w:spacing w:after="0"/>
            </w:pPr>
            <w:r>
              <w:rPr>
                <w:sz w:val="17"/>
              </w:rPr>
              <w:t>HW EE / Manufacturing Eng</w:t>
            </w:r>
          </w:p>
        </w:tc>
        <w:tc>
          <w:tcPr>
            <w:tcW w:type="dxa" w:w="720"/>
          </w:tcPr>
          <w:p>
            <w:pPr>
              <w:spacing w:after="0"/>
            </w:pPr>
            <w:r>
              <w:rPr>
                <w:sz w:val="17"/>
              </w:rPr>
            </w:r>
            <w:r>
              <w:rPr>
                <w:b w:val="0"/>
                <w:sz w:val="16"/>
              </w:rPr>
            </w:r>
            <w:r>
              <w:rPr>
                <w:b w:val="0"/>
                <w:sz w:val="16"/>
              </w:rPr>
              <w:t>NP-HW-FPC-001 §9.2–9.3</w:t>
              <w:br/>
              <w:t>NP-FAI-ZM-001 §3d, §3e</w:t>
              <w:br/>
              <w:t>NP-PROC-SUP-001 SUP-C-04, SUP-C-08</w:t>
              <w:br/>
              <w:t>NP-COORD-001 G1-14</w:t>
            </w:r>
          </w:p>
        </w:tc>
        <w:tc>
          <w:tcPr>
            <w:tcW w:type="dxa" w:w="864"/>
            <w:shd w:val="clear" w:color="auto" w:fill="92D050"/>
          </w:tcPr>
          <w:p>
            <w:pPr>
              <w:spacing w:after="0"/>
            </w:pPr>
            <w:r>
              <w:rPr>
                <w:sz w:val="17"/>
              </w:rPr>
            </w:r>
            <w:r>
              <w:rPr>
                <w:b/>
                <w:color w:val="007000"/>
                <w:sz w:val="16"/>
              </w:rPr>
              <w:t>MITIGATED — SiO₂ process specified; 200-cycle IEC 60068-2-14 qualification required (BLOCKING) before production; NP-FAI-ZM-001 §3e FAI-TC01–TC06 added</w:t>
            </w:r>
          </w:p>
        </w:tc>
      </w:tr>
      <w:tr>
        <w:tc>
          <w:tcPr>
            <w:tcW w:type="dxa" w:w="720"/>
          </w:tcPr>
          <w:p>
            <w:pPr>
              <w:spacing w:after="0"/>
            </w:pPr>
            <w:r>
              <w:rPr>
                <w:sz w:val="17"/>
              </w:rPr>
              <w:t>RISK-05</w:t>
            </w:r>
          </w:p>
        </w:tc>
        <w:tc>
          <w:tcPr>
            <w:tcW w:type="dxa" w:w="1008"/>
            <w:shd w:val="clear" w:color="auto" w:fill="FF9900"/>
            <w:shd w:val="clear" w:color="auto" w:fill="66BB66"/>
          </w:tcPr>
          <w:p>
            <w:pPr>
              <w:spacing w:after="0"/>
            </w:pPr>
            <w:r>
              <w:rPr>
                <w:b/>
                <w:sz w:val="17"/>
              </w:rPr>
              <w:t>HIGH</w:t>
              <w:br/>
              <w:t>(MITIGATED)</w:t>
            </w:r>
          </w:p>
        </w:tc>
        <w:tc>
          <w:tcPr>
            <w:tcW w:type="dxa" w:w="1872"/>
          </w:tcPr>
          <w:p>
            <w:pPr>
              <w:spacing w:after="0"/>
            </w:pPr>
            <w:r>
              <w:rPr>
                <w:sz w:val="17"/>
              </w:rPr>
              <w:t>LED parallel-string current hogging without per-string CCC</w:t>
            </w:r>
          </w:p>
        </w:tc>
        <w:tc>
          <w:tcPr>
            <w:tcW w:type="dxa" w:w="2160"/>
          </w:tcPr>
          <w:p>
            <w:pPr>
              <w:spacing w:after="0"/>
            </w:pPr>
            <w:r>
              <w:rPr>
                <w:sz w:val="17"/>
              </w:rPr>
              <w:t>Connecting multiple LED strings in parallel to a single constant-current source causes current hogging due to Vf mismatch. Even within the same part number and bin, Vf can vary ±50–100 mV between strings. The lower-Vf string carries disproportionately high current; the higher-Vf string is underdriven.</w:t>
            </w:r>
          </w:p>
        </w:tc>
        <w:tc>
          <w:tcPr>
            <w:tcW w:type="dxa" w:w="2160"/>
          </w:tcPr>
          <w:p>
            <w:pPr>
              <w:spacing w:after="0"/>
            </w:pPr>
            <w:r>
              <w:rPr>
                <w:sz w:val="17"/>
              </w:rPr>
              <w:t>Overdriven strings reach thermal runaway — LED failure and potential FPC damage. Underdriven strings deliver sub-therapeutic dose. Dose metering becomes unreliable. Safety MCU NTC may not detect localized LED hotspot if NTC is at zone center and failing LEDs are at periphery.</w:t>
            </w:r>
          </w:p>
        </w:tc>
        <w:tc>
          <w:tcPr>
            <w:tcW w:type="dxa" w:w="2448"/>
          </w:tcPr>
          <w:p>
            <w:pPr>
              <w:spacing w:after="0"/>
            </w:pPr>
            <w:r>
              <w:rPr>
                <w:b w:val="0"/>
                <w:sz w:val="17"/>
              </w:rPr>
              <w:t>MITIGATED in spec §6: Infineon BCR421W (350 mA, SOT-323) specified as mandatory per-string constant-current driver — one per string, 20 per zone module. Linear (not switching) — no EEG noise injection. ENABLE line gates all 20 drivers simultaneously via safety MCU. Remaining actions: (1) add BCR421W to BOM before layout; (2) verify RSET temperature coefficient across −20 to +65°C operating range against BCR421W datasheet Iadj curve; (3) decide per-string current-sense feedback to Hub MCU (signal pin budget vs. real-time string-failure detection capability).</w:t>
            </w:r>
          </w:p>
        </w:tc>
        <w:tc>
          <w:tcPr>
            <w:tcW w:type="dxa" w:w="1008"/>
          </w:tcPr>
          <w:p>
            <w:pPr>
              <w:spacing w:after="0"/>
            </w:pPr>
            <w:r>
              <w:rPr>
                <w:sz w:val="17"/>
              </w:rPr>
              <w:t>HW EE Lead</w:t>
            </w:r>
          </w:p>
        </w:tc>
        <w:tc>
          <w:tcPr>
            <w:tcW w:type="dxa" w:w="720"/>
          </w:tcPr>
          <w:p>
            <w:pPr>
              <w:spacing w:after="0"/>
            </w:pPr>
            <w:r>
              <w:rPr>
                <w:sz w:val="17"/>
              </w:rPr>
              <w:t>§6</w:t>
            </w:r>
          </w:p>
        </w:tc>
        <w:tc>
          <w:tcPr>
            <w:tcW w:type="dxa" w:w="864"/>
          </w:tcPr>
          <w:p>
            <w:pPr>
              <w:spacing w:after="0"/>
            </w:pPr>
            <w:r>
              <w:rPr>
                <w:b w:val="0"/>
                <w:sz w:val="17"/>
              </w:rPr>
              <w:t>MITIGATED — 3 actions remaining (see mitigation)</w:t>
            </w:r>
          </w:p>
        </w:tc>
      </w:tr>
      <w:tr>
        <w:tc>
          <w:tcPr>
            <w:tcW w:type="dxa" w:w="720"/>
          </w:tcPr>
          <w:p>
            <w:pPr>
              <w:spacing w:after="0"/>
            </w:pPr>
            <w:r>
              <w:rPr>
                <w:sz w:val="17"/>
              </w:rPr>
              <w:t>RISK-06</w:t>
            </w:r>
          </w:p>
        </w:tc>
        <w:tc>
          <w:tcPr>
            <w:tcW w:type="dxa" w:w="1008"/>
            <w:shd w:val="clear" w:color="auto" w:fill="FF9900"/>
            <w:shd w:val="clear" w:color="auto" w:fill="66BB66"/>
          </w:tcPr>
          <w:p>
            <w:pPr>
              <w:spacing w:after="0"/>
            </w:pPr>
            <w:r>
              <w:rPr>
                <w:b/>
                <w:sz w:val="17"/>
              </w:rPr>
              <w:t>HIGH</w:t>
              <w:br/>
              <w:t>(MITIGATED)</w:t>
            </w:r>
          </w:p>
        </w:tc>
        <w:tc>
          <w:tcPr>
            <w:tcW w:type="dxa" w:w="1872"/>
          </w:tcPr>
          <w:p>
            <w:pPr>
              <w:spacing w:after="0"/>
            </w:pPr>
            <w:r>
              <w:rPr>
                <w:sz w:val="17"/>
              </w:rPr>
              <w:t>Reference photodiode receives direct LED light — dose metering fails</w:t>
            </w:r>
          </w:p>
        </w:tc>
        <w:tc>
          <w:tcPr>
            <w:tcW w:type="dxa" w:w="2160"/>
          </w:tcPr>
          <w:p>
            <w:pPr>
              <w:spacing w:after="0"/>
            </w:pPr>
            <w:r>
              <w:rPr>
                <w:sz w:val="17"/>
              </w:rPr>
              <w:t>The reference photodiode is positioned behind the PDMS window. Without a physical baffle, direct LED light reaches the photodiode via internal reflections and edge coupling without passing through the full PDMS window thickness. The measurement then reflects LED output only, not transmitted dose — defeating the window fouling detection function.</w:t>
            </w:r>
          </w:p>
        </w:tc>
        <w:tc>
          <w:tcPr>
            <w:tcW w:type="dxa" w:w="2160"/>
          </w:tcPr>
          <w:p>
            <w:pPr>
              <w:spacing w:after="0"/>
            </w:pPr>
            <w:r>
              <w:rPr>
                <w:sz w:val="17"/>
              </w:rPr>
              <w:t>Dose metering claim is invalid. J/cm² values reported to user are incorrect. Window fouling goes undetected. This is a primary product differentiator — if the measurement is wrong, the competitive claim is fraudulent.</w:t>
            </w:r>
          </w:p>
        </w:tc>
        <w:tc>
          <w:tcPr>
            <w:tcW w:type="dxa" w:w="2448"/>
          </w:tcPr>
          <w:p>
            <w:pPr>
              <w:spacing w:after="0"/>
            </w:pPr>
            <w:r>
              <w:rPr>
                <w:b w:val="0"/>
                <w:sz w:val="17"/>
              </w:rPr>
              <w:t>MITIGATED in spec §8.2–8.3: Black molded POM/anodised Al baffle with 1.0 mm aperture and 2.0–3.0 mm height blocks all direct LED viewing angles. Silicone RTV bead seals baffle perimeter against edge-coupled stray light. Synchronous lock-in detection (LED-ON vs LED-OFF sampling) rejects ambient light regardless of seal quality. First-article validation test defined: cover all LEDs with opaque tape; verify photodiode reads &lt;1% of normal LED-on signal. Remaining actions: (1) baffle geometry must enter mechanical design before zone module tooling is cut — affects mold geometry; (2) evaluate ADPD174GGI (integrated optical isolation wall + synchronous AFE, 3.0×2.8 mm) as alternative to discrete baffle + external TIA — may be more reliable and lower-BOM; (3) first-article optical isolation test mandatory before production release.</w:t>
            </w:r>
          </w:p>
        </w:tc>
        <w:tc>
          <w:tcPr>
            <w:tcW w:type="dxa" w:w="1008"/>
          </w:tcPr>
          <w:p>
            <w:pPr>
              <w:spacing w:after="0"/>
            </w:pPr>
            <w:r>
              <w:rPr>
                <w:sz w:val="17"/>
              </w:rPr>
              <w:t>HW EE Lead / Optical Eng</w:t>
            </w:r>
          </w:p>
        </w:tc>
        <w:tc>
          <w:tcPr>
            <w:tcW w:type="dxa" w:w="720"/>
          </w:tcPr>
          <w:p>
            <w:pPr>
              <w:spacing w:after="0"/>
            </w:pPr>
            <w:r>
              <w:rPr>
                <w:sz w:val="17"/>
              </w:rPr>
              <w:t>§8</w:t>
            </w:r>
          </w:p>
        </w:tc>
        <w:tc>
          <w:tcPr>
            <w:tcW w:type="dxa" w:w="864"/>
          </w:tcPr>
          <w:p>
            <w:pPr>
              <w:spacing w:after="0"/>
            </w:pPr>
            <w:r>
              <w:rPr>
                <w:b w:val="0"/>
                <w:sz w:val="17"/>
              </w:rPr>
              <w:t>MITIGATED — 3 actions remaining (see mitigation)</w:t>
            </w:r>
          </w:p>
        </w:tc>
      </w:tr>
      <w:tr>
        <w:tc>
          <w:tcPr>
            <w:tcW w:type="dxa" w:w="720"/>
          </w:tcPr>
          <w:p>
            <w:pPr>
              <w:spacing w:after="0"/>
            </w:pPr>
            <w:r>
              <w:rPr>
                <w:sz w:val="17"/>
              </w:rPr>
              <w:t>RISK-07</w:t>
            </w:r>
          </w:p>
        </w:tc>
        <w:tc>
          <w:tcPr>
            <w:tcW w:type="dxa" w:w="1008"/>
            <w:shd w:val="clear" w:color="auto" w:fill="FF9900"/>
            <w:shd w:val="clear" w:color="auto" w:fill="66BB66"/>
          </w:tcPr>
          <w:p>
            <w:pPr>
              <w:spacing w:after="0"/>
            </w:pPr>
            <w:r>
              <w:rPr>
                <w:b/>
                <w:sz w:val="17"/>
              </w:rPr>
              <w:t>HIGH</w:t>
              <w:br/>
              <w:t>(MITIGATED)</w:t>
            </w:r>
          </w:p>
        </w:tc>
        <w:tc>
          <w:tcPr>
            <w:tcW w:type="dxa" w:w="1872"/>
          </w:tcPr>
          <w:p>
            <w:pPr>
              <w:spacing w:after="0"/>
            </w:pPr>
            <w:r>
              <w:rPr>
                <w:sz w:val="17"/>
              </w:rPr>
              <w:t>BCR421U current rating (150 mA max) insufficient for 180 mA operation</w:t>
            </w:r>
          </w:p>
        </w:tc>
        <w:tc>
          <w:tcPr>
            <w:tcW w:type="dxa" w:w="2160"/>
          </w:tcPr>
          <w:p>
            <w:pPr>
              <w:spacing w:after="0"/>
            </w:pPr>
            <w:r>
              <w:rPr>
                <w:sz w:val="17"/>
              </w:rPr>
              <w:t>BCR421U (the most commonly specified Infineon linear LED driver in this size) is rated 150 mA maximum. The NeurOne spec calls for 120–180 mA per LED — 180 mA exceeds the BCR421U rating.</w:t>
            </w:r>
          </w:p>
        </w:tc>
        <w:tc>
          <w:tcPr>
            <w:tcW w:type="dxa" w:w="2160"/>
          </w:tcPr>
          <w:p>
            <w:pPr>
              <w:spacing w:after="0"/>
            </w:pPr>
            <w:r>
              <w:rPr>
                <w:sz w:val="17"/>
              </w:rPr>
              <w:t>Operating BCR421U at 180 mA causes thermal stress, reduced reliability, potential output current clamp below target, and out-of-spec operation that would be flagged in any medical device design review.</w:t>
            </w:r>
          </w:p>
        </w:tc>
        <w:tc>
          <w:tcPr>
            <w:tcW w:type="dxa" w:w="2448"/>
          </w:tcPr>
          <w:p>
            <w:pPr>
              <w:spacing w:after="0"/>
            </w:pPr>
            <w:r>
              <w:rPr>
                <w:b w:val="0"/>
                <w:sz w:val="17"/>
              </w:rPr>
              <w:t>MITIGATED in spec §6.2: BCR421W (350 mA rated, SOT-323) specified as the mandatory driver IC. BCR421U (150 mA max) explicitly excluded via warning note in spec. Backup options also specified: Zetex ZXLD381, Diodes Inc. AL5809 (both 350 mA, SOT-23-3). Remaining action: confirm BCR421W on BOM before layout release (same action as RISK-05 Action 1 — single BOM line).</w:t>
            </w:r>
          </w:p>
        </w:tc>
        <w:tc>
          <w:tcPr>
            <w:tcW w:type="dxa" w:w="1008"/>
          </w:tcPr>
          <w:p>
            <w:pPr>
              <w:spacing w:after="0"/>
            </w:pPr>
            <w:r>
              <w:rPr>
                <w:sz w:val="17"/>
              </w:rPr>
              <w:t>HW EE Lead</w:t>
            </w:r>
          </w:p>
        </w:tc>
        <w:tc>
          <w:tcPr>
            <w:tcW w:type="dxa" w:w="720"/>
          </w:tcPr>
          <w:p>
            <w:pPr>
              <w:spacing w:after="0"/>
            </w:pPr>
            <w:r>
              <w:rPr>
                <w:sz w:val="17"/>
              </w:rPr>
              <w:t>§6.2</w:t>
            </w:r>
          </w:p>
        </w:tc>
        <w:tc>
          <w:tcPr>
            <w:tcW w:type="dxa" w:w="864"/>
          </w:tcPr>
          <w:p>
            <w:pPr>
              <w:spacing w:after="0"/>
            </w:pPr>
            <w:r>
              <w:rPr>
                <w:b w:val="0"/>
                <w:sz w:val="17"/>
              </w:rPr>
              <w:t>MITIGATED — confirm BCR421W on BOM before layout</w:t>
            </w:r>
          </w:p>
        </w:tc>
      </w:tr>
      <w:tr>
        <w:tc>
          <w:tcPr>
            <w:tcW w:type="dxa" w:w="720"/>
          </w:tcPr>
          <w:p>
            <w:pPr>
              <w:spacing w:after="0"/>
            </w:pPr>
            <w:r>
              <w:rPr>
                <w:sz w:val="17"/>
              </w:rPr>
              <w:t>RISK-08</w:t>
            </w:r>
          </w:p>
        </w:tc>
        <w:tc>
          <w:tcPr>
            <w:tcW w:type="dxa" w:w="1008"/>
            <w:shd w:val="clear" w:color="auto" w:fill="FF9900"/>
            <w:shd w:val="clear" w:color="auto" w:fill="E2EFDA"/>
          </w:tcPr>
          <w:p>
            <w:pPr>
              <w:spacing w:after="0"/>
            </w:pPr>
            <w:r>
              <w:rPr>
                <w:b/>
                <w:sz w:val="17"/>
              </w:rPr>
            </w:r>
            <w:r>
              <w:rPr>
                <w:b/>
                <w:color w:val="007000"/>
              </w:rPr>
              <w:t>HIGH</w:t>
              <w:br/>
              <w:t>(MITIGATED)</w:t>
            </w:r>
          </w:p>
        </w:tc>
        <w:tc>
          <w:tcPr>
            <w:tcW w:type="dxa" w:w="1872"/>
          </w:tcPr>
          <w:p>
            <w:pPr>
              <w:spacing w:after="0"/>
            </w:pPr>
            <w:r>
              <w:rPr>
                <w:sz w:val="17"/>
              </w:rPr>
              <w:t>LED Vf binning not specified — current matching degraded</w:t>
            </w:r>
          </w:p>
        </w:tc>
        <w:tc>
          <w:tcPr>
            <w:tcW w:type="dxa" w:w="2160"/>
            <w:shd w:val="clear" w:color="auto" w:fill="92D050"/>
          </w:tcPr>
          <w:p>
            <w:pPr>
              <w:spacing w:after="0"/>
            </w:pPr>
            <w:r>
              <w:rPr>
                <w:sz w:val="17"/>
              </w:rPr>
            </w:r>
            <w:r/>
            <w:r>
              <w:rPr>
                <w:b w:val="0"/>
              </w:rPr>
              <w:t>LED emitters are sold in wide Vf bins (±0.2–0.3 V typical at rated current). Even with per-string BCR421W constant-current drivers, wide Vf spread across strings means the BCR421W compliance voltage must accommodate the widest Vf emitter — or some strings fall outside the driver's regulation range. Supply chain default: no bin restriction on PO.</w:t>
            </w:r>
          </w:p>
        </w:tc>
        <w:tc>
          <w:tcPr>
            <w:tcW w:type="dxa" w:w="2160"/>
          </w:tcPr>
          <w:p>
            <w:pPr>
              <w:spacing w:after="0"/>
            </w:pPr>
            <w:r>
              <w:rPr>
                <w:sz w:val="17"/>
              </w:rPr>
              <w:t>Strings near the edge of Vf distribution may fall outside BCR421W linear regulation range, causing unregulated (incorrect) current. Worst case: strings oscillate between over- and under-current. More likely: dose delivered is systematically different from commanded dose, degrading the accuracy of J/cm² metering.</w:t>
            </w:r>
          </w:p>
        </w:tc>
        <w:tc>
          <w:tcPr>
            <w:tcW w:type="dxa" w:w="2448"/>
          </w:tcPr>
          <w:p>
            <w:pPr>
              <w:spacing w:after="0"/>
            </w:pPr>
            <w:r>
              <w:rPr>
                <w:sz w:val="17"/>
              </w:rPr>
              <w:t>Specify ±0.10 V maximum Vf bin tolerance on LED purchase orders. Verify with supplier that this tolerance is achievable and priced. At first production: sample 50 LEDs per lot, measure Vf, confirm distribution is within ±0.10 V. Consider sorting if supplier cannot guarantee bin width.</w:t>
            </w:r>
          </w:p>
        </w:tc>
        <w:tc>
          <w:tcPr>
            <w:tcW w:type="dxa" w:w="1008"/>
          </w:tcPr>
          <w:p>
            <w:pPr>
              <w:spacing w:after="0"/>
            </w:pPr>
            <w:r>
              <w:rPr>
                <w:sz w:val="17"/>
              </w:rPr>
              <w:t>Supply Chain / HW EE</w:t>
            </w:r>
          </w:p>
        </w:tc>
        <w:tc>
          <w:tcPr>
            <w:tcW w:type="dxa" w:w="720"/>
          </w:tcPr>
          <w:p>
            <w:pPr>
              <w:spacing w:after="0"/>
            </w:pPr>
            <w:r>
              <w:rPr>
                <w:sz w:val="17"/>
              </w:rPr>
              <w:t>§4.2</w:t>
            </w:r>
          </w:p>
        </w:tc>
        <w:tc>
          <w:tcPr>
            <w:tcW w:type="dxa" w:w="864"/>
            <w:shd w:val="clear" w:color="auto" w:fill="92D050"/>
          </w:tcPr>
          <w:p>
            <w:pPr>
              <w:spacing w:after="0"/>
            </w:pPr>
            <w:r>
              <w:rPr>
                <w:sz w:val="17"/>
              </w:rPr>
            </w:r>
            <w:r>
              <w:rPr>
                <w:b/>
                <w:color w:val="007000"/>
              </w:rPr>
              <w:t>MITIGATED — Vf bin tolerance on PO (NP-PROC-FPC-001 §2); incoming inspection §7</w:t>
            </w:r>
          </w:p>
        </w:tc>
      </w:tr>
      <w:tr>
        <w:tc>
          <w:tcPr>
            <w:tcW w:type="dxa" w:w="720"/>
          </w:tcPr>
          <w:p>
            <w:pPr>
              <w:spacing w:after="0"/>
            </w:pPr>
            <w:r>
              <w:rPr>
                <w:sz w:val="17"/>
              </w:rPr>
              <w:t>RISK-09</w:t>
            </w:r>
          </w:p>
        </w:tc>
        <w:tc>
          <w:tcPr>
            <w:tcW w:type="dxa" w:w="1008"/>
            <w:shd w:val="clear" w:color="auto" w:fill="FFD700"/>
            <w:shd w:val="clear" w:color="auto" w:fill="E2EFDA"/>
          </w:tcPr>
          <w:p>
            <w:pPr>
              <w:spacing w:after="0"/>
            </w:pPr>
            <w:r>
              <w:rPr>
                <w:b/>
                <w:sz w:val="17"/>
              </w:rPr>
            </w:r>
            <w:r>
              <w:rPr>
                <w:b/>
                <w:color w:val="007000"/>
              </w:rPr>
              <w:t>MEDIUM</w:t>
              <w:br/>
              <w:t>(MITIGATED)</w:t>
            </w:r>
          </w:p>
        </w:tc>
        <w:tc>
          <w:tcPr>
            <w:tcW w:type="dxa" w:w="1872"/>
          </w:tcPr>
          <w:p>
            <w:pPr>
              <w:spacing w:after="0"/>
            </w:pPr>
            <w:r>
              <w:rPr>
                <w:sz w:val="17"/>
              </w:rPr>
              <w:t>0.35 mm pitch connector (referenced in SBIR proposal) has insufficient current rating</w:t>
            </w:r>
          </w:p>
        </w:tc>
        <w:tc>
          <w:tcPr>
            <w:tcW w:type="dxa" w:w="2160"/>
            <w:shd w:val="clear" w:color="auto" w:fill="92D050"/>
          </w:tcPr>
          <w:p>
            <w:pPr>
              <w:spacing w:after="0"/>
            </w:pPr>
            <w:r>
              <w:rPr>
                <w:sz w:val="17"/>
              </w:rPr>
            </w:r>
            <w:r/>
            <w:r>
              <w:rPr>
                <w:b w:val="0"/>
              </w:rPr>
              <w:t>SBIR Phase I proposal (§C.2) referenced 'Molex SlimStack 0.35 mm pitch' for zone module FPC connectors. 0.35 mm pitch connectors are typically rated 0.3–0.5 A per contact maximum. At 0.9 A RMS per power pin (paired), 0.35 mm pitch is insufficient. Spec now mandates 0.5 mm pitch (Hirose FH34S); stale reference in proposal created inconsistency between documents.</w:t>
            </w:r>
          </w:p>
        </w:tc>
        <w:tc>
          <w:tcPr>
            <w:tcW w:type="dxa" w:w="2160"/>
          </w:tcPr>
          <w:p>
            <w:pPr>
              <w:spacing w:after="0"/>
            </w:pPr>
            <w:r>
              <w:rPr>
                <w:sz w:val="17"/>
              </w:rPr>
              <w:t>Contact overheating, increased contact resistance, eventual intermittent power delivery. Zone module drops out during session.</w:t>
            </w:r>
          </w:p>
        </w:tc>
        <w:tc>
          <w:tcPr>
            <w:tcW w:type="dxa" w:w="2448"/>
          </w:tcPr>
          <w:p>
            <w:pPr>
              <w:spacing w:after="0"/>
            </w:pPr>
            <w:r>
              <w:rPr>
                <w:sz w:val="17"/>
              </w:rPr>
              <w:t>Use 0.5 mm pitch (Hirose FH34S as specified in §5). 0.5 mm pitch contacts rated 0.5 A each; parallel pins give 1.0 A capacity per rail, with adequate margin over 0.9 A peak. Update SBIR proposal text to remove "0.35 mm" reference before submission. See also RISK-01.</w:t>
            </w:r>
          </w:p>
        </w:tc>
        <w:tc>
          <w:tcPr>
            <w:tcW w:type="dxa" w:w="1008"/>
          </w:tcPr>
          <w:p>
            <w:pPr>
              <w:spacing w:after="0"/>
            </w:pPr>
            <w:r>
              <w:rPr>
                <w:sz w:val="17"/>
              </w:rPr>
              <w:t>HW EE Lead</w:t>
            </w:r>
          </w:p>
        </w:tc>
        <w:tc>
          <w:tcPr>
            <w:tcW w:type="dxa" w:w="720"/>
          </w:tcPr>
          <w:p>
            <w:pPr>
              <w:spacing w:after="0"/>
            </w:pPr>
            <w:r>
              <w:rPr>
                <w:sz w:val="17"/>
              </w:rPr>
              <w:t>§5</w:t>
            </w:r>
          </w:p>
        </w:tc>
        <w:tc>
          <w:tcPr>
            <w:tcW w:type="dxa" w:w="864"/>
            <w:shd w:val="clear" w:color="auto" w:fill="92D050"/>
          </w:tcPr>
          <w:p>
            <w:pPr>
              <w:spacing w:after="0"/>
            </w:pPr>
            <w:r>
              <w:rPr>
                <w:sz w:val="17"/>
              </w:rPr>
            </w:r>
            <w:r>
              <w:rPr>
                <w:b/>
                <w:color w:val="007000"/>
              </w:rPr>
              <w:t>MITIGATED — SBIR proposal updated; 0.35 mm pitch eliminated; FH34S 0.5 mm confirmed</w:t>
            </w:r>
          </w:p>
        </w:tc>
      </w:tr>
      <w:tr>
        <w:tc>
          <w:tcPr>
            <w:tcW w:type="dxa" w:w="720"/>
          </w:tcPr>
          <w:p>
            <w:pPr>
              <w:spacing w:after="0"/>
            </w:pPr>
            <w:r>
              <w:rPr>
                <w:sz w:val="17"/>
              </w:rPr>
              <w:t>RISK-10</w:t>
            </w:r>
          </w:p>
        </w:tc>
        <w:tc>
          <w:tcPr>
            <w:tcW w:type="dxa" w:w="1008"/>
            <w:shd w:val="clear" w:color="auto" w:fill="FFD700"/>
            <w:shd w:val="clear" w:color="auto" w:fill="E2EFDA"/>
          </w:tcPr>
          <w:p>
            <w:pPr>
              <w:spacing w:after="0"/>
            </w:pPr>
            <w:r>
              <w:rPr>
                <w:b/>
                <w:sz w:val="17"/>
              </w:rPr>
            </w:r>
            <w:r>
              <w:rPr>
                <w:b/>
                <w:color w:val="007000"/>
              </w:rPr>
              <w:t>MEDIUM</w:t>
              <w:br/>
              <w:t>(MITIGATED)</w:t>
            </w:r>
          </w:p>
        </w:tc>
        <w:tc>
          <w:tcPr>
            <w:tcW w:type="dxa" w:w="1872"/>
          </w:tcPr>
          <w:p>
            <w:pPr>
              <w:spacing w:after="0"/>
            </w:pPr>
            <w:r>
              <w:rPr>
                <w:sz w:val="17"/>
              </w:rPr>
              <w:t>FPC fabricator may default to ED copper unless RA is explicitly specified</w:t>
            </w:r>
          </w:p>
        </w:tc>
        <w:tc>
          <w:tcPr>
            <w:tcW w:type="dxa" w:w="2160"/>
            <w:shd w:val="clear" w:color="auto" w:fill="92D050"/>
          </w:tcPr>
          <w:p>
            <w:pPr>
              <w:spacing w:after="0"/>
            </w:pPr>
            <w:r>
              <w:rPr>
                <w:sz w:val="17"/>
              </w:rPr>
            </w:r>
            <w:r/>
            <w:r>
              <w:rPr>
                <w:b w:val="0"/>
              </w:rPr>
              <w:t>Electrodeposited (ED) copper is the industry default for FPC fabrication. Rolled Annealed (RA) copper must be explicitly called out on every purchase order and fabrication drawing. Omission results in ED copper being used without notification. ED copper fails under dynamic flex — propagating grain boundary cracks lead to open-circuit failure within 10,000–50,000 cycles.</w:t>
            </w:r>
          </w:p>
        </w:tc>
        <w:tc>
          <w:tcPr>
            <w:tcW w:type="dxa" w:w="2160"/>
          </w:tcPr>
          <w:p>
            <w:pPr>
              <w:spacing w:after="0"/>
            </w:pPr>
            <w:r>
              <w:rPr>
                <w:sz w:val="17"/>
              </w:rPr>
              <w:t>ED copper fails under dynamic flex — grain boundaries propagate fatigue cracks perpendicular to the bend axis. At 1,000 insertion cycles and/or repeated bending at connector transitions, ED copper traces will fracture. Intermittent opens are the failure mode; they may not be caught in outgoing QC.</w:t>
            </w:r>
          </w:p>
        </w:tc>
        <w:tc>
          <w:tcPr>
            <w:tcW w:type="dxa" w:w="2448"/>
          </w:tcPr>
          <w:p>
            <w:pPr>
              <w:spacing w:after="0"/>
            </w:pPr>
            <w:r>
              <w:rPr>
                <w:sz w:val="17"/>
              </w:rPr>
              <w:t>Mandatory fabrication note on drawing (§13, note 1): "ROLLED ANNEALED (RA) COPPER REQUIRED. ED COPPER NOT ACCEPTABLE." Verify with fabricator that RA copper is in stock and available. Check material certifications on incoming inspection.</w:t>
            </w:r>
          </w:p>
        </w:tc>
        <w:tc>
          <w:tcPr>
            <w:tcW w:type="dxa" w:w="1008"/>
          </w:tcPr>
          <w:p>
            <w:pPr>
              <w:spacing w:after="0"/>
            </w:pPr>
            <w:r>
              <w:rPr>
                <w:sz w:val="17"/>
              </w:rPr>
              <w:t>Manufacturing Eng</w:t>
            </w:r>
          </w:p>
        </w:tc>
        <w:tc>
          <w:tcPr>
            <w:tcW w:type="dxa" w:w="720"/>
          </w:tcPr>
          <w:p>
            <w:pPr>
              <w:spacing w:after="0"/>
            </w:pPr>
            <w:r>
              <w:rPr>
                <w:sz w:val="17"/>
              </w:rPr>
              <w:t>§3, §13</w:t>
            </w:r>
          </w:p>
        </w:tc>
        <w:tc>
          <w:tcPr>
            <w:tcW w:type="dxa" w:w="864"/>
            <w:shd w:val="clear" w:color="auto" w:fill="92D050"/>
          </w:tcPr>
          <w:p>
            <w:pPr>
              <w:spacing w:after="0"/>
            </w:pPr>
            <w:r>
              <w:rPr>
                <w:sz w:val="17"/>
              </w:rPr>
            </w:r>
            <w:r>
              <w:rPr>
                <w:b/>
                <w:color w:val="007000"/>
              </w:rPr>
              <w:t>MITIGATED — RA copper on fab drawing (§13 note 1) and PO (NP-PROC-FPC-001 §5)</w:t>
            </w:r>
          </w:p>
        </w:tc>
      </w:tr>
      <w:tr>
        <w:tc>
          <w:tcPr>
            <w:tcW w:type="dxa" w:w="720"/>
          </w:tcPr>
          <w:p>
            <w:pPr>
              <w:spacing w:after="0"/>
            </w:pPr>
            <w:r>
              <w:rPr>
                <w:sz w:val="17"/>
              </w:rPr>
              <w:t>RISK-11</w:t>
            </w:r>
          </w:p>
        </w:tc>
        <w:tc>
          <w:tcPr>
            <w:tcW w:type="dxa" w:w="1008"/>
            <w:shd w:val="clear" w:color="auto" w:fill="FFD700"/>
            <w:shd w:val="clear" w:color="auto" w:fill="E2EFDA"/>
          </w:tcPr>
          <w:p>
            <w:pPr>
              <w:spacing w:after="0"/>
            </w:pPr>
            <w:r>
              <w:rPr>
                <w:b/>
                <w:sz w:val="17"/>
              </w:rPr>
            </w:r>
            <w:r>
              <w:rPr>
                <w:b/>
                <w:color w:val="007000"/>
              </w:rPr>
              <w:t>MEDIUM</w:t>
              <w:br/>
              <w:t>(MITIGATED)</w:t>
            </w:r>
          </w:p>
        </w:tc>
        <w:tc>
          <w:tcPr>
            <w:tcW w:type="dxa" w:w="1872"/>
          </w:tcPr>
          <w:p>
            <w:pPr>
              <w:spacing w:after="0"/>
            </w:pPr>
            <w:r>
              <w:rPr>
                <w:sz w:val="17"/>
              </w:rPr>
              <w:t>Headset shell tooling does not yet enforce 25 mm bend radius at zone module routing path</w:t>
            </w:r>
          </w:p>
        </w:tc>
        <w:tc>
          <w:tcPr>
            <w:tcW w:type="dxa" w:w="2160"/>
          </w:tcPr>
          <w:p>
            <w:pPr>
              <w:spacing w:after="0"/>
            </w:pPr>
            <w:r>
              <w:rPr>
                <w:sz w:val="17"/>
              </w:rPr>
              <w:t>The FPC routing path from zone slot to Hub PCB connector inside the CFRP shell has not been specified in the shell tooling design. If shell geometry creates a bend &lt;25 mm at any point along this path, the FPC will fatigue at that location.</w:t>
            </w:r>
          </w:p>
        </w:tc>
        <w:tc>
          <w:tcPr>
            <w:tcW w:type="dxa" w:w="2160"/>
          </w:tcPr>
          <w:p>
            <w:pPr>
              <w:spacing w:after="0"/>
            </w:pPr>
            <w:r>
              <w:rPr>
                <w:sz w:val="17"/>
              </w:rPr>
              <w:t>FPC fatigue crack at shell-imposed bend, causing open circuit in power or signal traces. Failure may occur after 50–200 zone module swaps rather than the specified 1,000.</w:t>
            </w:r>
          </w:p>
        </w:tc>
        <w:tc>
          <w:tcPr>
            <w:tcW w:type="dxa" w:w="2448"/>
          </w:tcPr>
          <w:p>
            <w:pPr>
              <w:spacing w:after="0"/>
            </w:pPr>
            <w:r>
              <w:rPr>
                <w:sz w:val="17"/>
              </w:rPr>
            </w:r>
            <w:r>
              <w:rPr>
                <w:b w:val="0"/>
              </w:rPr>
              <w:t>MITIGATED: Shell tooling FPC routing design review document created (NP-DRV-SHELL-001 Rev A). Document specifies 5 routing path requirements (REQ-BR-01 to REQ-BR-05), 7 shell tooling requirements (REQ-ST-01 to REQ-ST-07), 15-item design review checklist (DRC-01 to DRC-15), FPC length and slack requirements for all 5 zones, and sign-off gate before tooling release. FPC spec §11.2 updated with bend radius callouts and reference to NP-DRV-SHELL-001.</w:t>
            </w:r>
          </w:p>
        </w:tc>
        <w:tc>
          <w:tcPr>
            <w:tcW w:type="dxa" w:w="1008"/>
          </w:tcPr>
          <w:p>
            <w:pPr>
              <w:spacing w:after="0"/>
            </w:pPr>
            <w:r>
              <w:rPr>
                <w:sz w:val="17"/>
              </w:rPr>
              <w:t>Mechanical Eng / HW EE</w:t>
            </w:r>
          </w:p>
        </w:tc>
        <w:tc>
          <w:tcPr>
            <w:tcW w:type="dxa" w:w="720"/>
          </w:tcPr>
          <w:p>
            <w:pPr>
              <w:spacing w:after="0"/>
            </w:pPr>
            <w:r>
              <w:rPr>
                <w:sz w:val="17"/>
              </w:rPr>
              <w:t>§11.2</w:t>
            </w:r>
          </w:p>
        </w:tc>
        <w:tc>
          <w:tcPr>
            <w:tcW w:type="dxa" w:w="864"/>
            <w:shd w:val="clear" w:color="auto" w:fill="92D050"/>
          </w:tcPr>
          <w:p>
            <w:pPr>
              <w:spacing w:after="0"/>
            </w:pPr>
            <w:r>
              <w:rPr>
                <w:sz w:val="17"/>
              </w:rPr>
            </w:r>
            <w:r>
              <w:rPr>
                <w:b/>
                <w:color w:val="007000"/>
              </w:rPr>
              <w:t>MITIGATED — NP-DRV-SHELL-001 Rev A created; §11.2 populated; DRC sign-off required before first-cut</w:t>
            </w:r>
          </w:p>
        </w:tc>
      </w:tr>
      <w:tr>
        <w:tc>
          <w:tcPr>
            <w:tcW w:type="dxa" w:w="720"/>
          </w:tcPr>
          <w:p>
            <w:pPr>
              <w:spacing w:after="0"/>
            </w:pPr>
            <w:r>
              <w:rPr>
                <w:sz w:val="17"/>
              </w:rPr>
              <w:t>RISK-12</w:t>
            </w:r>
          </w:p>
        </w:tc>
        <w:tc>
          <w:tcPr>
            <w:tcW w:type="dxa" w:w="1008"/>
            <w:shd w:val="clear" w:color="auto" w:fill="FFD700"/>
            <w:shd w:val="clear" w:color="auto" w:fill="E2EFDA"/>
          </w:tcPr>
          <w:p>
            <w:pPr>
              <w:spacing w:after="0"/>
            </w:pPr>
            <w:r>
              <w:rPr>
                <w:b/>
                <w:sz w:val="17"/>
              </w:rPr>
            </w:r>
            <w:r>
              <w:rPr>
                <w:b/>
                <w:color w:val="007000"/>
              </w:rPr>
              <w:t>MEDIUM</w:t>
              <w:br/>
              <w:t>(MITIGATED)</w:t>
            </w:r>
          </w:p>
        </w:tc>
        <w:tc>
          <w:tcPr>
            <w:tcW w:type="dxa" w:w="1872"/>
          </w:tcPr>
          <w:p>
            <w:pPr>
              <w:spacing w:after="0"/>
            </w:pPr>
            <w:r>
              <w:rPr>
                <w:sz w:val="17"/>
              </w:rPr>
              <w:t>Zone module alignment tolerance (±0.5 mm) not yet validated by shell tooling</w:t>
            </w:r>
          </w:p>
        </w:tc>
        <w:tc>
          <w:tcPr>
            <w:tcW w:type="dxa" w:w="2160"/>
          </w:tcPr>
          <w:p>
            <w:pPr>
              <w:spacing w:after="0"/>
            </w:pPr>
            <w:r>
              <w:rPr>
                <w:sz w:val="17"/>
              </w:rPr>
              <w:t>EEG electrode positions (Fp1/2, F3/4, C3/4, P3/4) are defined by the 10-20 system at specific scalp locations. Zone module irradiance patterns must be aligned to these locations within ±0.5 mm for consistent closed-loop EEG–PBM coupling. Shell tooling tolerance for zone slot guides is not yet specified.</w:t>
            </w:r>
          </w:p>
        </w:tc>
        <w:tc>
          <w:tcPr>
            <w:tcW w:type="dxa" w:w="2160"/>
          </w:tcPr>
          <w:p>
            <w:pPr>
              <w:spacing w:after="0"/>
            </w:pPr>
            <w:r>
              <w:rPr>
                <w:sz w:val="17"/>
              </w:rPr>
              <w:t>If zone modules are misaligned by &gt;1 mm, the PBM dose pattern does not correspond to the EEG electrode positions that drive the closed-loop algorithm. The "closed-loop EEG-adaptive PBM" claim is undermined. Worse, irradiance maps from different devices or sessions are not comparable — clinical data is confounded.</w:t>
            </w:r>
          </w:p>
        </w:tc>
        <w:tc>
          <w:tcPr>
            <w:tcW w:type="dxa" w:w="2448"/>
          </w:tcPr>
          <w:p>
            <w:pPr>
              <w:spacing w:after="0"/>
            </w:pPr>
            <w:r>
              <w:rPr>
                <w:sz w:val="17"/>
              </w:rPr>
            </w:r>
            <w:r>
              <w:rPr>
                <w:b w:val="0"/>
              </w:rPr>
              <w:t>MITIGATED: First Article Inspection checklist NP-FAI-ZM-001 Rev A created. FAI-A01 to FAI-A08 (Section 4a) mandate CMM measurement of all 5 zone module positions to ±0.3 mm tolerance (±0.2 mm margin against ±0.5 mm system requirement). FAI-A08 verifies re-insertion repeatability (±0.1 mm). FAI also requires datum features (reference holes/edges) on FPC stiffener (FAI-A07). Zone module alignment is re-verified after 50 connector insertion cycles (FAI-K14). FPC spec §11.4 references NP-FAI-ZM-001 as mandatory pre-production gate.</w:t>
            </w:r>
          </w:p>
        </w:tc>
        <w:tc>
          <w:tcPr>
            <w:tcW w:type="dxa" w:w="1008"/>
          </w:tcPr>
          <w:p>
            <w:pPr>
              <w:spacing w:after="0"/>
            </w:pPr>
            <w:r>
              <w:rPr>
                <w:sz w:val="17"/>
              </w:rPr>
              <w:t>Mechanical Eng</w:t>
            </w:r>
          </w:p>
        </w:tc>
        <w:tc>
          <w:tcPr>
            <w:tcW w:type="dxa" w:w="720"/>
          </w:tcPr>
          <w:p>
            <w:pPr>
              <w:spacing w:after="0"/>
            </w:pPr>
            <w:r>
              <w:rPr>
                <w:sz w:val="17"/>
              </w:rPr>
              <w:t>§11.4</w:t>
            </w:r>
          </w:p>
        </w:tc>
        <w:tc>
          <w:tcPr>
            <w:tcW w:type="dxa" w:w="864"/>
            <w:shd w:val="clear" w:color="auto" w:fill="92D050"/>
          </w:tcPr>
          <w:p>
            <w:pPr>
              <w:spacing w:after="0"/>
            </w:pPr>
            <w:r>
              <w:rPr>
                <w:sz w:val="17"/>
              </w:rPr>
            </w:r>
            <w:r>
              <w:rPr>
                <w:b/>
                <w:color w:val="007000"/>
              </w:rPr>
              <w:t>MITIGATED — NP-FAI-ZM-001 Rev A created; CMM alignment check (FAI-A01–A08) required before production release</w:t>
            </w:r>
          </w:p>
        </w:tc>
      </w:tr>
      <w:tr>
        <w:tc>
          <w:tcPr>
            <w:tcW w:type="dxa" w:w="720"/>
          </w:tcPr>
          <w:p>
            <w:pPr>
              <w:spacing w:after="0"/>
            </w:pPr>
            <w:r>
              <w:rPr>
                <w:sz w:val="17"/>
              </w:rPr>
              <w:t>RISK-13</w:t>
            </w:r>
          </w:p>
        </w:tc>
        <w:tc>
          <w:tcPr>
            <w:tcW w:type="dxa" w:w="1008"/>
            <w:shd w:val="clear" w:color="auto" w:fill="FFD700"/>
            <w:shd w:val="clear" w:color="auto" w:fill="E2EFDA"/>
          </w:tcPr>
          <w:p>
            <w:pPr>
              <w:spacing w:after="0"/>
            </w:pPr>
            <w:r>
              <w:rPr>
                <w:b/>
                <w:sz w:val="17"/>
              </w:rPr>
            </w:r>
            <w:r>
              <w:rPr>
                <w:b/>
                <w:color w:val="007000"/>
              </w:rPr>
              <w:t>MEDIUM</w:t>
              <w:br/>
              <w:t>(MITIGATED)</w:t>
            </w:r>
          </w:p>
        </w:tc>
        <w:tc>
          <w:tcPr>
            <w:tcW w:type="dxa" w:w="1872"/>
          </w:tcPr>
          <w:p>
            <w:pPr>
              <w:spacing w:after="0"/>
            </w:pPr>
            <w:r>
              <w:rPr>
                <w:sz w:val="17"/>
              </w:rPr>
              <w:t>LED PWM carrier frequency not yet specified — risk of EEG band contamination</w:t>
            </w:r>
          </w:p>
        </w:tc>
        <w:tc>
          <w:tcPr>
            <w:tcW w:type="dxa" w:w="2160"/>
          </w:tcPr>
          <w:p>
            <w:pPr>
              <w:spacing w:after="0"/>
            </w:pPr>
            <w:r>
              <w:rPr>
                <w:sz w:val="17"/>
              </w:rPr>
              <w:t>LED PWM switching at any frequency within 0.5–100 Hz will directly contaminate EEG signals. The 40 Hz gamma entrainment protocol makes this especially dangerous: if LED PWM carrier = 40 Hz (or 80, 120 Hz harmonics), the LED switching artifact is indistinguishable from the genuine gamma EEG response being measured.</w:t>
            </w:r>
          </w:p>
        </w:tc>
        <w:tc>
          <w:tcPr>
            <w:tcW w:type="dxa" w:w="2160"/>
          </w:tcPr>
          <w:p>
            <w:pPr>
              <w:spacing w:after="0"/>
            </w:pPr>
            <w:r>
              <w:rPr>
                <w:sz w:val="17"/>
              </w:rPr>
              <w:t>EEG signals are contaminated by LED switching artifacts. Closed-loop adaptation responds to artifact, not to genuine brainwave activity. The closed-loop system may increase stimulation intensity in response to its own artifact — a positive feedback loop. Entire closed-loop differentiation claim fails.</w:t>
            </w:r>
          </w:p>
        </w:tc>
        <w:tc>
          <w:tcPr>
            <w:tcW w:type="dxa" w:w="2448"/>
          </w:tcPr>
          <w:p>
            <w:pPr>
              <w:spacing w:after="0"/>
            </w:pPr>
            <w:r>
              <w:rPr>
                <w:sz w:val="17"/>
              </w:rPr>
            </w:r>
            <w:r>
              <w:rPr>
                <w:b w:val="0"/>
              </w:rPr>
              <w:t>MITIGATED: Engineering coordination checklist NP-COORD-001 Rev A created. Item G1-03 mandates a signed Engineering Decision Record (EDR) between HW EE and Firmware Lead agreeing the carrier frequency (≥1 kHz confirmed); EDR must verify all harmonics up to Nyquist (250 Hz) do not coincide with any therapy or EEG band frequency. Item G1-04 mandates firmware implementation of 50 µs EEG blanking window on each LED switching edge, synchronized to PWM timer. Items G2-07 and G3-04 lock the agreed values as Safety MCU constants and require oscilloscope validation on first prototype. FPC spec §4.4 and §10.3 already reference minimum 1 kHz carrier and 50 µs blanking.</w:t>
            </w:r>
          </w:p>
        </w:tc>
        <w:tc>
          <w:tcPr>
            <w:tcW w:type="dxa" w:w="1008"/>
          </w:tcPr>
          <w:p>
            <w:pPr>
              <w:spacing w:after="0"/>
            </w:pPr>
            <w:r>
              <w:rPr>
                <w:sz w:val="17"/>
              </w:rPr>
              <w:t>HW EE / Firmware Lead</w:t>
            </w:r>
          </w:p>
        </w:tc>
        <w:tc>
          <w:tcPr>
            <w:tcW w:type="dxa" w:w="720"/>
          </w:tcPr>
          <w:p>
            <w:pPr>
              <w:spacing w:after="0"/>
            </w:pPr>
            <w:r>
              <w:rPr>
                <w:sz w:val="17"/>
              </w:rPr>
              <w:t>§4.4, §10.3</w:t>
            </w:r>
          </w:p>
        </w:tc>
        <w:tc>
          <w:tcPr>
            <w:tcW w:type="dxa" w:w="864"/>
            <w:shd w:val="clear" w:color="auto" w:fill="92D050"/>
          </w:tcPr>
          <w:p>
            <w:pPr>
              <w:spacing w:after="0"/>
            </w:pPr>
            <w:r>
              <w:rPr>
                <w:sz w:val="17"/>
              </w:rPr>
            </w:r>
            <w:r>
              <w:rPr>
                <w:b/>
                <w:color w:val="007000"/>
              </w:rPr>
              <w:t>MITIGATED — NP-COORD-001 G1-03/G1-04/G2-07/G3-04 close this risk; EDR and firmware implementation required</w:t>
            </w:r>
          </w:p>
        </w:tc>
      </w:tr>
      <w:tr>
        <w:tc>
          <w:tcPr>
            <w:tcW w:type="dxa" w:w="720"/>
          </w:tcPr>
          <w:p>
            <w:pPr>
              <w:spacing w:after="0"/>
            </w:pPr>
            <w:r>
              <w:rPr>
                <w:sz w:val="17"/>
              </w:rPr>
              <w:t>RISK-14</w:t>
            </w:r>
          </w:p>
        </w:tc>
        <w:tc>
          <w:tcPr>
            <w:tcW w:type="dxa" w:w="1008"/>
            <w:shd w:val="clear" w:color="auto" w:fill="FFD700"/>
            <w:shd w:val="clear" w:color="auto" w:fill="E2EFDA"/>
          </w:tcPr>
          <w:p>
            <w:pPr>
              <w:spacing w:after="0"/>
            </w:pPr>
            <w:r>
              <w:rPr>
                <w:b/>
                <w:sz w:val="17"/>
              </w:rPr>
            </w:r>
            <w:r>
              <w:rPr>
                <w:b/>
                <w:color w:val="007000"/>
                <w:sz w:val="16"/>
              </w:rPr>
              <w:t>HIGH</w:t>
              <w:br/>
              <w:t>(MITIGATED)</w:t>
            </w:r>
          </w:p>
        </w:tc>
        <w:tc>
          <w:tcPr>
            <w:tcW w:type="dxa" w:w="1872"/>
          </w:tcPr>
          <w:p>
            <w:pPr>
              <w:spacing w:after="0"/>
            </w:pPr>
            <w:r>
              <w:rPr>
                <w:sz w:val="17"/>
              </w:rPr>
              <w:t>Single photodiode cannot independently distinguish LED aging from PDMS fouling</w:t>
            </w:r>
          </w:p>
        </w:tc>
        <w:tc>
          <w:tcPr>
            <w:tcW w:type="dxa" w:w="2160"/>
          </w:tcPr>
          <w:p>
            <w:pPr>
              <w:spacing w:after="0"/>
            </w:pPr>
            <w:r>
              <w:rPr>
                <w:sz w:val="17"/>
              </w:rPr>
              <w:t>A single reference photodiode behind the PDMS window measures a combined signal: LED_output × PDMS_transmission. If this composite signal drops, the cause could be LED aging (slow), PDMS fouling (potentially rapid), or both. A single measurement cannot separate the two effects.</w:t>
            </w:r>
          </w:p>
        </w:tc>
        <w:tc>
          <w:tcPr>
            <w:tcW w:type="dxa" w:w="2160"/>
          </w:tcPr>
          <w:p>
            <w:pPr>
              <w:spacing w:after="0"/>
            </w:pPr>
            <w:r>
              <w:rPr>
                <w:sz w:val="17"/>
              </w:rPr>
              <w:t>If PDMS fouling is misclassified as LED aging, the user is not prompted to clean the window. Actual delivered dose falls below the metered value (the dose meter reads LED output, not transmitted dose). The J/cm² metering accuracy guarantee fails silently.</w:t>
            </w:r>
          </w:p>
        </w:tc>
        <w:tc>
          <w:tcPr>
            <w:tcW w:type="dxa" w:w="2448"/>
          </w:tcPr>
          <w:p>
            <w:pPr>
              <w:spacing w:after="0"/>
            </w:pPr>
            <w:r>
              <w:rPr>
                <w:sz w:val="17"/>
              </w:rPr>
            </w:r>
            <w:r>
              <w:rPr>
                <w:b w:val="0"/>
                <w:sz w:val="16"/>
              </w:rPr>
              <w:t>Option B selected: second PD (PD2) on scalp-facing PDMS surface. PD1/PD2 ratio isolates fouling from LED aging. Pin 19 assigned PD2_CATHODE. §8.4 added to NP-HW-FPC-001. BOM +$0.75–1.50/headset. T1/T2 shared mold.</w:t>
            </w:r>
          </w:p>
        </w:tc>
        <w:tc>
          <w:tcPr>
            <w:tcW w:type="dxa" w:w="1008"/>
          </w:tcPr>
          <w:p>
            <w:pPr>
              <w:spacing w:after="0"/>
            </w:pPr>
            <w:r>
              <w:rPr>
                <w:sz w:val="17"/>
              </w:rPr>
              <w:t>Firmware / Systems Eng</w:t>
            </w:r>
          </w:p>
        </w:tc>
        <w:tc>
          <w:tcPr>
            <w:tcW w:type="dxa" w:w="720"/>
          </w:tcPr>
          <w:p>
            <w:pPr>
              <w:spacing w:after="0"/>
            </w:pPr>
            <w:r>
              <w:rPr>
                <w:sz w:val="17"/>
              </w:rPr>
              <w:t>§8.3</w:t>
            </w:r>
          </w:p>
        </w:tc>
        <w:tc>
          <w:tcPr>
            <w:tcW w:type="dxa" w:w="864"/>
            <w:shd w:val="clear" w:color="auto" w:fill="92D050"/>
          </w:tcPr>
          <w:p>
            <w:pPr>
              <w:spacing w:after="0"/>
            </w:pPr>
            <w:r>
              <w:rPr>
                <w:sz w:val="17"/>
              </w:rPr>
            </w:r>
            <w:r>
              <w:rPr>
                <w:b/>
                <w:color w:val="007000"/>
                <w:sz w:val="16"/>
              </w:rPr>
              <w:t>MITIGATED — NP-HW-FPC-001 §8.4; NP-TOOL-ZM-001 F-04</w:t>
            </w:r>
          </w:p>
        </w:tc>
      </w:tr>
      <w:tr>
        <w:tc>
          <w:tcPr>
            <w:tcW w:type="dxa" w:w="720"/>
          </w:tcPr>
          <w:p>
            <w:pPr>
              <w:spacing w:after="0"/>
            </w:pPr>
            <w:r>
              <w:rPr>
                <w:sz w:val="17"/>
              </w:rPr>
              <w:t>RISK-15</w:t>
            </w:r>
          </w:p>
        </w:tc>
        <w:tc>
          <w:tcPr>
            <w:tcW w:type="dxa" w:w="1008"/>
            <w:shd w:val="clear" w:color="auto" w:fill="CCFFCC"/>
            <w:shd w:val="clear" w:color="auto" w:fill="E2EFDA"/>
          </w:tcPr>
          <w:p>
            <w:pPr>
              <w:spacing w:after="0"/>
            </w:pPr>
            <w:r>
              <w:rPr>
                <w:b/>
                <w:sz w:val="17"/>
              </w:rPr>
            </w:r>
            <w:r>
              <w:rPr>
                <w:b/>
                <w:color w:val="007000"/>
                <w:sz w:val="18"/>
              </w:rPr>
              <w:t>LOW</w:t>
              <w:br/>
              <w:t>(MITIGATED)</w:t>
            </w:r>
          </w:p>
        </w:tc>
        <w:tc>
          <w:tcPr>
            <w:tcW w:type="dxa" w:w="1872"/>
          </w:tcPr>
          <w:p>
            <w:pPr>
              <w:spacing w:after="0"/>
            </w:pPr>
            <w:r>
              <w:rPr>
                <w:sz w:val="17"/>
              </w:rPr>
              <w:t>Color-only zone keying is inaccessible to color-vision-deficient users</w:t>
            </w:r>
          </w:p>
        </w:tc>
        <w:tc>
          <w:tcPr>
            <w:tcW w:type="dxa" w:w="2160"/>
          </w:tcPr>
          <w:p>
            <w:pPr>
              <w:spacing w:after="0"/>
            </w:pPr>
            <w:r>
              <w:rPr>
                <w:sz w:val="17"/>
              </w:rPr>
              <w:t>Zone modules are color-coded (White, Green, Blue, Orange, Red per §2.1). Approximately 8% of males and 0.5% of females have color vision deficiency. Green/Red and Blue/Green are common confusion pairs.</w:t>
            </w:r>
          </w:p>
        </w:tc>
        <w:tc>
          <w:tcPr>
            <w:tcW w:type="dxa" w:w="2160"/>
          </w:tcPr>
          <w:p>
            <w:pPr>
              <w:spacing w:after="0"/>
            </w:pPr>
            <w:r>
              <w:rPr>
                <w:sz w:val="17"/>
              </w:rPr>
              <w:t>User installs wrong zone module in wrong slot. Zone module designed for Frontal Left (ZM-02, Green) is installed in Parietal Right slot (ZM-05, Red). Consequences: PBM dose applied to wrong scalp region; closed-loop EEG–PBM correspondence broken; if zone IDs are tracked in SHDR, session data is incorrectly labelled.</w:t>
            </w:r>
          </w:p>
        </w:tc>
        <w:tc>
          <w:tcPr>
            <w:tcW w:type="dxa" w:w="2448"/>
          </w:tcPr>
          <w:p>
            <w:pPr>
              <w:spacing w:after="0"/>
            </w:pPr>
            <w:r>
              <w:rPr>
                <w:sz w:val="17"/>
              </w:rPr>
            </w:r>
            <w:r>
              <w:rPr>
                <w:b w:val="0"/>
                <w:sz w:val="18"/>
              </w:rPr>
              <w:t>MITIGATED: Five-layer keying system — accessible to sighted, color-vision-deficient, AND blind users. Layer 1 (blind-safe): Unique asymmetric mechanical key per zone — physically impossible to mis-insert regardless of vision. Layer 2: ZONE_ID resistor on pin 18 (SPARE_1) — Hub MCU reads zone identity at session start; ENABLE blocked if wrong module detected. Layer 3: Braille abbreviation + raised numeral molded into module face — zero BOM cost if specified before tooling. Layer 4: Raised tactile dot pattern (N dots = zone N) molded into shell adjacent to slot — zero BOM cost if specified before tooling. Layer 5: Bone conduction audio confirmation — spoken zone name on correct insert; spoken alert on wrong insert; uses existing BOM transducer. Total BOM delta: +$0.03/zone module (ZONE_ID resistor only). All other layers are zero-cost if specified before tooling cut. See FPC spec §11.4 for full requirements.</w:t>
            </w:r>
          </w:p>
        </w:tc>
        <w:tc>
          <w:tcPr>
            <w:tcW w:type="dxa" w:w="1008"/>
          </w:tcPr>
          <w:p>
            <w:pPr>
              <w:spacing w:after="0"/>
            </w:pPr>
            <w:r>
              <w:rPr>
                <w:sz w:val="17"/>
              </w:rPr>
              <w:t>Mechanical Eng / UX</w:t>
            </w:r>
          </w:p>
        </w:tc>
        <w:tc>
          <w:tcPr>
            <w:tcW w:type="dxa" w:w="720"/>
          </w:tcPr>
          <w:p>
            <w:pPr>
              <w:spacing w:after="0"/>
            </w:pPr>
            <w:r>
              <w:rPr>
                <w:sz w:val="17"/>
              </w:rPr>
              <w:t>§11.4</w:t>
            </w:r>
          </w:p>
        </w:tc>
        <w:tc>
          <w:tcPr>
            <w:tcW w:type="dxa" w:w="864"/>
            <w:shd w:val="clear" w:color="auto" w:fill="92D050"/>
          </w:tcPr>
          <w:p>
            <w:pPr>
              <w:spacing w:after="0"/>
            </w:pPr>
            <w:r>
              <w:rPr>
                <w:sz w:val="17"/>
              </w:rPr>
            </w:r>
            <w:r>
              <w:rPr>
                <w:b/>
                <w:color w:val="007000"/>
                <w:sz w:val="18"/>
              </w:rPr>
              <w:t>MITIGATED — 5-layer keying (mechanical + electronic + braille + tactile shell + audio); all layers work for blind users</w:t>
            </w:r>
          </w:p>
        </w:tc>
      </w:tr>
      <w:tr>
        <w:tc>
          <w:tcPr>
            <w:tcW w:type="dxa" w:w="720"/>
          </w:tcPr>
          <w:p>
            <w:pPr>
              <w:spacing w:after="0"/>
            </w:pPr>
            <w:r>
              <w:rPr>
                <w:sz w:val="17"/>
              </w:rPr>
              <w:t>RISK-16</w:t>
            </w:r>
          </w:p>
        </w:tc>
        <w:tc>
          <w:tcPr>
            <w:tcW w:type="dxa" w:w="1008"/>
            <w:shd w:val="clear" w:color="auto" w:fill="CCFFCC"/>
            <w:shd w:val="clear" w:color="auto" w:fill="E2EFDA"/>
          </w:tcPr>
          <w:p>
            <w:pPr>
              <w:spacing w:after="0"/>
            </w:pPr>
            <w:r>
              <w:rPr>
                <w:b/>
                <w:sz w:val="17"/>
              </w:rPr>
            </w:r>
            <w:r>
              <w:rPr>
                <w:b/>
                <w:color w:val="007000"/>
                <w:sz w:val="18"/>
              </w:rPr>
              <w:t>LOW</w:t>
              <w:br/>
              <w:t>(MITIGATED)</w:t>
            </w:r>
          </w:p>
        </w:tc>
        <w:tc>
          <w:tcPr>
            <w:tcW w:type="dxa" w:w="1872"/>
          </w:tcPr>
          <w:p>
            <w:pPr>
              <w:spacing w:after="0"/>
            </w:pPr>
            <w:r>
              <w:rPr>
                <w:sz w:val="17"/>
              </w:rPr>
              <w:t>IPX4 compliance after user field replacement is unvalidated</w:t>
            </w:r>
          </w:p>
        </w:tc>
        <w:tc>
          <w:tcPr>
            <w:tcW w:type="dxa" w:w="2160"/>
          </w:tcPr>
          <w:p>
            <w:pPr>
              <w:spacing w:after="0"/>
            </w:pPr>
            <w:r>
              <w:rPr>
                <w:sz w:val="17"/>
              </w:rPr>
              <w:t>IPX4 compliance depends on the integrity of the zone module edge seal (silicone RTV bead at PDMS-to-shell interface). After a user removes and reinstalls a zone module in the field, the original factory seal is broken. The re-sealing procedure has not been designed or documented.</w:t>
            </w:r>
          </w:p>
        </w:tc>
        <w:tc>
          <w:tcPr>
            <w:tcW w:type="dxa" w:w="2160"/>
          </w:tcPr>
          <w:p>
            <w:pPr>
              <w:spacing w:after="0"/>
            </w:pPr>
            <w:r>
              <w:rPr>
                <w:sz w:val="17"/>
              </w:rPr>
              <w:t>After first user zone module swap, IPX4 compliance is lost. Water ingress during use (sweat, rain, accidental splash) reaches Hub PCB and connector. Corrosion or electrical short. "Workout-safe" marketing claim cannot be maintained after field replacement.</w:t>
            </w:r>
          </w:p>
        </w:tc>
        <w:tc>
          <w:tcPr>
            <w:tcW w:type="dxa" w:w="2448"/>
          </w:tcPr>
          <w:p>
            <w:pPr>
              <w:spacing w:after="0"/>
            </w:pPr>
            <w:r>
              <w:rPr>
                <w:sz w:val="17"/>
              </w:rPr>
            </w:r>
            <w:r>
              <w:rPr>
                <w:b w:val="0"/>
                <w:sz w:val="18"/>
              </w:rPr>
              <w:t>MITIGATED — Option A selected: self-sealing compression gasket. Co-molded Shore 40–50A silicone lip seal on zone module perimeter; 20% compression (0.4 mm deflection) against shell slot rim on every insertion. No user action, no RTV syringe, no procedure. IPX4 maintained through all field replacements. Gasket spec added to FPC spec §12. IPX4 re-test after 10 swap cycles required (NP-FAI-ZM-001 §4c).</w:t>
            </w:r>
          </w:p>
        </w:tc>
        <w:tc>
          <w:tcPr>
            <w:tcW w:type="dxa" w:w="1008"/>
          </w:tcPr>
          <w:p>
            <w:pPr>
              <w:spacing w:after="0"/>
            </w:pPr>
            <w:r>
              <w:rPr>
                <w:sz w:val="17"/>
              </w:rPr>
              <w:t>Mechanical Eng / UX</w:t>
            </w:r>
          </w:p>
        </w:tc>
        <w:tc>
          <w:tcPr>
            <w:tcW w:type="dxa" w:w="720"/>
          </w:tcPr>
          <w:p>
            <w:pPr>
              <w:spacing w:after="0"/>
            </w:pPr>
            <w:r>
              <w:rPr>
                <w:sz w:val="17"/>
              </w:rPr>
              <w:t>§12</w:t>
            </w:r>
          </w:p>
        </w:tc>
        <w:tc>
          <w:tcPr>
            <w:tcW w:type="dxa" w:w="864"/>
            <w:shd w:val="clear" w:color="auto" w:fill="92D050"/>
          </w:tcPr>
          <w:p>
            <w:pPr>
              <w:spacing w:after="0"/>
            </w:pPr>
            <w:r>
              <w:rPr>
                <w:sz w:val="17"/>
              </w:rPr>
            </w:r>
            <w:r>
              <w:rPr>
                <w:b/>
                <w:color w:val="007000"/>
                <w:sz w:val="18"/>
              </w:rPr>
              <w:t>MITIGATED — Option A gasket spec in §12; IPX4 field-replacement test in NP-FAI-ZM-001 FAI-IPX-01 to FAI-IPX-04</w:t>
            </w:r>
          </w:p>
        </w:tc>
      </w:tr>
      <w:tr>
        <w:tc>
          <w:tcPr>
            <w:tcW w:type="dxa" w:w="720"/>
          </w:tcPr>
          <w:p>
            <w:pPr>
              <w:spacing w:after="0"/>
            </w:pPr>
            <w:r>
              <w:rPr>
                <w:sz w:val="17"/>
              </w:rPr>
              <w:t>RISK-17</w:t>
            </w:r>
          </w:p>
        </w:tc>
        <w:tc>
          <w:tcPr>
            <w:tcW w:type="dxa" w:w="1008"/>
            <w:shd w:val="clear" w:color="auto" w:fill="FFD700"/>
            <w:shd w:val="clear" w:color="auto" w:fill="E2EFDA"/>
          </w:tcPr>
          <w:p>
            <w:pPr>
              <w:spacing w:after="0"/>
            </w:pPr>
            <w:r>
              <w:rPr>
                <w:b/>
                <w:sz w:val="17"/>
              </w:rPr>
            </w:r>
            <w:r>
              <w:rPr>
                <w:b/>
                <w:color w:val="007000"/>
                <w:sz w:val="18"/>
              </w:rPr>
              <w:t>MEDIUM</w:t>
              <w:br/>
              <w:t>(MITIGATED)</w:t>
            </w:r>
          </w:p>
        </w:tc>
        <w:tc>
          <w:tcPr>
            <w:tcW w:type="dxa" w:w="1872"/>
          </w:tcPr>
          <w:p>
            <w:pPr>
              <w:spacing w:after="0"/>
            </w:pPr>
            <w:r>
              <w:rPr>
                <w:sz w:val="17"/>
              </w:rPr>
              <w:t>FPC routing path inside shell not coordinated with shell tooling spec</w:t>
            </w:r>
          </w:p>
        </w:tc>
        <w:tc>
          <w:tcPr>
            <w:tcW w:type="dxa" w:w="2160"/>
          </w:tcPr>
          <w:p>
            <w:pPr>
              <w:spacing w:after="0"/>
            </w:pPr>
            <w:r>
              <w:rPr>
                <w:sz w:val="17"/>
              </w:rPr>
              <w:t>The FPC transitions from the zone slot (outer CFRP shell surface) to the Hub PCB connector (inside the hub) through an unspecified routing path inside the headset. This path must accommodate five FPC tails from five zone modules simultaneously without violating the 25 mm bend radius requirement, creating excessive bundle thickness, or interfering with EEG cable routing.</w:t>
            </w:r>
          </w:p>
        </w:tc>
        <w:tc>
          <w:tcPr>
            <w:tcW w:type="dxa" w:w="2160"/>
          </w:tcPr>
          <w:p>
            <w:pPr>
              <w:spacing w:after="0"/>
            </w:pPr>
            <w:r>
              <w:rPr>
                <w:sz w:val="17"/>
              </w:rPr>
              <w:t>Without a defined routing path: (1) shell tooling is cut without provisions for FPC routing — retrofit is impossible after first cut; (2) FPC tails may be routed at bend radii below 25 mm in assembled production units; (3) FPC tails from multiple zones may chafe against each other or against EEG electrode cables.</w:t>
            </w:r>
          </w:p>
        </w:tc>
        <w:tc>
          <w:tcPr>
            <w:tcW w:type="dxa" w:w="2448"/>
          </w:tcPr>
          <w:p>
            <w:pPr>
              <w:spacing w:after="0"/>
            </w:pPr>
            <w:r>
              <w:rPr>
                <w:sz w:val="17"/>
              </w:rPr>
            </w:r>
            <w:r>
              <w:rPr>
                <w:b w:val="0"/>
                <w:sz w:val="18"/>
              </w:rPr>
              <w:t>MITIGATED: NP-DRV-SHELL-001 Rev A extended with §2.3 (multi-FPC bundle management and EEG cable separation). New requirements: ≥ 2 mm inter-FPC separation; ≥ 15 mm FPC-to-EEG cable separation (or grounded barrier); 3 anchor/tie-down points per FPC; Hub PCB all 5 ZIF receptacles on same edge. DRC-16 to DRC-21 added to design review checklist. NP-COORD-001 G2-01 updated with specific deliverables.</w:t>
            </w:r>
          </w:p>
        </w:tc>
        <w:tc>
          <w:tcPr>
            <w:tcW w:type="dxa" w:w="1008"/>
          </w:tcPr>
          <w:p>
            <w:pPr>
              <w:spacing w:after="0"/>
            </w:pPr>
            <w:r>
              <w:rPr>
                <w:sz w:val="17"/>
              </w:rPr>
              <w:t>Mechanical Eng / HW EE</w:t>
            </w:r>
          </w:p>
        </w:tc>
        <w:tc>
          <w:tcPr>
            <w:tcW w:type="dxa" w:w="720"/>
          </w:tcPr>
          <w:p>
            <w:pPr>
              <w:spacing w:after="0"/>
            </w:pPr>
            <w:r>
              <w:rPr>
                <w:sz w:val="17"/>
              </w:rPr>
              <w:t>§11.2</w:t>
            </w:r>
          </w:p>
        </w:tc>
        <w:tc>
          <w:tcPr>
            <w:tcW w:type="dxa" w:w="864"/>
            <w:shd w:val="clear" w:color="auto" w:fill="92D050"/>
          </w:tcPr>
          <w:p>
            <w:pPr>
              <w:spacing w:after="0"/>
            </w:pPr>
            <w:r>
              <w:rPr>
                <w:sz w:val="17"/>
              </w:rPr>
            </w:r>
            <w:r>
              <w:rPr>
                <w:b/>
                <w:color w:val="007000"/>
                <w:sz w:val="18"/>
              </w:rPr>
              <w:t>MITIGATED — NP-DRV-SHELL-001 §2.3 + DRC-16–21; CAD and physical prototype sign-off required</w:t>
            </w:r>
          </w:p>
        </w:tc>
      </w:tr>
      <w:tr>
        <w:tc>
          <w:tcPr>
            <w:tcW w:type="dxa" w:w="1072"/>
            <w:shd w:val="clear" w:color="auto" w:fill="FFFFFF"/>
          </w:tcPr>
          <w:p>
            <w:r>
              <w:rPr>
                <w:b w:val="0"/>
                <w:sz w:val="18"/>
              </w:rPr>
              <w:t>RISK-18</w:t>
            </w:r>
          </w:p>
        </w:tc>
        <w:tc>
          <w:tcPr>
            <w:tcW w:type="dxa" w:w="1072"/>
            <w:shd w:val="clear" w:color="auto" w:fill="FF0000"/>
            <w:shd w:val="clear" w:color="auto" w:fill="E2EFDA"/>
          </w:tcPr>
          <w:p>
            <w:r>
              <w:rPr>
                <w:b/>
                <w:color w:val="FFFFFF"/>
                <w:sz w:val="18"/>
              </w:rPr>
            </w:r>
            <w:r>
              <w:rPr>
                <w:b/>
                <w:color w:val="007000"/>
                <w:sz w:val="16"/>
              </w:rPr>
              <w:t>HIGH</w:t>
              <w:br/>
              <w:t>(MITIGATED)</w:t>
            </w:r>
          </w:p>
        </w:tc>
        <w:tc>
          <w:tcPr>
            <w:tcW w:type="dxa" w:w="1072"/>
            <w:shd w:val="clear" w:color="auto" w:fill="FFFFFF"/>
          </w:tcPr>
          <w:p>
            <w:r>
              <w:rPr>
                <w:b w:val="0"/>
                <w:sz w:val="18"/>
              </w:rPr>
              <w:t>ZONE_ID ENABLE interlock creates session-blocking availability failure mode</w:t>
            </w:r>
          </w:p>
        </w:tc>
        <w:tc>
          <w:tcPr>
            <w:tcW w:type="dxa" w:w="1072"/>
            <w:shd w:val="clear" w:color="auto" w:fill="FFFFFF"/>
          </w:tcPr>
          <w:p>
            <w:r>
              <w:rPr>
                <w:b w:val="0"/>
                <w:sz w:val="18"/>
              </w:rPr>
              <w:t xml:space="preserve">Pin 18 (ZONE_ID) is now in the ENABLE assertion path: Hub MCU reads ADC(pin 18) before every ENABLE assertion. If pin 18 has an open-circuit fault — from a cracked solder joint, worn ZIF contact, or FPC trace break — the ADC reads out-of-range and Hub MCU asserts FAULT, holding ENABLE low. The user cannot run any session on the affected zone until the fault is diagnosed and repaired. A single bad </w:t>
            </w:r>
          </w:p>
        </w:tc>
        <w:tc>
          <w:tcPr>
            <w:tcW w:type="dxa" w:w="1072"/>
            <w:shd w:val="clear" w:color="auto" w:fill="FFFFFF"/>
          </w:tcPr>
          <w:p>
            <w:r>
              <w:rPr>
                <w:b w:val="0"/>
                <w:sz w:val="18"/>
              </w:rPr>
              <w:t>User cannot complete sessions. For a daily-use wellness device used by people with neurological conditions, this is a significant availability failure. Contact resistance on ZIF connectors increases over the 1,000-cycle lifecycle; a marginal pin 18 connection may pass FAI but develop intermittent fa</w:t>
            </w:r>
          </w:p>
        </w:tc>
        <w:tc>
          <w:tcPr>
            <w:tcW w:type="dxa" w:w="1072"/>
            <w:shd w:val="clear" w:color="auto" w:fill="FFFFFF"/>
          </w:tcPr>
          <w:p>
            <w:r>
              <w:rPr>
                <w:b w:val="0"/>
                <w:sz w:val="18"/>
              </w:rPr>
            </w:r>
            <w:r>
              <w:rPr>
                <w:b w:val="0"/>
                <w:sz w:val="16"/>
              </w:rPr>
              <w:t>Three-layer mitigation: (1) Firmware: 3× ADC reads at 100 ms intervals before asserting FAULT — single transient contact resistance spike does not block session; only sustained open circuit triggers FAULT + audio alert. (2) FAI: FAI-K04 (pin 18 contact resistance ≤ 30 mΩ at 100 g insertion force) catches high-resistance contacts before field deployment. (3) App UX: FAULT condition triggers specific diagnostic message ('Zone module contact issue — remove and reinsert') rather than generic error.</w:t>
            </w:r>
          </w:p>
        </w:tc>
        <w:tc>
          <w:tcPr>
            <w:tcW w:type="dxa" w:w="1072"/>
            <w:shd w:val="clear" w:color="auto" w:fill="FFFFFF"/>
          </w:tcPr>
          <w:p>
            <w:r>
              <w:rPr>
                <w:b w:val="0"/>
                <w:sz w:val="18"/>
              </w:rPr>
              <w:t>Firmware / HW EE</w:t>
            </w:r>
          </w:p>
        </w:tc>
        <w:tc>
          <w:tcPr>
            <w:tcW w:type="dxa" w:w="1072"/>
            <w:shd w:val="clear" w:color="auto" w:fill="FFFFFF"/>
          </w:tcPr>
          <w:p>
            <w:r>
              <w:rPr>
                <w:b w:val="0"/>
                <w:sz w:val="18"/>
              </w:rPr>
            </w:r>
            <w:r>
              <w:rPr>
                <w:b w:val="0"/>
                <w:sz w:val="16"/>
              </w:rPr>
              <w:t>NP-HW-FPC-001 §5.2 pin 18; §11.4 ZONE_ID</w:t>
              <w:br/>
              <w:t>NP-FAI-ZM-001 FAI-K04</w:t>
              <w:br/>
              <w:t>NP-COORD-001 G2-07</w:t>
            </w:r>
          </w:p>
        </w:tc>
        <w:tc>
          <w:tcPr>
            <w:tcW w:type="dxa" w:w="1072"/>
            <w:shd w:val="clear" w:color="auto" w:fill="FFE699"/>
            <w:shd w:val="clear" w:color="auto" w:fill="FFF2CC"/>
            <w:shd w:val="clear" w:color="auto" w:fill="92D050"/>
          </w:tcPr>
          <w:p>
            <w:r>
              <w:rPr>
                <w:b w:val="0"/>
                <w:sz w:val="18"/>
              </w:rPr>
            </w:r>
            <w:r>
              <w:rPr>
                <w:b w:val="0"/>
                <w:sz w:val="16"/>
              </w:rPr>
            </w:r>
            <w:r>
              <w:rPr>
                <w:b/>
                <w:color w:val="007000"/>
                <w:sz w:val="16"/>
              </w:rPr>
              <w:t>MITIGATED — firmware debounce in spec; FAI-K04 validates; app UX diagnostic message specified</w:t>
            </w:r>
          </w:p>
        </w:tc>
      </w:tr>
      <w:tr>
        <w:tc>
          <w:tcPr>
            <w:tcW w:type="dxa" w:w="1072"/>
            <w:shd w:val="clear" w:color="auto" w:fill="FFFFFF"/>
          </w:tcPr>
          <w:p>
            <w:r>
              <w:rPr>
                <w:b w:val="0"/>
                <w:sz w:val="18"/>
              </w:rPr>
              <w:t>RISK-19</w:t>
            </w:r>
          </w:p>
        </w:tc>
        <w:tc>
          <w:tcPr>
            <w:tcW w:type="dxa" w:w="1072"/>
            <w:shd w:val="clear" w:color="auto" w:fill="FF0000"/>
          </w:tcPr>
          <w:p>
            <w:r>
              <w:rPr>
                <w:b/>
                <w:color w:val="FFFFFF"/>
                <w:sz w:val="18"/>
              </w:rPr>
            </w:r>
            <w:r>
              <w:rPr>
                <w:b/>
                <w:sz w:val="16"/>
              </w:rPr>
              <w:t>HIGH</w:t>
              <w:br/>
              <w:t>(MITIGATED)</w:t>
            </w:r>
          </w:p>
        </w:tc>
        <w:tc>
          <w:tcPr>
            <w:tcW w:type="dxa" w:w="1072"/>
            <w:shd w:val="clear" w:color="auto" w:fill="FFFFFF"/>
          </w:tcPr>
          <w:p>
            <w:r>
              <w:rPr>
                <w:b w:val="0"/>
                <w:sz w:val="18"/>
              </w:rPr>
              <w:t>Co-molded silicone gasket may delaminate from zone module body</w:t>
            </w:r>
          </w:p>
        </w:tc>
        <w:tc>
          <w:tcPr>
            <w:tcW w:type="dxa" w:w="1072"/>
            <w:shd w:val="clear" w:color="auto" w:fill="FFFFFF"/>
          </w:tcPr>
          <w:p>
            <w:r>
              <w:rPr>
                <w:b w:val="0"/>
                <w:sz w:val="18"/>
              </w:rPr>
              <w:t>The RISK-16 Option A gasket is co-molded silicone bonded to the zone module thermoplastic body (likely ABS, PC, or PC-ABS). Silicone-to-thermoplastic co-moulding adhesion depends on surface preparation and compatible chemistries — without a primer or adhesion promoter, bond strength at silicone-to-ABS interfaces is typically 3–8 N/mm (peel), which degrades with thermal cycling and repeated compre</w:t>
            </w:r>
          </w:p>
        </w:tc>
        <w:tc>
          <w:tcPr>
            <w:tcW w:type="dxa" w:w="1072"/>
            <w:shd w:val="clear" w:color="auto" w:fill="FFFFFF"/>
          </w:tcPr>
          <w:p>
            <w:r>
              <w:rPr>
                <w:b w:val="0"/>
                <w:sz w:val="18"/>
              </w:rPr>
              <w:t>Delaminated gasket: (1) IPX4 seal is lost — water and sweat ingress to Hub PCB and ZIF connector during use; (2) free silicone strip becomes debris inside the headset shell, potentially jamming the ZIF lever or shorting exposed contacts; (3) user may not notice delamination — no warning, no SHDR ale</w:t>
            </w:r>
          </w:p>
        </w:tc>
        <w:tc>
          <w:tcPr>
            <w:tcW w:type="dxa" w:w="1072"/>
            <w:shd w:val="clear" w:color="auto" w:fill="FFFFFF"/>
          </w:tcPr>
          <w:p>
            <w:r>
              <w:rPr>
                <w:b w:val="0"/>
                <w:sz w:val="18"/>
              </w:rPr>
              <w:t>Four mitigations required before tooling release: (1) Specify silicone primer/adhesion promoter on zone module body at gasket bond surface (e.g., Dow PR-1200 or equivalent) — include in zone module assembly process spec. (2) Add mechanical retention: groove or undercut in zone module body perimeter traps the gasket even if chemical bond fails — 'key' geometry prevents peel-off. (3) FAI gasket peel test (90°, 10 N/mm minimum) on production-representative co-mold sample — required before first pr</w:t>
            </w:r>
          </w:p>
        </w:tc>
        <w:tc>
          <w:tcPr>
            <w:tcW w:type="dxa" w:w="1072"/>
            <w:shd w:val="clear" w:color="auto" w:fill="FFFFFF"/>
          </w:tcPr>
          <w:p>
            <w:r>
              <w:rPr>
                <w:b w:val="0"/>
                <w:sz w:val="18"/>
              </w:rPr>
              <w:t>Mechanical Eng / Manufacturing Eng</w:t>
            </w:r>
          </w:p>
        </w:tc>
        <w:tc>
          <w:tcPr>
            <w:tcW w:type="dxa" w:w="1072"/>
            <w:shd w:val="clear" w:color="auto" w:fill="FFFFFF"/>
          </w:tcPr>
          <w:p>
            <w:r>
              <w:rPr>
                <w:b w:val="0"/>
                <w:sz w:val="18"/>
              </w:rPr>
              <w:t>§12</w:t>
            </w:r>
          </w:p>
        </w:tc>
        <w:tc>
          <w:tcPr>
            <w:tcW w:type="dxa" w:w="1072"/>
            <w:shd w:val="clear" w:color="auto" w:fill="FFE699"/>
            <w:shd w:val="clear" w:color="auto" w:fill="92D050"/>
          </w:tcPr>
          <w:p>
            <w:r>
              <w:rPr>
                <w:b w:val="0"/>
                <w:sz w:val="18"/>
              </w:rPr>
            </w:r>
            <w:r>
              <w:rPr>
                <w:b/>
                <w:color w:val="007000"/>
                <w:sz w:val="16"/>
              </w:rPr>
              <w:t>MITIGATED — F-06 retention groove + primer in NP-TOOL-ZM-001; FAI-K09 validates</w:t>
            </w:r>
          </w:p>
        </w:tc>
      </w:tr>
      <w:tr>
        <w:tc>
          <w:tcPr>
            <w:tcW w:type="dxa" w:w="1072"/>
            <w:shd w:val="clear" w:color="auto" w:fill="FFFFFF"/>
          </w:tcPr>
          <w:p>
            <w:r>
              <w:rPr>
                <w:b w:val="0"/>
                <w:sz w:val="18"/>
              </w:rPr>
              <w:t>RISK-20</w:t>
            </w:r>
          </w:p>
        </w:tc>
        <w:tc>
          <w:tcPr>
            <w:tcW w:type="dxa" w:w="1072"/>
            <w:shd w:val="clear" w:color="auto" w:fill="FF0000"/>
          </w:tcPr>
          <w:p>
            <w:r>
              <w:rPr>
                <w:b/>
                <w:color w:val="FFFFFF"/>
                <w:sz w:val="18"/>
              </w:rPr>
              <w:t>HIGH</w:t>
            </w:r>
          </w:p>
        </w:tc>
        <w:tc>
          <w:tcPr>
            <w:tcW w:type="dxa" w:w="1072"/>
            <w:shd w:val="clear" w:color="auto" w:fill="FFFFFF"/>
          </w:tcPr>
          <w:p>
            <w:r>
              <w:rPr>
                <w:b w:val="0"/>
                <w:sz w:val="18"/>
              </w:rPr>
              <w:t>CFRP shell slot rim Ra ≤ 1.6 µm surface finish may require secondary operations</w:t>
            </w:r>
          </w:p>
        </w:tc>
        <w:tc>
          <w:tcPr>
            <w:tcW w:type="dxa" w:w="1072"/>
            <w:shd w:val="clear" w:color="auto" w:fill="FFFFFF"/>
          </w:tcPr>
          <w:p>
            <w:r>
              <w:rPr>
                <w:b w:val="0"/>
                <w:sz w:val="18"/>
              </w:rPr>
              <w:t>The RISK-16 Option A gasket spec requires shell slot rim Ra ≤ 1.6 µm for reliable sealing. Molded CFRP typically achieves Ra 1.6–3.2 µm depending on mold tool finish and release agent. Ra ≤ 1.6 µm on CFRP requires either: a precision-polished mold tool (achievable but adds $5K–15K to shell tooling NRE and extends lead time), a gel-coat or paint layer on the slot interior (adds 0.05–0.15 mm to s</w:t>
            </w:r>
          </w:p>
        </w:tc>
        <w:tc>
          <w:tcPr>
            <w:tcW w:type="dxa" w:w="1072"/>
            <w:shd w:val="clear" w:color="auto" w:fill="FFFFFF"/>
          </w:tcPr>
          <w:p>
            <w:r>
              <w:rPr>
                <w:b w:val="0"/>
                <w:sz w:val="18"/>
              </w:rPr>
              <w:t>If slot rim Ra &gt; 1.6 µm in production tooling: gasket sealing is inconsistent — microscale surface peaks penetrate the gasket, creating leak paths. IPX4 claim fails. 'Workout-safe' marketing claim cannot be made. Discovering this post-tooling requires either tooling rework (expensive), gel-coat rewo</w:t>
            </w:r>
          </w:p>
        </w:tc>
        <w:tc>
          <w:tcPr>
            <w:tcW w:type="dxa" w:w="1072"/>
            <w:shd w:val="clear" w:color="auto" w:fill="FFFFFF"/>
          </w:tcPr>
          <w:p>
            <w:r>
              <w:rPr>
                <w:b w:val="0"/>
                <w:sz w:val="18"/>
              </w:rPr>
              <w:t>Required before tooling specification release: (1) Confirm achievable Ra on CFRP slot interior with shell tooling manufacturer — get written commitment to Ra ≤ 1.6 µm or identify secondary operation needed. (2) If secondary operation required: specify in shell tooling drawing and add to production process flow. Measure Ra on first-article shell with contact profilometer. (3) Alternative: if Ra ≤ 1.6 µm not reliably achievable, increase gasket durometer to Shore 50–60A and increase gasket compres</w:t>
            </w:r>
          </w:p>
        </w:tc>
        <w:tc>
          <w:tcPr>
            <w:tcW w:type="dxa" w:w="1072"/>
            <w:shd w:val="clear" w:color="auto" w:fill="FFFFFF"/>
          </w:tcPr>
          <w:p>
            <w:r>
              <w:rPr>
                <w:b w:val="0"/>
                <w:sz w:val="18"/>
              </w:rPr>
              <w:t>Mechanical Eng / Manufacturing Eng</w:t>
            </w:r>
          </w:p>
        </w:tc>
        <w:tc>
          <w:tcPr>
            <w:tcW w:type="dxa" w:w="1072"/>
            <w:shd w:val="clear" w:color="auto" w:fill="FFFFFF"/>
          </w:tcPr>
          <w:p>
            <w:r>
              <w:rPr>
                <w:b w:val="0"/>
                <w:sz w:val="18"/>
              </w:rPr>
            </w:r>
            <w:r>
              <w:rPr>
                <w:b w:val="0"/>
                <w:sz w:val="16"/>
              </w:rPr>
              <w:t>NP-PROC-SUP-001 §4 SUP-M-07, §6 SUP-B-01, §9</w:t>
              <w:br/>
              <w:t>NP-TOOL-ZM-001 §5 OI-1</w:t>
            </w:r>
          </w:p>
        </w:tc>
        <w:tc>
          <w:tcPr>
            <w:tcW w:type="dxa" w:w="1072"/>
            <w:shd w:val="clear" w:color="auto" w:fill="FFE699"/>
            <w:shd w:val="clear" w:color="auto" w:fill="FFF2CC"/>
            <w:shd w:val="clear" w:color="auto" w:fill="FFF2CC"/>
          </w:tcPr>
          <w:p>
            <w:r>
              <w:rPr>
                <w:b w:val="0"/>
                <w:sz w:val="18"/>
              </w:rPr>
            </w:r>
            <w:r>
              <w:rPr>
                <w:b w:val="0"/>
                <w:sz w:val="16"/>
              </w:rPr>
            </w:r>
            <w:r>
              <w:rPr>
                <w:b w:val="0"/>
                <w:sz w:val="16"/>
              </w:rPr>
              <w:t>OPEN — awaiting CFRP supplier written confirmation (Ra data + letter). NP-PROC-SUP-001 SUP-M-07 and SUP-B-01 are BLOCKING qualification items. Cannot release tooling until confirmed.</w:t>
            </w:r>
          </w:p>
        </w:tc>
      </w:tr>
      <w:tr>
        <w:tc>
          <w:tcPr>
            <w:tcW w:type="dxa" w:w="1072"/>
            <w:shd w:val="clear" w:color="auto" w:fill="FFFFFF"/>
          </w:tcPr>
          <w:p>
            <w:r>
              <w:rPr>
                <w:b w:val="0"/>
                <w:sz w:val="18"/>
              </w:rPr>
              <w:t>RISK-21</w:t>
            </w:r>
          </w:p>
        </w:tc>
        <w:tc>
          <w:tcPr>
            <w:tcW w:type="dxa" w:w="1072"/>
            <w:shd w:val="clear" w:color="auto" w:fill="FF0000"/>
            <w:shd w:val="clear" w:color="auto" w:fill="E2EFDA"/>
          </w:tcPr>
          <w:p>
            <w:r>
              <w:rPr>
                <w:b/>
                <w:color w:val="FFFFFF"/>
                <w:sz w:val="18"/>
              </w:rPr>
            </w:r>
            <w:r>
              <w:rPr>
                <w:b/>
                <w:color w:val="007000"/>
                <w:sz w:val="16"/>
              </w:rPr>
              <w:t>HIGH</w:t>
              <w:br/>
              <w:t>(MITIGATED)</w:t>
            </w:r>
          </w:p>
        </w:tc>
        <w:tc>
          <w:tcPr>
            <w:tcW w:type="dxa" w:w="1072"/>
            <w:shd w:val="clear" w:color="auto" w:fill="FFFFFF"/>
          </w:tcPr>
          <w:p>
            <w:r>
              <w:rPr>
                <w:b w:val="0"/>
                <w:sz w:val="18"/>
              </w:rPr>
              <w:t>EEG electrode cable routing path inside shell is unspecified — DRC-18 cannot be verified</w:t>
            </w:r>
          </w:p>
        </w:tc>
        <w:tc>
          <w:tcPr>
            <w:tcW w:type="dxa" w:w="1072"/>
            <w:shd w:val="clear" w:color="auto" w:fill="FFFFFF"/>
          </w:tcPr>
          <w:p>
            <w:r>
              <w:rPr>
                <w:b w:val="0"/>
                <w:sz w:val="18"/>
              </w:rPr>
              <w:t>RISK-17 mitigation (NP-DRV-SHELL-001 §2.3) requires ≥ 15 mm separation between zone module FPC tails and EEG electrode cables (DRC-18). However, the EEG electrode cable routing path inside the CFRP shell has never been specified — no routing document, no cable path drawing, no cable type or diameter spec exists. DRC-18 compares FPC paths against EEG cable paths in CAD overlay, but one of the two p</w:t>
            </w:r>
          </w:p>
        </w:tc>
        <w:tc>
          <w:tcPr>
            <w:tcW w:type="dxa" w:w="1072"/>
            <w:shd w:val="clear" w:color="auto" w:fill="FFFFFF"/>
          </w:tcPr>
          <w:p>
            <w:r>
              <w:rPr>
                <w:b w:val="0"/>
                <w:sz w:val="18"/>
              </w:rPr>
              <w:t>Shell tooling is cut without EEG cable routing provisions. EEG cables, routed ad-hoc during assembly, may pass within 2–5 mm of FPC power tails. At 1.8 A RMS at ≥ 1 kHz, this produces &gt; 100 µV of EEG artifact — masking delta and theta band activity entirely and producing artefactual gamma signals. C</w:t>
            </w:r>
          </w:p>
        </w:tc>
        <w:tc>
          <w:tcPr>
            <w:tcW w:type="dxa" w:w="1072"/>
            <w:shd w:val="clear" w:color="auto" w:fill="FFFFFF"/>
          </w:tcPr>
          <w:p>
            <w:r>
              <w:rPr>
                <w:b w:val="0"/>
                <w:sz w:val="18"/>
              </w:rPr>
            </w:r>
            <w:r>
              <w:rPr>
                <w:b w:val="0"/>
                <w:sz w:val="16"/>
              </w:rPr>
              <w:t>EEG cables routed along outer CFRP surface (opposite side from FPC bundle). §2.4 added to NP-DRV-SHELL-001 specifying dedicated 8×5 mm molded channel. DRC-22/23 added to checklist. OI-09/10 track remaining CAD confirmation.</w:t>
            </w:r>
          </w:p>
        </w:tc>
        <w:tc>
          <w:tcPr>
            <w:tcW w:type="dxa" w:w="1072"/>
            <w:shd w:val="clear" w:color="auto" w:fill="FFFFFF"/>
          </w:tcPr>
          <w:p>
            <w:r>
              <w:rPr>
                <w:b w:val="0"/>
                <w:sz w:val="18"/>
              </w:rPr>
              <w:t>Mechanical Eng / HW EE</w:t>
            </w:r>
          </w:p>
        </w:tc>
        <w:tc>
          <w:tcPr>
            <w:tcW w:type="dxa" w:w="1072"/>
            <w:shd w:val="clear" w:color="auto" w:fill="FFFFFF"/>
          </w:tcPr>
          <w:p>
            <w:r>
              <w:rPr>
                <w:b w:val="0"/>
                <w:sz w:val="18"/>
              </w:rPr>
              <w:t>NP-DRV-SHELL-001 §2.3, DRC-18</w:t>
            </w:r>
          </w:p>
        </w:tc>
        <w:tc>
          <w:tcPr>
            <w:tcW w:type="dxa" w:w="1072"/>
            <w:shd w:val="clear" w:color="auto" w:fill="FFE699"/>
            <w:shd w:val="clear" w:color="auto" w:fill="92D050"/>
          </w:tcPr>
          <w:p>
            <w:r>
              <w:rPr>
                <w:b w:val="0"/>
                <w:sz w:val="18"/>
              </w:rPr>
            </w:r>
            <w:r>
              <w:rPr>
                <w:b/>
                <w:color w:val="007000"/>
                <w:sz w:val="16"/>
              </w:rPr>
              <w:t>MITIGATED — NP-DRV-SHELL-001 §2.4; DRC-22/23</w:t>
            </w:r>
          </w:p>
        </w:tc>
      </w:tr>
      <w:tr>
        <w:tc>
          <w:tcPr>
            <w:tcW w:type="dxa" w:w="1072"/>
            <w:shd w:val="clear" w:color="auto" w:fill="FFFFFF"/>
          </w:tcPr>
          <w:p>
            <w:r>
              <w:rPr>
                <w:b w:val="0"/>
                <w:sz w:val="18"/>
              </w:rPr>
              <w:t>RISK-22</w:t>
            </w:r>
          </w:p>
        </w:tc>
        <w:tc>
          <w:tcPr>
            <w:tcW w:type="dxa" w:w="1072"/>
            <w:shd w:val="clear" w:color="auto" w:fill="FF9900"/>
            <w:shd w:val="clear" w:color="auto" w:fill="E2EFDA"/>
          </w:tcPr>
          <w:p>
            <w:r>
              <w:rPr>
                <w:b/>
                <w:sz w:val="18"/>
              </w:rPr>
            </w:r>
            <w:r>
              <w:rPr>
                <w:b/>
                <w:color w:val="007000"/>
                <w:sz w:val="16"/>
              </w:rPr>
              <w:t>MEDIUM</w:t>
              <w:br/>
              <w:t>(MITIGATED)</w:t>
            </w:r>
          </w:p>
        </w:tc>
        <w:tc>
          <w:tcPr>
            <w:tcW w:type="dxa" w:w="1072"/>
            <w:shd w:val="clear" w:color="auto" w:fill="FFFFFF"/>
          </w:tcPr>
          <w:p>
            <w:r>
              <w:rPr>
                <w:b w:val="0"/>
                <w:sz w:val="18"/>
              </w:rPr>
              <w:t>Gasket compression force (2–4 N) and mechanical key alignment impede zone module replacement by users with reduced grip strength or tremor</w:t>
            </w:r>
          </w:p>
        </w:tc>
        <w:tc>
          <w:tcPr>
            <w:tcW w:type="dxa" w:w="1072"/>
            <w:shd w:val="clear" w:color="auto" w:fill="FFFFFF"/>
          </w:tcPr>
          <w:p>
            <w:r>
              <w:rPr>
                <w:b w:val="0"/>
                <w:sz w:val="18"/>
              </w:rPr>
              <w:t>Two RISK-15/16 mitigations add resistance to zone module insertion and extraction: (a) The co-molded silicone compression gasket (RISK-16) adds 2–4 N extraction force — the gasket must be overcome to remove the module. (b) The asymmetric mechanical key (RISK-15 Layer 1) requires precise alignment before insertion — users must locate the key orientation before the module will enter. NeurOne's t</w:t>
            </w:r>
          </w:p>
        </w:tc>
        <w:tc>
          <w:tcPr>
            <w:tcW w:type="dxa" w:w="1072"/>
            <w:shd w:val="clear" w:color="auto" w:fill="FFFFFF"/>
          </w:tcPr>
          <w:p>
            <w:r>
              <w:rPr>
                <w:b w:val="0"/>
                <w:sz w:val="18"/>
              </w:rPr>
              <w:t>User cannot independently replace zone modules in the field. This is both a usability failure (reduces autonomy) and a clinical risk (user cannot address a fouled PDMS window or degraded module without help). If NeurOne markets autonomous home use as a differentiator, inability to self-service un</w:t>
            </w:r>
          </w:p>
        </w:tc>
        <w:tc>
          <w:tcPr>
            <w:tcW w:type="dxa" w:w="1072"/>
            <w:shd w:val="clear" w:color="auto" w:fill="FFFFFF"/>
          </w:tcPr>
          <w:p>
            <w:r>
              <w:rPr>
                <w:b w:val="0"/>
                <w:sz w:val="18"/>
              </w:rPr>
            </w:r>
            <w:r>
              <w:rPr>
                <w:b w:val="0"/>
                <w:sz w:val="16"/>
              </w:rPr>
              <w:t>Option A sliding eject lever: 10–12 mm lever arm with 3:1 mechanical advantage reduces extraction force from 2–4 N to ≤1 N at lever tip. Recessed flush when closed; snap-fit detent (0.3–0.5 N release) prevents accidental ejection during wear. Hinge pin boss molded into zone module body; 316SS hinge pin press-fit. Lever clears ZIF mechanism (OI-7 confirms). FAI-A15 validates with 5 Parkinson's/post-stroke subjects (≤10 s extraction, ≤2 attempts, no pain).</w:t>
            </w:r>
          </w:p>
        </w:tc>
        <w:tc>
          <w:tcPr>
            <w:tcW w:type="dxa" w:w="1072"/>
            <w:shd w:val="clear" w:color="auto" w:fill="FFFFFF"/>
          </w:tcPr>
          <w:p>
            <w:r>
              <w:rPr>
                <w:b w:val="0"/>
                <w:sz w:val="18"/>
              </w:rPr>
              <w:t>UX / Mechanical Eng / Regulatory</w:t>
            </w:r>
          </w:p>
        </w:tc>
        <w:tc>
          <w:tcPr>
            <w:tcW w:type="dxa" w:w="1072"/>
            <w:shd w:val="clear" w:color="auto" w:fill="FFFFFF"/>
          </w:tcPr>
          <w:p>
            <w:r>
              <w:rPr>
                <w:b w:val="0"/>
                <w:sz w:val="18"/>
              </w:rPr>
            </w:r>
            <w:r>
              <w:rPr>
                <w:b w:val="0"/>
                <w:sz w:val="16"/>
              </w:rPr>
              <w:t>NP-TOOL-ZM-001 F-08 (updated)</w:t>
              <w:br/>
              <w:t>NP-FAI-ZM-001 FAI-A15</w:t>
            </w:r>
          </w:p>
        </w:tc>
        <w:tc>
          <w:tcPr>
            <w:tcW w:type="dxa" w:w="1072"/>
            <w:shd w:val="clear" w:color="auto" w:fill="FFE699"/>
            <w:shd w:val="clear" w:color="auto" w:fill="FFF2CC"/>
            <w:shd w:val="clear" w:color="auto" w:fill="92D050"/>
          </w:tcPr>
          <w:p>
            <w:r>
              <w:rPr>
                <w:b w:val="0"/>
                <w:sz w:val="18"/>
              </w:rPr>
            </w:r>
            <w:r>
              <w:rPr>
                <w:b w:val="0"/>
                <w:sz w:val="16"/>
              </w:rPr>
            </w:r>
            <w:r>
              <w:rPr>
                <w:b/>
                <w:color w:val="007000"/>
                <w:sz w:val="16"/>
              </w:rPr>
              <w:t>MITIGATED — Option A lever specified in NP-TOOL-ZM-001 F-08; FAI-A15 HFE test added; OI-7 tracks CAD clearance check</w:t>
            </w:r>
          </w:p>
        </w:tc>
      </w:tr>
      <w:tr>
        <w:tc>
          <w:tcPr>
            <w:tcW w:type="dxa" w:w="1072"/>
            <w:shd w:val="clear" w:color="auto" w:fill="FFFFFF"/>
          </w:tcPr>
          <w:p>
            <w:r>
              <w:rPr>
                <w:b w:val="0"/>
                <w:sz w:val="18"/>
              </w:rPr>
              <w:t>RISK-23</w:t>
            </w:r>
          </w:p>
        </w:tc>
        <w:tc>
          <w:tcPr>
            <w:tcW w:type="dxa" w:w="1072"/>
            <w:shd w:val="clear" w:color="auto" w:fill="FF0000"/>
            <w:shd w:val="clear" w:color="auto" w:fill="E2EFDA"/>
          </w:tcPr>
          <w:p>
            <w:r>
              <w:rPr>
                <w:b/>
                <w:color w:val="FFFFFF"/>
                <w:sz w:val="18"/>
              </w:rPr>
            </w:r>
            <w:r>
              <w:rPr>
                <w:b/>
                <w:color w:val="007000"/>
                <w:sz w:val="16"/>
              </w:rPr>
              <w:t>HIGH</w:t>
              <w:br/>
              <w:t>(MITIGATED)</w:t>
            </w:r>
          </w:p>
        </w:tc>
        <w:tc>
          <w:tcPr>
            <w:tcW w:type="dxa" w:w="1072"/>
            <w:shd w:val="clear" w:color="auto" w:fill="FFFFFF"/>
          </w:tcPr>
          <w:p>
            <w:r>
              <w:rPr>
                <w:b w:val="0"/>
                <w:sz w:val="18"/>
              </w:rPr>
              <w:t>Zone module mold requires 4 simultaneous co-molded features — omission risk before first-cut</w:t>
            </w:r>
          </w:p>
        </w:tc>
        <w:tc>
          <w:tcPr>
            <w:tcW w:type="dxa" w:w="1072"/>
            <w:shd w:val="clear" w:color="auto" w:fill="FFFFFF"/>
          </w:tcPr>
          <w:p>
            <w:r>
              <w:rPr>
                <w:b w:val="0"/>
                <w:sz w:val="18"/>
              </w:rPr>
              <w:t>The zone module injection mold must now incorporate four distinct co-molded or molded-in features, each specified in a different document and driven by a different risk mitigation: (1) Braille abbreviation + raised numeral on module face (RISK-15 Layer 3, ISO 17049:2013); (2) Co-molded silicone lip seal gasket on module perimeter (RISK-16 Option A); (3) Optical baffle housing/aperture for refe</w:t>
            </w:r>
          </w:p>
        </w:tc>
        <w:tc>
          <w:tcPr>
            <w:tcW w:type="dxa" w:w="1072"/>
            <w:shd w:val="clear" w:color="auto" w:fill="FFFFFF"/>
          </w:tcPr>
          <w:p>
            <w:r>
              <w:rPr>
                <w:b w:val="0"/>
                <w:sz w:val="18"/>
              </w:rPr>
              <w:t>Any feature omitted from zone module tooling cannot be retrofitted post-cut — a full mold retool is required. Retool cost: $20,000–60,000 per mold, 8–16 week lead time, program delay. Worst case: all 4 features omitted from initial tooling specification = 3–4 sequential retool cycles before prod</w:t>
            </w:r>
          </w:p>
        </w:tc>
        <w:tc>
          <w:tcPr>
            <w:tcW w:type="dxa" w:w="1072"/>
            <w:shd w:val="clear" w:color="auto" w:fill="FFFFFF"/>
          </w:tcPr>
          <w:p>
            <w:r>
              <w:rPr>
                <w:b w:val="0"/>
                <w:sz w:val="18"/>
              </w:rPr>
            </w:r>
            <w:r>
              <w:rPr>
                <w:b w:val="0"/>
                <w:sz w:val="16"/>
              </w:rPr>
              <w:t>NP-TOOL-ZM-001 created consolidating all 8 molded features (F-01 through F-08). 12-item mold design review checklist in §5. All features traceable to risk register. G1-05 gate in NP-COORD-001 requires sign-off before steel cut.</w:t>
            </w:r>
          </w:p>
        </w:tc>
        <w:tc>
          <w:tcPr>
            <w:tcW w:type="dxa" w:w="1072"/>
            <w:shd w:val="clear" w:color="auto" w:fill="FFFFFF"/>
          </w:tcPr>
          <w:p>
            <w:r>
              <w:rPr>
                <w:b w:val="0"/>
                <w:sz w:val="18"/>
              </w:rPr>
              <w:t>Mechanical Eng / Program Manager</w:t>
            </w:r>
          </w:p>
        </w:tc>
        <w:tc>
          <w:tcPr>
            <w:tcW w:type="dxa" w:w="1072"/>
            <w:shd w:val="clear" w:color="auto" w:fill="FFFFFF"/>
          </w:tcPr>
          <w:p>
            <w:r>
              <w:rPr>
                <w:b w:val="0"/>
                <w:sz w:val="18"/>
              </w:rPr>
              <w:t>§8.2, §11.4, §12, NP-HW-FPC-001</w:t>
            </w:r>
          </w:p>
        </w:tc>
        <w:tc>
          <w:tcPr>
            <w:tcW w:type="dxa" w:w="1072"/>
            <w:shd w:val="clear" w:color="auto" w:fill="FFE699"/>
            <w:shd w:val="clear" w:color="auto" w:fill="92D050"/>
          </w:tcPr>
          <w:p>
            <w:r>
              <w:rPr>
                <w:b w:val="0"/>
                <w:sz w:val="18"/>
              </w:rPr>
            </w:r>
            <w:r>
              <w:rPr>
                <w:b/>
                <w:color w:val="007000"/>
                <w:sz w:val="16"/>
              </w:rPr>
              <w:t>MITIGATED — NP-TOOL-ZM-001 Rev A</w:t>
            </w:r>
          </w:p>
        </w:tc>
      </w:tr>
      <w:tr>
        <w:tc>
          <w:tcPr>
            <w:tcW w:type="dxa" w:w="1072"/>
            <w:shd w:val="clear" w:color="auto" w:fill="FFFFFF"/>
          </w:tcPr>
          <w:p>
            <w:r>
              <w:rPr>
                <w:b w:val="0"/>
                <w:sz w:val="18"/>
              </w:rPr>
              <w:t>RISK-24</w:t>
            </w:r>
          </w:p>
        </w:tc>
        <w:tc>
          <w:tcPr>
            <w:tcW w:type="dxa" w:w="1072"/>
            <w:shd w:val="clear" w:color="auto" w:fill="FF9900"/>
          </w:tcPr>
          <w:p>
            <w:r>
              <w:rPr>
                <w:b/>
                <w:sz w:val="18"/>
              </w:rPr>
            </w:r>
            <w:r>
              <w:rPr>
                <w:b/>
                <w:sz w:val="16"/>
              </w:rPr>
              <w:t>MEDIUM</w:t>
              <w:br/>
              <w:t>(MITIGATED)</w:t>
            </w:r>
          </w:p>
        </w:tc>
        <w:tc>
          <w:tcPr>
            <w:tcW w:type="dxa" w:w="1072"/>
            <w:shd w:val="clear" w:color="auto" w:fill="FFFFFF"/>
          </w:tcPr>
          <w:p>
            <w:r>
              <w:rPr>
                <w:b w:val="0"/>
                <w:sz w:val="18"/>
              </w:rPr>
              <w:t>15 mm FPC-to-EEG cable separation requirement may be geometrically unachievable inside headset shell without design compromise</w:t>
            </w:r>
          </w:p>
        </w:tc>
        <w:tc>
          <w:tcPr>
            <w:tcW w:type="dxa" w:w="1072"/>
            <w:shd w:val="clear" w:color="auto" w:fill="FFFFFF"/>
          </w:tcPr>
          <w:p>
            <w:r>
              <w:rPr>
                <w:b w:val="0"/>
                <w:sz w:val="18"/>
              </w:rPr>
              <w:t>RISK-17 mitigation specifies ≥ 15 mm separation between zone module FPC power tails (1.8 A RMS) and EEG electrode signal cables. The NeurOne headset CFRP shell interior must simultaneously house: 5 FPC routing channels (each 3 mm wide × 1.5 mm deep), EEG electrode cables for 8 channels plus references, structural ribs, Boa cable routing, audio cable routing to over-ear speakers, and the Hub PCB</w:t>
            </w:r>
          </w:p>
        </w:tc>
        <w:tc>
          <w:tcPr>
            <w:tcW w:type="dxa" w:w="1072"/>
            <w:shd w:val="clear" w:color="auto" w:fill="FFFFFF"/>
          </w:tcPr>
          <w:p>
            <w:r>
              <w:rPr>
                <w:b w:val="0"/>
                <w:sz w:val="18"/>
              </w:rPr>
              <w:t xml:space="preserve">If 15 mm separation is not geometrically achievable: (a) Shell geometry must be enlarged (increases headset size, reduces wearability); (b) Grounded barrier must be inserted between FPC and EEG channels (adds parts, weight, assembly complexity); (c) Separation requirement must be relaxed (increases </w:t>
            </w:r>
          </w:p>
        </w:tc>
        <w:tc>
          <w:tcPr>
            <w:tcW w:type="dxa" w:w="1072"/>
            <w:shd w:val="clear" w:color="auto" w:fill="FFFFFF"/>
          </w:tcPr>
          <w:p>
            <w:r>
              <w:rPr>
                <w:b w:val="0"/>
                <w:sz w:val="18"/>
              </w:rPr>
              <w:t>Resolution requires shell CAD model (which does not yet exist — see RISK-21). Until CAD is available: (1) Architectural decision: route EEG cables and FPC tails on opposite halves of the shell interior (FPC tails on headset crown side, EEG cables on scalp side). This maximises separation without specifying exact dimensions. (2) If barrier is needed: 0.1 mm aluminium foil strip bonded to shell interior and connected to chassis GND — adds &lt; 1 g weight, negligible cost. (3) DRC-18 in NP-DRV-SHELL-0</w:t>
            </w:r>
          </w:p>
        </w:tc>
        <w:tc>
          <w:tcPr>
            <w:tcW w:type="dxa" w:w="1072"/>
            <w:shd w:val="clear" w:color="auto" w:fill="FFFFFF"/>
          </w:tcPr>
          <w:p>
            <w:r>
              <w:rPr>
                <w:b w:val="0"/>
                <w:sz w:val="18"/>
              </w:rPr>
              <w:t>Mechanical Eng / HW EE</w:t>
            </w:r>
          </w:p>
        </w:tc>
        <w:tc>
          <w:tcPr>
            <w:tcW w:type="dxa" w:w="1072"/>
            <w:shd w:val="clear" w:color="auto" w:fill="FFFFFF"/>
          </w:tcPr>
          <w:p>
            <w:r>
              <w:rPr>
                <w:b w:val="0"/>
                <w:sz w:val="18"/>
              </w:rPr>
              <w:t>NP-DRV-SHELL-001 §2.3, DRC-18</w:t>
            </w:r>
          </w:p>
        </w:tc>
        <w:tc>
          <w:tcPr>
            <w:tcW w:type="dxa" w:w="1072"/>
            <w:shd w:val="clear" w:color="auto" w:fill="FFE699"/>
            <w:shd w:val="clear" w:color="auto" w:fill="92D050"/>
          </w:tcPr>
          <w:p>
            <w:r>
              <w:rPr>
                <w:b w:val="0"/>
                <w:sz w:val="18"/>
              </w:rPr>
            </w:r>
            <w:r>
              <w:rPr>
                <w:b/>
                <w:color w:val="007000"/>
                <w:sz w:val="16"/>
              </w:rPr>
              <w:t>MITIGATED — §2.4 DRC-18a/b provides primary routing + barrier fallback</w:t>
            </w:r>
          </w:p>
        </w:tc>
      </w:tr>
      <w:tr>
        <w:tc>
          <w:tcPr>
            <w:tcW w:w="792" w:type="dxa"/>
          </w:tcPr>
          <w:p>
            <w:r>
              <w:rPr>
                <w:sz w:val="16"/>
              </w:rPr>
              <w:t xml:space="preserve">RISK-25</w:t>
            </w:r>
          </w:p>
        </w:tc>
        <w:tc>
          <w:tcPr>
            <w:tcW w:w="1007" w:type="dxa"/>
            <w:shd w:val="clear" w:color="auto" w:fill="E2EFDA"/>
          </w:tcPr>
          <w:p>
            <w:r>
              <w:rPr>
                <w:b/>
              </w:rPr>
              <w:t>LOW</w:t>
              <w:br/>
              <w:t>(MITIGATED)</w:t>
            </w:r>
          </w:p>
        </w:tc>
        <w:tc>
          <w:tcPr>
            <w:tcW w:w="864" w:type="dxa"/>
          </w:tcPr>
          <w:p>
            <w:r>
              <w:t>Cervical VNS cardiac reflex — bradycardia or asystole from vagal stimulation at carotid sheath proximity</w:t>
            </w:r>
          </w:p>
        </w:tc>
        <w:tc>
          <w:tcPr>
            <w:tcW w:w="1152" w:type="dxa"/>
          </w:tcPr>
          <w:p>
            <w:r>
              <w:t>Carotid sinus proximity; parasympathetic activation; current spreading to baroreceptors</w:t>
            </w:r>
          </w:p>
        </w:tc>
        <w:tc>
          <w:tcPr>
            <w:tcW w:w="1007" w:type="dxa"/>
          </w:tcPr>
          <w:p>
            <w:r>
              <w:t>Bradycardia, hypotension, vasovagal syncope, or (in extreme cases) asystole during stimulation session</w:t>
            </w:r>
          </w:p>
        </w:tc>
        <w:tc>
          <w:tcPr>
            <w:tcW w:w="2736" w:type="dxa"/>
          </w:tcPr>
          <w:p>
            <w:r>
              <w:t>Safety MCU dual-processor cardiac interlock (NP-FW-CVNS-001 Rev A)</w:t>
            </w:r>
          </w:p>
        </w:tc>
        <w:tc>
          <w:tcPr>
            <w:tcW w:w="792" w:type="dxa"/>
          </w:tcPr>
          <w:p>
            <w:r>
              <w:t>Firmware / Safety Engineering</w:t>
            </w:r>
          </w:p>
        </w:tc>
        <w:tc>
          <w:tcPr>
            <w:tcW w:w="1440" w:type="dxa"/>
          </w:tcPr>
          <w:p>
            <w:r>
              <w:t>NP-FW-CVNS-001 Rev A</w:t>
              <w:br/>
              <w:t>FAI-CV01, FAI-CV02, FAI-CV03</w:t>
            </w:r>
          </w:p>
        </w:tc>
        <w:tc>
          <w:tcPr>
            <w:tcW w:w="1872" w:type="dxa"/>
            <w:shd w:val="clear" w:color="auto" w:fill="92D050"/>
          </w:tcPr>
          <w:p>
            <w:r>
              <w:t>MITIGATED</w:t>
            </w:r>
          </w:p>
        </w:tc>
      </w:tr>
    </w:tbl>
    <w:p/>
    <w:p>
      <w:r>
        <w:br w:type="page"/>
      </w:r>
    </w:p>
    <w:p>
      <w:pPr>
        <w:spacing w:before="240"/>
      </w:pPr>
      <w:r>
        <w:rPr>
          <w:b/>
          <w:color w:val="003366"/>
          <w:sz w:val="26"/>
        </w:rPr>
        <w:t>DETAILED ANALYSIS — CRITICAL RISKS</w:t>
      </w:r>
    </w:p>
    <w:p>
      <w:pPr>
        <w:spacing w:before="160"/>
      </w:pPr>
      <w:r>
        <w:rPr>
          <w:b/>
          <w:color w:val="007733"/>
          <w:sz w:val="22"/>
        </w:rPr>
        <w:t>RISK-01  |  CRITICAL (MITIGATED)  |  Connector Family Corrected: Hirose FH34S</w:t>
      </w:r>
    </w:p>
    <w:p>
      <w:pPr>
        <w:ind w:firstLine="216"/>
      </w:pPr>
      <w:r>
        <w:t>The CLAUDE.md specification (§7.1) calls for "Zone module connectors: 1,000-cycle rated (Molex SlimStack)." This is incorrect. Molex SlimStack (product families 502430, 505430, 505568) is a board-to-board (BTB) stacking connector system using rigid PCB pads on both mating halves. It has no mechanism for accepting a flat FPC tail, no ZIF lever, and no application in FPC-to-PCB connections.</w:t>
      </w:r>
    </w:p>
    <w:p>
      <w:pPr>
        <w:ind w:firstLine="216"/>
      </w:pPr>
      <w:r>
        <w:t>Molex's actual FPC connector families (52610, 52745, 52892 / Easy-On series) use ZIF lever mechanisms, but are rated only 20–30 insertion cycles — approximately two orders of magnitude below the 1,000-cycle requirement.</w:t>
      </w:r>
    </w:p>
    <w:p>
      <w:pPr>
        <w:ind w:firstLine="216"/>
      </w:pPr>
      <w:r>
        <w:t>The Hirose FH34S series (e.g., FH34S-20S-0.5SH(50)) is the correct connector for this application: 0.5 mm pitch, back-flip lever ZIF actuation (zero insertion force, tool-free extraction), 1.0 mm mated height, 0.5 A per contact, and high insertion cycle rating per product specification. The JAE FF03 series is a qualified backup. Both must be confirmed from full datasheets before BOM lock.</w:t>
      </w:r>
    </w:p>
    <w:p>
      <w:pPr>
        <w:pStyle w:val="ListBullet"/>
        <w:spacing w:after="40"/>
      </w:pPr>
      <w:r>
        <w:rPr>
          <w:sz w:val="20"/>
        </w:rPr>
        <w:t>✓ Action 1 (DONE): Update CLAUDE.md §7.1 — replace "Molex SlimStack" with "Hirose FH34S or JAE FF03 (0.5 mm pitch, lever ZIF, ≥1,000 cycle rated)"</w:t>
      </w:r>
    </w:p>
    <w:p>
      <w:pPr>
        <w:pStyle w:val="ListBullet"/>
        <w:spacing w:after="40"/>
      </w:pPr>
      <w:r>
        <w:rPr>
          <w:sz w:val="20"/>
        </w:rPr>
        <w:t>→ Action 2 (REMAINING): Pull Hirose FH34S full datasheet from hirose.com; confirm "endurance: 1,000 cycles" in test conditions table</w:t>
      </w:r>
    </w:p>
    <w:p>
      <w:pPr>
        <w:pStyle w:val="ListBullet"/>
        <w:spacing w:after="40"/>
      </w:pPr>
      <w:r>
        <w:rPr>
          <w:sz w:val="20"/>
        </w:rPr>
        <w:t>→ Action 3 (REMAINING): Request samples of FH34S-20S-0.5SH(50) for prototype evaluation</w:t>
      </w:r>
    </w:p>
    <w:p>
      <w:pPr>
        <w:pStyle w:val="ListBullet"/>
        <w:spacing w:after="40"/>
      </w:pPr>
      <w:r>
        <w:rPr>
          <w:sz w:val="20"/>
        </w:rPr>
        <w:t>→ Action 4 (REMAINING): Confirm JAE FF03 availability and cycle rating as backup</w:t>
      </w:r>
    </w:p>
    <w:p>
      <w:pPr>
        <w:spacing w:before="160"/>
      </w:pPr>
      <w:r>
        <w:rPr>
          <w:b/>
          <w:color w:val="003366"/>
          <w:sz w:val="22"/>
        </w:rPr>
        <w:t>RISK-02  |  CRITICAL  |  Zone FPC Power Trace Current Capacity</w:t>
      </w:r>
    </w:p>
    <w:p>
      <w:pPr>
        <w:ind w:firstLine="216"/>
      </w:pPr>
      <w:r>
        <w:t>This risk is less visible than RISK-01 but equally blocking. Standard FPC layout practice produces signal traces of 0.1–0.25 mm width — appropriate for milliamp signals but catastrophically undersized for the LED power rails in this design.</w:t>
      </w:r>
    </w:p>
    <w:p>
      <w:pPr>
        <w:ind w:firstLine="216"/>
      </w:pPr>
      <w:r>
        <w:t>Current budget per zone: 10 strings × 180 mA (660 nm) + 10 strings × 180 mA (808 nm) = 3.6 A peak simultaneous, 1.8 A RMS at 25% duty cycle. Per IPC-2223 for flexible circuits (IPC-2221 with 0.8× derating): 1.8 A RMS through 1 oz RA copper with ≤10°C rise requires traces of approximately 1.0 mm minimum width for a single trace. However, the power bus must also carry current from the zone module connector to the string distribution nodes — a short but critical path that sees the full 3.6 A peak.</w:t>
      </w:r>
    </w:p>
    <w:p>
      <w:pPr>
        <w:ind w:firstLine="216"/>
      </w:pPr>
      <w:r>
        <w:t>The connector contact current rating (Hirose FH34S: 0.5 A per contact) creates an additional constraint. The spec resolves this by pairing power pins: VLED_660 uses pins 1 and 2 in parallel (0.9 A per pin at 1.8 A RMS — within 0.5 A rating... wait — 0.9 A exceeds 0.5 A per contact). This is a secondary issue: the connector contact rating must be checked against the actual RMS current per pin. At 0.9 A RMS per pin (1.8 A total split across 2 pins), this exceeds the 0.5 A contact rating.</w:t>
      </w:r>
    </w:p>
    <w:p>
      <w:pPr>
        <w:ind w:firstLine="216"/>
      </w:pPr>
      <w:r>
        <w:t>CORRECTION: At 25% duty cycle, RMS current per zone per wavelength = 1.8 A × √0.25 = 0.9 A. Split across 2 parallel pins: 0.45 A per pin. This is within the 0.5 A Hirose FH34S contact rating with 10% margin. The pairing strategy is valid only for pulsed 25% duty cycle operation. If any mode operates at higher duty cycle, this margin is consumed. The firmware must enforce ≤25% duty cycle as a hard limit. The Safety MCU must prevent duty cycles above 25% regardless of application commands.</w:t>
      </w:r>
    </w:p>
    <w:p>
      <w:pPr>
        <w:pStyle w:val="ListBullet"/>
        <w:spacing w:after="40"/>
      </w:pPr>
      <w:r>
        <w:rPr>
          <w:sz w:val="20"/>
        </w:rPr>
        <w:t>Action 1: EE to complete full trace width calculation for every power segment on zone FPC using §10.1 table before layout release</w:t>
      </w:r>
    </w:p>
    <w:p>
      <w:pPr>
        <w:pStyle w:val="ListBullet"/>
        <w:spacing w:after="40"/>
      </w:pPr>
      <w:r>
        <w:rPr>
          <w:sz w:val="20"/>
        </w:rPr>
        <w:t>Action 2: Firmware and Safety MCU to enforce ≤25% LED duty cycle as inviolable hardware limit — this is now a connector current rating constraint, not just a regulatory/safety one</w:t>
      </w:r>
    </w:p>
    <w:p>
      <w:pPr>
        <w:pStyle w:val="ListBullet"/>
        <w:spacing w:after="40"/>
      </w:pPr>
      <w:r>
        <w:rPr>
          <w:sz w:val="20"/>
        </w:rPr>
        <w:t>Action 3: Layout review: no power trace narrower than 1.0 mm anywhere in the design; 2.0 mm minimum on main power bus segments</w:t>
      </w:r>
    </w:p>
    <w:p>
      <w:pPr>
        <w:pStyle w:val="ListBullet"/>
        <w:spacing w:after="40"/>
      </w:pPr>
      <w:r>
        <w:rPr>
          <w:sz w:val="20"/>
        </w:rPr>
        <w:t>Action 4: Copper pour on Layer 2 for all VLED and GND regions — do not rely on individual traces for power distribution</w:t>
      </w:r>
    </w:p>
    <w:p>
      <w:pPr>
        <w:spacing w:before="160"/>
      </w:pPr>
      <w:r>
        <w:rPr>
          <w:b/>
          <w:color w:val="CC6600"/>
          <w:sz w:val="22"/>
        </w:rPr>
        <w:t>RISK-03  |  CRITICAL  |  LED Irradiance Spec Blocks Driver Current Finalisation</w:t>
      </w:r>
    </w:p>
    <w:p>
      <w:pPr>
        <w:ind w:firstLine="216"/>
      </w:pPr>
      <w:r>
        <w:t>The 400 mW/cm² peak pulsed irradiance specification is the headline performance claim for NeurOne's PBM modality. This claim is derived from the LED forward current (120–180 mA) and the optical system geometry. However, CLAUDE.md §13.1 explicitly states this specification cannot appear in any public material until an independent regulatory opinion is obtained from a PBM/digital health specialist.</w:t>
      </w:r>
    </w:p>
    <w:p>
      <w:pPr>
        <w:ind w:firstLine="216"/>
      </w:pPr>
      <w:r>
        <w:t>The FPC layout cannot be finalised without knowing the approved drive current, because the RSET resistor values for the BCR421W drivers are calculated from the target current. If regulatory counsel determines that a lower current ceiling is required, the RSET values change, and depending on the magnitude of the change, the string topology (number of LEDs in series) may also need revision — which would require FPC layout changes.</w:t>
      </w:r>
    </w:p>
    <w:p>
      <w:pPr>
        <w:ind w:firstLine="216"/>
      </w:pPr>
      <w:r>
        <w:t>In the worst case: if the approved irradiance ceiling is ≤50% of the current 400 mW/cm² spec, the LED count or string current must be halved, fundamentally changing the FPC layout, zone module footprint, and thermal design.</w:t>
      </w:r>
    </w:p>
    <w:p>
      <w:pPr>
        <w:pStyle w:val="ListBullet"/>
        <w:spacing w:after="40"/>
      </w:pPr>
      <w:r>
        <w:rPr>
          <w:sz w:val="20"/>
        </w:rPr>
        <w:t>Action 1: Commission regulatory counsel immediately — this is the single longest-lead-time pre-tooling item</w:t>
      </w:r>
    </w:p>
    <w:p>
      <w:pPr>
        <w:pStyle w:val="ListBullet"/>
        <w:spacing w:after="40"/>
      </w:pPr>
      <w:r>
        <w:rPr>
          <w:sz w:val="20"/>
        </w:rPr>
        <w:t>Action 2: Do not place LED emitter orders, do not finalise RSET values, do not release FPC layout until regulatory opinion is in hand</w:t>
      </w:r>
    </w:p>
    <w:p>
      <w:pPr>
        <w:pStyle w:val="ListBullet"/>
        <w:spacing w:after="40"/>
      </w:pPr>
      <w:r>
        <w:rPr>
          <w:sz w:val="20"/>
        </w:rPr>
        <w:t>Action 3: Design the FPC to accommodate a range of RSET values (make RSET a through-hole or 0402 SMD resistor with a wide pad — easy to rework) so that a ±30% current adjustment does not require a PCB spin</w:t>
      </w:r>
    </w:p>
    <w:p>
      <w:pPr>
        <w:spacing w:before="240"/>
      </w:pPr>
      <w:r>
        <w:rPr>
          <w:b/>
          <w:color w:val="003366"/>
          <w:sz w:val="26"/>
        </w:rPr>
        <w:t>DETAILED ANALYSIS — HIGH RISKS</w:t>
      </w:r>
    </w:p>
    <w:p>
      <w:pPr>
        <w:spacing w:before="160"/>
      </w:pPr>
      <w:r>
        <w:rPr>
          <w:b/>
          <w:color w:val="003366"/>
          <w:sz w:val="22"/>
        </w:rPr>
        <w:t>RISK-04  |  HIGH  |  PDMS–Polyimide CTE Mismatch and Thermal Cycling Delamination</w:t>
      </w:r>
    </w:p>
    <w:p>
      <w:pPr>
        <w:ind w:firstLine="216"/>
      </w:pPr>
      <w:r>
        <w:t>The CTE mismatch between PDMS (~300 ppm/°C) and polyimide (~18 ppm/°C) is approximately 15:1. This is among the largest CTE mismatches encountered in flexible electronics — comparable to bonding aluminium to glass. Each LED thermal cycle (off → on → off, occurring thousands of times per device lifetime) imposes a differential strain of ~1.1% at the bond interface. Over 1,800 cycles (estimated 500 sessions × 3–4 thermal cycles per session), cumulative delamination fatigue is a genuine failure mode.</w:t>
      </w:r>
    </w:p>
    <w:p>
      <w:pPr>
        <w:ind w:firstLine="216"/>
      </w:pPr>
      <w:r>
        <w:t>Simple O₂ plasma activation achieves only 7–12 N/m peel force on PI–PDMS bonds — this is the default process used in microfluidics labs and is completely inadequate for a thermally cycled optical interface. The sputtered SiO₂ interlayer process (75 nm, RF magnetron, room temperature deposition) achieves 174–860 N/m peel force by creating a chemical bridge between PDMS's silicone chemistry and PI's polar surface. This process is specified in §9.2 but requires equipment (sputter coater) not typically available at FPC fabricators — it may need to be performed at a separate process step.</w:t>
      </w:r>
    </w:p>
    <w:p>
      <w:pPr>
        <w:pStyle w:val="ListBullet"/>
        <w:spacing w:after="40"/>
      </w:pPr>
      <w:r>
        <w:rPr>
          <w:sz w:val="20"/>
        </w:rPr>
        <w:t>Action 1: Identify contract process house with RF magnetron sputtering capability for SiO₂ deposition on PI FPC (before PDMS bonding)</w:t>
      </w:r>
    </w:p>
    <w:p>
      <w:pPr>
        <w:pStyle w:val="ListBullet"/>
        <w:spacing w:after="40"/>
      </w:pPr>
      <w:r>
        <w:rPr>
          <w:sz w:val="20"/>
        </w:rPr>
        <w:t>Action 2: Include thermal cycling qualification (IEC 60068-2-14, 200 cycles) in FPC qualification plan before zone module tooling release</w:t>
      </w:r>
    </w:p>
    <w:p>
      <w:pPr>
        <w:pStyle w:val="ListBullet"/>
        <w:spacing w:after="40"/>
      </w:pPr>
      <w:r>
        <w:rPr>
          <w:sz w:val="20"/>
        </w:rPr>
        <w:t>Action 3: If SiO₂ interlayer is not feasible in production workflow, evaluate APTES (aminopropyl triethoxysilane) silane coupling as alternative — achieves similar peel forces via different chemistry, compatible with standard lab equipment</w:t>
      </w:r>
    </w:p>
    <w:p>
      <w:pPr>
        <w:pStyle w:val="ListBullet"/>
        <w:spacing w:after="40"/>
      </w:pPr>
      <w:r>
        <w:rPr>
          <w:sz w:val="20"/>
        </w:rPr>
        <w:t>Action 4: Evaluate adhesiveless FPC laminate vs. acrylic adhesive — acrylic adhesive has lower thermal conductivity and adds to thermal resistance; adhesiveless laminate is preferred where available</w:t>
      </w:r>
    </w:p>
    <w:p>
      <w:pPr>
        <w:spacing w:before="160"/>
      </w:pPr>
      <w:r>
        <w:rPr>
          <w:b/>
          <w:color w:val="007733"/>
          <w:sz w:val="22"/>
        </w:rPr>
        <w:t>RISK-05  |  HIGH (MITIGATED)  |  LED Current Hogging — Per-String CCC Specified in §6</w:t>
      </w:r>
    </w:p>
    <w:p>
      <w:pPr>
        <w:ind w:firstLine="216"/>
      </w:pPr>
      <w:r>
        <w:t>This failure mode is well-documented in LED system design literature and is the primary reason per-string constant-current drivers exist. The physics: in a parallel combination of LED strings, all strings share the same terminal voltage. An LED string with Vf 100 mV lower than adjacent strings draws disproportionately higher current (the I-V curve of LEDs is exponential near the knee). At 120–180 mA nominal, a 100 mV Vf difference can cause a 30–50% current imbalance between strings — pushing one string to 250+ mA while another runs at 100 mA.</w:t>
      </w:r>
    </w:p>
    <w:p>
      <w:pPr>
        <w:ind w:firstLine="216"/>
      </w:pPr>
      <w:r>
        <w:t>The consequence for a PBM device is threefold: (1) overdriven LEDs age faster and may fail prematurely; (2) the dose metering calibration (based on average current) is wrong in both directions; (3) the NTC thermistor in the zone center may not detect a hotspot at the periphery where the overdriven strings are located.</w:t>
      </w:r>
    </w:p>
    <w:p>
      <w:pPr>
        <w:pStyle w:val="ListBullet"/>
        <w:spacing w:after="40"/>
      </w:pPr>
      <w:r>
        <w:rPr>
          <w:sz w:val="20"/>
        </w:rPr>
        <w:t>→ Action 1 (REMAINING): Add BCR421W to BOM before layout release. Part confirmed as correct variant (350 mA rated vs. BCR421U 150 mA — see RISK-07). Architecture defined in spec §6.</w:t>
      </w:r>
    </w:p>
    <w:p>
      <w:pPr>
        <w:pStyle w:val="ListBullet"/>
        <w:spacing w:after="40"/>
      </w:pPr>
      <w:r>
        <w:rPr>
          <w:sz w:val="20"/>
        </w:rPr>
        <w:t>→ Action 2 (REMAINING): Verify BCR421W RSET calculation against datasheet Iadj characteristic curve at target temperature range (−20 to +65°C) — linear drivers have temperature coefficient on regulated current</w:t>
      </w:r>
    </w:p>
    <w:p>
      <w:pPr>
        <w:pStyle w:val="ListBullet"/>
        <w:spacing w:after="40"/>
      </w:pPr>
      <w:r>
        <w:rPr>
          <w:sz w:val="20"/>
        </w:rPr>
        <w:t>→ Action 3 (OPEN DECISION): Consider whether per-string current sense feedback to Hub MCU is worth the additional signal pins — would enable real-time detection of string failure and dose correction</w:t>
      </w:r>
    </w:p>
    <w:p>
      <w:pPr>
        <w:spacing w:before="160"/>
      </w:pPr>
      <w:r>
        <w:rPr>
          <w:b/>
          <w:color w:val="007733"/>
          <w:sz w:val="22"/>
        </w:rPr>
        <w:t>RISK-06  |  HIGH (MITIGATED)  |  Reference Photodiode Optical Isolation — Baffle and Synchronous Detection Specified in §8</w:t>
      </w:r>
    </w:p>
    <w:p>
      <w:pPr>
        <w:ind w:firstLine="216"/>
      </w:pPr>
      <w:r>
        <w:t>The reference photodiode architecture is the technical foundation of the "real-time J/cm² dose metering" claim — NeurOne's most differentiating competitive feature. If the photodiode measures direct LED emission rather than transmitted dose, the measurement is meaningless and the claim is fraudulent.</w:t>
      </w:r>
    </w:p>
    <w:p>
      <w:pPr>
        <w:ind w:firstLine="216"/>
      </w:pPr>
      <w:r>
        <w:t>The baffle geometry specified in §8.2 (1.0 mm aperture, 2.0–3.0 mm height, black POM or aluminium, RTV edge seal) is the mechanical solution. The synchronous detection architecture (§8.3) is the electrical solution — measuring only during LED-ON phase and subtracting LED-OFF baseline rejects ambient light. Together, these two measures address both contamination sources.</w:t>
      </w:r>
    </w:p>
    <w:p>
      <w:pPr>
        <w:ind w:firstLine="216"/>
      </w:pPr>
      <w:r>
        <w:t>The critical first-article validation test (§8.2): cover all LEDs with opaque black tape; verify photodiode reads &lt; 1% of normal LED-on signal. This test definitively confirms baffle efficacy. If it fails, the baffle geometry must be revised — adding height, reducing aperture size, or adding an angled baffle wing to block oblique LED paths.</w:t>
      </w:r>
    </w:p>
    <w:p>
      <w:pPr>
        <w:pStyle w:val="ListBullet"/>
        <w:spacing w:after="40"/>
      </w:pPr>
      <w:r>
        <w:rPr>
          <w:sz w:val="20"/>
        </w:rPr>
        <w:t>→ Action 1 (REMAINING — blocks tooling): Baffle geometry must be in mechanical design before zone module tooling is released — it affects mold geometry</w:t>
      </w:r>
    </w:p>
    <w:p>
      <w:pPr>
        <w:pStyle w:val="ListBullet"/>
        <w:spacing w:after="40"/>
      </w:pPr>
      <w:r>
        <w:rPr>
          <w:sz w:val="20"/>
        </w:rPr>
        <w:t>Action 2: First-article optical isolation test is mandatory before production release</w:t>
      </w:r>
    </w:p>
    <w:p>
      <w:pPr>
        <w:pStyle w:val="ListBullet"/>
        <w:spacing w:after="40"/>
      </w:pPr>
      <w:r>
        <w:rPr>
          <w:sz w:val="20"/>
        </w:rPr>
        <w:t>→ Action 3 (OPEN DECISION): Evaluate ADPD174GGI as an integrated solution — it includes an internal optical isolation wall and synchronous AFE in a 3.0 × 2.8 mm package, which may be more reliable than a discrete baffle + external TIA approach</w:t>
      </w:r>
    </w:p>
    <w:p>
      <w:pPr>
        <w:spacing w:before="160"/>
      </w:pPr>
      <w:r>
        <w:rPr>
          <w:b/>
          <w:color w:val="007733"/>
          <w:sz w:val="22"/>
        </w:rPr>
        <w:t>RISK-07  |  HIGH (MITIGATED)  |  BCR421W (350 mA) Specified in §6.2 — BOM Update Required</w:t>
      </w:r>
    </w:p>
    <w:p>
      <w:pPr>
        <w:ind w:firstLine="216"/>
      </w:pPr>
      <w:r>
        <w:t>This is a simple BOM error with potentially significant consequences. BCR421U: 150 mA max. BCR421W: 350 mA max. Both are the same package (SOT-323), same RSET programming, same supplier (Infineon). The fix is a BOM line change before layout. If the wrong part is built into prototypes and then into production, it will be operated above its rated current for a significant fraction of the duty cycle, causing early degradation of regulated current accuracy and eventual component failure.</w:t>
      </w:r>
    </w:p>
    <w:p>
      <w:pPr>
        <w:pStyle w:val="ListBullet"/>
        <w:spacing w:after="40"/>
      </w:pPr>
      <w:r>
        <w:rPr>
          <w:sz w:val="20"/>
        </w:rPr>
        <w:t>→ Action (REMAINING): Confirm BCR421W on BOM before layout. BCR421W already specified in spec §6.2. Cost delta vs BCR421U: negligible (same package, same price tier). Verify RSET value against BCR421W datasheet (not BCR421U) — Iadj curves differ between variants.</w:t>
      </w:r>
    </w:p>
    <w:p>
      <w:pPr>
        <w:spacing w:before="160"/>
      </w:pPr>
      <w:r>
        <w:rPr>
          <w:b/>
          <w:color w:val="003366"/>
          <w:sz w:val="22"/>
        </w:rPr>
        <w:t>RISK-08  |  HIGH  |  LED Vf Bin Specification on Purchase Orders</w:t>
      </w:r>
    </w:p>
    <w:p>
      <w:pPr>
        <w:ind w:firstLine="216"/>
      </w:pPr>
      <w:r>
        <w:t>LED emitter Vf binning is a supply chain detail that is easy to omit from initial purchase orders and very difficult to fix retrospectively once production LEDs are populated on FPCs. The requirement (±0.10 V within a single order) is tighter than commodity LED specifications but achievable from major suppliers (Seoul, Osram, Luminus) with explicit request. Without this spec, the supplier ships from whatever bin stock is available — potentially ±0.30 V spread, which is three times the tolerance needed for reliable per-string CCC operation.</w:t>
      </w:r>
    </w:p>
    <w:p>
      <w:pPr>
        <w:pStyle w:val="ListBullet"/>
        <w:spacing w:after="40"/>
      </w:pPr>
      <w:r>
        <w:rPr>
          <w:sz w:val="20"/>
        </w:rPr>
        <w:t>Action 1: Add Vf bin tolerance (±0.10 V max) to LED purchase order specification before first order</w:t>
      </w:r>
    </w:p>
    <w:p>
      <w:pPr>
        <w:pStyle w:val="ListBullet"/>
        <w:spacing w:after="40"/>
      </w:pPr>
      <w:r>
        <w:rPr>
          <w:sz w:val="20"/>
        </w:rPr>
        <w:t>Action 2: Request Vf distribution data with each delivery lot — incoming inspection to verify</w:t>
      </w:r>
    </w:p>
    <w:p>
      <w:pPr>
        <w:pStyle w:val="ListBullet"/>
        <w:spacing w:after="40"/>
      </w:pPr>
      <w:r>
        <w:rPr>
          <w:color w:val="006000"/>
          <w:sz w:val="20"/>
        </w:rPr>
        <w:t>Mitigation: MITIGATED (Rev B / Procurement Doc NP-PROC-FPC-001 Rev A): LED Vf binning requirements are now mandated on all purchase orders. Within-order tolerance: ±0.10 V at rated current. Lot-to-lot tolerance: ±0.15 V. Verbatim PO language is defined in NP-PROC-FPC-001 §2. Out-of-spec lots are subject to mandatory disposition review before acceptance. Approved supplier list (Epistar, OSRAM OS, Cree/Wolfspeed) requires Vf bin certificates with each shipment. Incoming inspection: 5-unit sample AQL 1.0 per reel.</w:t>
      </w:r>
    </w:p>
    <w:p>
      <w:r>
        <w:rPr>
          <w:sz w:val="20"/>
        </w:rPr>
      </w:r>
    </w:p>
    <w:p>
      <w:pPr>
        <w:pStyle w:val="ListBullet"/>
      </w:pPr>
      <w:r>
        <w:rPr>
          <w:color w:val="007000"/>
          <w:sz w:val="20"/>
        </w:rPr>
        <w:t>→ Action 3 (DONE): FPC spec §13 Fab Note 1 marked as DRAWING REQUIREMENT — fabricator must acknowledge RA copper requirement on order confirmation.</w:t>
      </w:r>
    </w:p>
    <w:p>
      <w:pPr>
        <w:pStyle w:val="ListBullet"/>
      </w:pPr>
      <w:r>
        <w:rPr>
          <w:color w:val="007000"/>
          <w:sz w:val="20"/>
        </w:rPr>
        <w:t>→ Action 2 (DONE): Procurement document NP-PROC-FPC-001 §5 contains verbatim PO language: 'Copper foil shall be Rolled Annealed (RA) per IPC-4204/11 Type I. Electrodeposited (ED) copper is NOT acceptable for dynamic flex.' Incoming inspection §7 line item 7 requires copper foil certification.</w:t>
      </w:r>
    </w:p>
    <w:p>
      <w:pPr>
        <w:pStyle w:val="ListBullet"/>
      </w:pPr>
      <w:r>
        <w:rPr>
          <w:color w:val="007000"/>
          <w:sz w:val="20"/>
        </w:rPr>
        <w:t>→ Action 1 (DONE): FPC spec §3.1 and §13 Fab Note 1 updated to mandate RA copper explicitly. Note is designated a DRAWING REQUIREMENT — not a suggestion.</w:t>
      </w:r>
    </w:p>
    <w:p>
      <w:r>
        <w:rPr>
          <w:sz w:val="20"/>
        </w:rPr>
        <w:t>RA copper (per IPC-4204/11 Type I) has elongation at break of 20–30% versus 3–8% for ED copper. In dynamic flex applications, ED copper grain boundaries propagate cracks after 10,000–50,000 flex cycles. At 1,000–3,000 session cycles per year (cable-connected daily use), ED copper may fail within 4–10 years — within the device warranty period. RA copper has documented 10M+ cycle life in dynamic flex applications when routed at ≥25 mm radius. The fabricator will not substitute RA for ED without being told — ED is cheaper and the default. This is purely a purchase order and drawing discipline issue.</w:t>
      </w:r>
    </w:p>
    <w:p>
      <w:r>
        <w:rPr>
          <w:b/>
          <w:color w:val="1F497D"/>
          <w:sz w:val="22"/>
        </w:rPr>
        <w:t>RISK-10  |  MEDIUM (MITIGATED)  |  ED Copper Default — RA Copper Mandated on Drawing and PO</w:t>
      </w:r>
    </w:p>
    <w:p>
      <w:r>
        <w:rPr>
          <w:sz w:val="20"/>
        </w:rPr>
      </w:r>
    </w:p>
    <w:p>
      <w:pPr>
        <w:pStyle w:val="ListBullet"/>
      </w:pPr>
      <w:r>
        <w:rPr>
          <w:color w:val="007000"/>
          <w:sz w:val="20"/>
        </w:rPr>
        <w:t>→ Action 3 (DONE): Procurement document NP-PROC-FPC-001 §4 explicitly prohibits Molex SlimStack and 0.35 mm pitch. Hirose FH34S-20S-0.5SH or JAE FF03 only. Substitute prohibition language included.</w:t>
      </w:r>
    </w:p>
    <w:p>
      <w:pPr>
        <w:pStyle w:val="ListBullet"/>
      </w:pPr>
      <w:r>
        <w:rPr>
          <w:color w:val="007000"/>
          <w:sz w:val="20"/>
        </w:rPr>
        <w:t>→ Action 2 (DONE): SBIR Phase I proposal updated — all references to 'Molex SlimStack' replaced with 'Hirose FH34S-20S-0.5SH'; all references to '0.35 mm pitch' replaced with '0.5 mm pitch'. Three paragraph-level changes made.</w:t>
      </w:r>
    </w:p>
    <w:p>
      <w:pPr>
        <w:pStyle w:val="ListBullet"/>
      </w:pPr>
      <w:r>
        <w:rPr>
          <w:color w:val="007000"/>
          <w:sz w:val="20"/>
        </w:rPr>
        <w:t>→ Action 1 (DONE): Connector spec updated to Hirose FH34S-20S-0.5SH (0.5 mm pitch, back-flip lever ZIF, ≥1,000 cycles) in FPC spec §5, CLAUDE.md §7.1, and risk RISK-01 mitigation. 0.35 mm pitch is explicitly excluded.</w:t>
      </w:r>
    </w:p>
    <w:p>
      <w:r>
        <w:rPr>
          <w:sz w:val="20"/>
        </w:rPr>
        <w:t>The SBIR Phase I application (§C.2) listed 'Molex SlimStack 0.35 mm pitch FPC connector' as part of the design freeze deliverable. This was an early-draft reference that predated the RISK-01 resolution. At 0.35 mm pitch, contact current ratings are typically 0.3–0.5 A — insufficient for 0.9 A RMS power pins (paired). The correct connector (Hirose FH34S, 0.5 mm pitch) is rated 0.5 A per contact; power pins are paired (2 × 0.5 A = 1.0 A, margin above 0.9 A RMS). Leaving the old reference in the proposal created a document inconsistency that could undermine credibility with reviewers who know FPC specifications.</w:t>
      </w:r>
    </w:p>
    <w:p>
      <w:r>
        <w:rPr>
          <w:b/>
          <w:color w:val="1F497D"/>
          <w:sz w:val="22"/>
        </w:rPr>
        <w:t>RISK-09  |  MEDIUM (MITIGATED)  |  SBIR Proposal 0.35 mm Pitch Reference — Corrected to 0.5 mm</w:t>
      </w:r>
    </w:p>
    <w:p>
      <w:r>
        <w:rPr>
          <w:sz w:val="20"/>
        </w:rPr>
      </w:r>
    </w:p>
    <w:p>
      <w:r>
        <w:rPr>
          <w:b/>
          <w:color w:val="1F497D"/>
          <w:sz w:val="22"/>
        </w:rPr>
        <w:t>DETAILED ANALYSIS — MEDIUM RISKS (MITIGATED)</w:t>
      </w:r>
    </w:p>
    <w:p>
      <w:r>
        <w:rPr>
          <w:b w:val="0"/>
          <w:sz w:val="20"/>
        </w:rPr>
      </w:r>
    </w:p>
    <w:p>
      <w:pPr>
        <w:pStyle w:val="ListBullet"/>
      </w:pPr>
      <w:r>
        <w:rPr>
          <w:b w:val="0"/>
          <w:color w:val="007000"/>
          <w:sz w:val="20"/>
        </w:rPr>
        <w:t>→ Action 4 (DONE): Engineering coordination checklist NP-COORD-001 Rev A created. Items G1-03 and G1-04 track EDR and firmware implementation. Items G2-07 and G3-04 lock values and validate on prototype.</w:t>
      </w:r>
    </w:p>
    <w:p>
      <w:pPr>
        <w:pStyle w:val="ListBullet"/>
      </w:pPr>
      <w:r>
        <w:rPr>
          <w:b w:val="0"/>
          <w:color w:val="C06000"/>
          <w:sz w:val="20"/>
        </w:rPr>
        <w:t>→ Action 3 (OPEN — prototype): Oscilloscope validation of 50 µs blanking window — scope trace showing EEG sample gate vs. PWM edge, captured on first prototype. Tracked as NP-COORD-001 G3-04.</w:t>
      </w:r>
    </w:p>
    <w:p>
      <w:pPr>
        <w:pStyle w:val="ListBullet"/>
      </w:pPr>
      <w:r>
        <w:rPr>
          <w:b w:val="0"/>
          <w:color w:val="C06000"/>
          <w:sz w:val="20"/>
        </w:rPr>
        <w:t>→ Action 2 (OPEN — Safety MCU spec): Agreed carrier frequency locked as Safety MCU constant; 50 µs blanking constant in Safety MCU firmware. Neither value changeable by OTA update without ECO. Tracked as NP-COORD-001 G2-07.</w:t>
      </w:r>
    </w:p>
    <w:p>
      <w:pPr>
        <w:pStyle w:val="ListBullet"/>
      </w:pPr>
      <w:r>
        <w:rPr>
          <w:b w:val="0"/>
          <w:color w:val="C06000"/>
          <w:sz w:val="20"/>
        </w:rPr>
        <w:t>→ Action 1 (OPEN — EDR required): HW EE and Firmware Lead must sign Engineering Decision Record specifying: agreed carrier frequency ≥ 1 kHz; anti-aliasing filter corner; harmonic analysis table confirming no coincidence with any therapy/EEG band up to Nyquist; 50 µs blanking window on every PWM edge. Tracked as NP-COORD-001 G1-03.</w:t>
      </w:r>
    </w:p>
    <w:p>
      <w:r>
        <w:rPr>
          <w:b w:val="0"/>
          <w:sz w:val="20"/>
        </w:rPr>
        <w:t>The contamination path is direct: LED PWM switching generates a square-wave current transient in the power supply rails. If the carrier frequency (or any of its harmonics up to the EEG anti-aliasing cutoff at 200 Hz) falls within the EEG acquisition band, the artifact is captured and treated as brainwave signal by the closed-loop algorithm. At 40 Hz gamma (the highest-value protocol), a carrier frequency of 40, 80, or 120 Hz would produce an artifact indistinguishable from genuine gamma: the algorithm would see 'gamma activity' that correlates perfectly with its own stimulation — a positive feedback loop. The mitigation (≥1 kHz carrier + 50 µs blanking) is well-established in combined PBM/EEG device design, but it requires explicit inter-team agreement because neither the HW EE nor the Firmware team has full visibility of the other's constraints in isolation.</w:t>
      </w:r>
    </w:p>
    <w:p>
      <w:r>
        <w:rPr>
          <w:b/>
          <w:color w:val="1F497D"/>
          <w:sz w:val="20"/>
        </w:rPr>
        <w:t>RISK-13  |  MEDIUM (MITIGATED)  |  LED PWM Carrier Frequency — EEG Band Contamination</w:t>
      </w:r>
    </w:p>
    <w:p>
      <w:r>
        <w:rPr>
          <w:b w:val="0"/>
          <w:sz w:val="20"/>
        </w:rPr>
      </w:r>
    </w:p>
    <w:p>
      <w:pPr>
        <w:pStyle w:val="ListBullet"/>
      </w:pPr>
      <w:r>
        <w:rPr>
          <w:b w:val="0"/>
          <w:color w:val="C06000"/>
          <w:sz w:val="20"/>
        </w:rPr>
        <w:t>→ Action 5 (OPEN — firmware): Implement bone conduction audio zone confirmation (Layer 5). Firmware reads ZONE_ID resistor, compares to slot map, speaks zone name or error via bone conduction. Tracked as NP-COORD-001 G2-10.</w:t>
      </w:r>
    </w:p>
    <w:p>
      <w:pPr>
        <w:pStyle w:val="ListBullet"/>
      </w:pPr>
      <w:r>
        <w:rPr>
          <w:b w:val="0"/>
          <w:color w:val="C06000"/>
          <w:sz w:val="20"/>
        </w:rPr>
        <w:t>→ Action 4 (OPEN — shell tooling spec): Tactile dot patterns adjacent to all 5 zone slots (Layer 4). Must be in shell tooling spec before first-cut. Tracked as NP-COORD-001 G2-02.</w:t>
      </w:r>
    </w:p>
    <w:p>
      <w:pPr>
        <w:pStyle w:val="ListBullet"/>
      </w:pPr>
      <w:r>
        <w:rPr>
          <w:b w:val="0"/>
          <w:color w:val="C06000"/>
          <w:sz w:val="20"/>
        </w:rPr>
        <w:t>→ Action 3 (OPEN — zone module tooling spec): Braille + raised numeral on module face (Layer 3). Must be in zone module tooling spec before first-cut. Zero cost if specified now. Tracked as NP-COORD-001 G2-02.</w:t>
      </w:r>
    </w:p>
    <w:p>
      <w:pPr>
        <w:pStyle w:val="ListBullet"/>
      </w:pPr>
      <w:r>
        <w:rPr>
          <w:b w:val="0"/>
          <w:color w:val="C06000"/>
          <w:sz w:val="20"/>
        </w:rPr>
        <w:t>→ Action 2 (OPEN — PCB layout): Place 0402 ZONE_ID resistor on each zone module PCB, connected between pin 18 (ZONE_ID) and AGND (pin 17). Values: ZM-01=10k, ZM-02=22k, ZM-03=47k, ZM-04=100k, ZM-05=220k (all 1%). Hub MCU firmware reads ADC on ZONE_ID before every ENABLE assertion.</w:t>
      </w:r>
    </w:p>
    <w:p>
      <w:pPr>
        <w:pStyle w:val="ListBullet"/>
      </w:pPr>
      <w:r>
        <w:rPr>
          <w:b w:val="0"/>
          <w:color w:val="C06000"/>
          <w:sz w:val="20"/>
        </w:rPr>
        <w:t>→ Action 1 (OPEN — shell tooling spec): Unique asymmetric mechanical key geometry for all 5 zone slots (Layer 1). Must be in shell tooling spec before first-cut. This is the only layer that is entirely passive and requires no firmware or user action — it is the safety guarantee for all users including blind. Tracked as NP-COORD-001 G2-02.</w:t>
      </w:r>
    </w:p>
    <w:p>
      <w:r>
        <w:rPr>
          <w:b w:val="0"/>
          <w:sz w:val="20"/>
        </w:rPr>
        <w:t>The original risk considered only color-vision deficiency (~8% males). The mitigation is extended to cover completely blind users, since NeurOne's clinical positioning (neurological conditions including visual processing disorders) makes it plausible that a proportion of users will have significant visual impairment. The five-layer approach costs ~$0.15 total per headset (5 ZONE_ID resistors at $0.03 each) if the mold features (Layers 3 and 4) are specified before tooling. After tooling, Layers 3 and 4 are lost; only the ZONE_ID resistor and audio can be added, which provides electronic and audio protection but not tactile identification. The mechanical key (Layer 1) must be in tooling regardless — it is the blocking physical safety guarantee.</w:t>
      </w:r>
    </w:p>
    <w:p>
      <w:r>
        <w:rPr>
          <w:b/>
          <w:color w:val="1F497D"/>
          <w:sz w:val="20"/>
        </w:rPr>
        <w:t>RISK-15  |  LOW (MITIGATED)  |  Five-Layer Zone Keying — Color-Blind and Blind-Accessible</w:t>
      </w:r>
    </w:p>
    <w:p>
      <w:r>
        <w:rPr>
          <w:b w:val="0"/>
          <w:sz w:val="20"/>
        </w:rPr>
      </w:r>
    </w:p>
    <w:p>
      <w:pPr>
        <w:pStyle w:val="ListBullet"/>
      </w:pPr>
      <w:r>
        <w:rPr>
          <w:b w:val="0"/>
          <w:color w:val="C06000"/>
          <w:sz w:val="20"/>
        </w:rPr>
        <w:t>→ Action 3 (OPEN — FAI): IPX4 field-replacement test (NP-FAI-ZM-001 FAI-IPX-02): 10 swap cycles then IEC 60529 IPX4 splash test. Must pass before production release.</w:t>
      </w:r>
    </w:p>
    <w:p>
      <w:pPr>
        <w:pStyle w:val="ListBullet"/>
      </w:pPr>
      <w:r>
        <w:rPr>
          <w:b w:val="0"/>
          <w:color w:val="C06000"/>
          <w:sz w:val="20"/>
        </w:rPr>
        <w:t>→ Action 2 (OPEN — tooling spec): Shell slot rim: smooth contact surface Ra ≤ 1.6 µm, rim width ≥ 2.5 mm, no draft-angle steps. Must be in shell tooling spec before first-cut.</w:t>
      </w:r>
    </w:p>
    <w:p>
      <w:pPr>
        <w:pStyle w:val="ListBullet"/>
      </w:pPr>
      <w:r>
        <w:rPr>
          <w:b w:val="0"/>
          <w:color w:val="C06000"/>
          <w:sz w:val="20"/>
        </w:rPr>
        <w:t>→ Action 1 (OPEN — zone module tooling spec): Co-molded gasket spec (Shore 40–50A, D-section 2.5 mm × 2.0 mm, 20% compression at insertion) in zone module mold drawing. Must be specified before first-cut — cannot be retrofitted.</w:t>
      </w:r>
    </w:p>
    <w:p>
      <w:r>
        <w:rPr>
          <w:b w:val="0"/>
          <w:sz w:val="20"/>
        </w:rPr>
        <w:t>Option A (self-sealing gasket) was selected over Option B (user-applied RTV syringe) because silicone RTV requires accurate bead application around a complex perimeter — a task prone to gaps, excess material fouling the PDMS window, and non-compliance when users skip the step. The gasket approach removes user behavior from the IPX4 compliance path entirely. The co-molded gasket adds ~$0.30–0.60 BOM per zone module ($1.50–3.00 per headset for 5 zones) vs. an RTV syringe accessory that would cost ~$1.50–3.00 per headset anyway — comparable cost, guaranteed compliance vs. user-dependent compliance.</w:t>
      </w:r>
    </w:p>
    <w:p>
      <w:r>
        <w:rPr>
          <w:b/>
          <w:color w:val="1F497D"/>
          <w:sz w:val="20"/>
        </w:rPr>
        <w:t>RISK-16  |  LOW (MITIGATED)  |  IPX4 Field-Replacement Seal — Option A Gasket Selected</w:t>
      </w:r>
    </w:p>
    <w:p>
      <w:r>
        <w:rPr>
          <w:b w:val="0"/>
          <w:sz w:val="20"/>
        </w:rPr>
      </w:r>
    </w:p>
    <w:p>
      <w:r>
        <w:rPr>
          <w:b w:val="0"/>
          <w:color w:val="C06000"/>
          <w:sz w:val="20"/>
        </w:rPr>
        <w:t>→ Action 5 (OPEN — physical prototype): DRC-21 — motion simulation test on first-article with all 5 zone modules installed; confirm no FPC contact during ±30° flex cycles. Tracked in NP-DRV-SHELL-001 §5.</w:t>
      </w:r>
    </w:p>
    <w:p>
      <w:r>
        <w:rPr>
          <w:b w:val="0"/>
          <w:color w:val="C06000"/>
          <w:sz w:val="20"/>
        </w:rPr>
        <w:t>→ Action 4 (OPEN — Hub PCB layout): Hub PCB connector placement coordination — all 5 ZIF receptacles on same edge, perpendicular to FPC routing direction. Must be communicated to Hub PCB layout engineer before schematic capture. Tracked as NP-COORD-001 G2-01 and NP-DRV-SHELL-001 OI-08.</w:t>
      </w:r>
    </w:p>
    <w:p>
      <w:r>
        <w:rPr>
          <w:b w:val="0"/>
          <w:color w:val="C06000"/>
          <w:sz w:val="20"/>
        </w:rPr>
        <w:t>→ Action 3 (OPEN — shell CAD): DRC-17/18/19/20 — inter-FPC separation, FPC-to-EEG cable separation, anchor points, and Hub PCB alignment all require a CAD model showing all 5 FPC routing paths simultaneously with EEG cable overlay. This is the primary CAD deliverable for NP-COORD-001 G2-01.</w:t>
      </w:r>
    </w:p>
    <w:p>
      <w:r>
        <w:rPr>
          <w:b w:val="0"/>
          <w:color w:val="C06000"/>
          <w:sz w:val="20"/>
        </w:rPr>
        <w:t>→ Action 2 (OPEN — shell tooling spec): Anchor boss geometry (3 per FPC, ≥ 5 mm boss radius, no compression), inter-FPC channel dividers, and grounded barrier (if FPC-to-EEG gap &lt; 15 mm) must all be in shell tooling spec before first-cut. Cannot be retrofitted.</w:t>
      </w:r>
    </w:p>
    <w:p>
      <w:r>
        <w:rPr>
          <w:b w:val="0"/>
          <w:color w:val="007000"/>
          <w:sz w:val="20"/>
        </w:rPr>
        <w:t>→ Action 1 (DONE): NP-DRV-SHELL-001 Rev A extended with §2.3 (multi-FPC bundle management) and DRC-16 to DRC-21 (6 new design review checklist items). Requirements now specified for: bundle cross-section clearance, ≥ 2 mm inter-FPC separation, ≥ 15 mm FPC-to-EEG separation, anchor/tie-down points, and Hub PCB connector placement.</w:t>
      </w:r>
    </w:p>
    <w:p>
      <w:r>
        <w:rPr>
          <w:b w:val="0"/>
          <w:sz w:val="20"/>
        </w:rPr>
        <w:t>RISK-17 extends RISK-11 (single-FPC bend radius) to the full 5-FPC system. The critical additional hazards are: (a) inductive coupling between adjacent high-current FPC tails — at 1.8 A RMS per tail, mutual inductance between parallel FPCs &lt; 2 mm apart produces millivolt-level interference on any co-located signal line, including EEG leads; (b) EEG cable contamination — a sub-microvolt EEG signal running within 5 mm of a 1 kHz PWM power FPC will pick up &gt; 100 µV of artifact, completely masking delta/theta band activity; (c) FPC chafing — adjacent FPCs in contact undergo relative motion of ~0.5–1.5 mm on every zone module insertion/removal cycle, abrading the polyimide coverlay and eventually exposing copper.</w:t>
      </w:r>
    </w:p>
    <w:p>
      <w:r>
        <w:rPr>
          <w:b/>
          <w:color w:val="1F497D"/>
          <w:sz w:val="20"/>
        </w:rPr>
        <w:t>RISK-17  |  MEDIUM (MITIGATED)  |  Multi-FPC Routing + EEG Cable Separation — §2.3 Added to NP-DRV-SHELL-001</w:t>
      </w:r>
    </w:p>
    <w:p>
      <w:pPr/>
      <w:r>
        <w:rPr>
          <w:b/>
          <w:color w:val="1F497D"/>
          <w:sz w:val="20"/>
        </w:rPr>
        <w:t>RISK-25  |  LOW (MITIGATED)  |  Cervical VNS Cardiac Reflex</w:t>
      </w:r>
    </w:p>
    <w:p>
      <w:pPr/>
    </w:p>
    <w:p>
      <w:pPr/>
      <w:r>
        <w:rPr>
          <w:b w:val="0"/>
          <w:sz w:val="20"/>
        </w:rPr>
        <w:t>Modality: Cervical VNS (T2 accessory)</w:t>
      </w:r>
    </w:p>
    <w:p>
      <w:pPr/>
      <w:r>
        <w:rPr>
          <w:b w:val="0"/>
          <w:sz w:val="20"/>
        </w:rPr>
        <w:t>Failure mode: Stimulation near carotid sheath triggers baroreceptor reflex → bradycardia, hypotension, or asystole</w:t>
      </w:r>
    </w:p>
    <w:p>
      <w:pPr/>
      <w:r>
        <w:rPr>
          <w:b w:val="0"/>
          <w:sz w:val="20"/>
        </w:rPr>
        <w:t>Root cause: Vagal trunk stimulation at cervical level has proximity to carotid sinus and baroreceptor afferents; current spreading could activate parasympathetic tone</w:t>
      </w:r>
    </w:p>
    <w:p>
      <w:pPr/>
      <w:r>
        <w:rPr>
          <w:b w:val="0"/>
          <w:sz w:val="20"/>
        </w:rPr>
        <w:t>Initial severity: CRITICAL (potential asystole) × P1 (rare but known in invasive VNS literature)</w:t>
      </w:r>
    </w:p>
    <w:p>
      <w:pPr/>
      <w:r>
        <w:rPr>
          <w:b w:val="0"/>
          <w:sz w:val="20"/>
        </w:rPr>
        <w:t>Residual severity after mitigation: LOW</w:t>
      </w:r>
    </w:p>
    <w:p>
      <w:pPr/>
    </w:p>
    <w:p>
      <w:pPr/>
      <w:r>
        <w:rPr>
          <w:b/>
          <w:sz w:val="20"/>
        </w:rPr>
        <w:t>Mitigation — NP-FW-CVNS-001 Rev A — Safety MCU cardiac interlock (MITIGATED):</w:t>
      </w:r>
    </w:p>
    <w:p>
      <w:pPr>
        <w:pStyle w:val="ListBullet"/>
      </w:pPr>
      <w:r>
        <w:rPr>
          <w:b w:val="0"/>
          <w:sz w:val="20"/>
        </w:rPr>
        <w:t>Safety MCU (STM32G071) owns CVNS_ENABLE_L/R GPIO independently of main processor</w:t>
      </w:r>
    </w:p>
    <w:p>
      <w:pPr>
        <w:pStyle w:val="ListBullet"/>
      </w:pPr>
      <w:r>
        <w:rPr>
          <w:b w:val="0"/>
          <w:sz w:val="20"/>
        </w:rPr>
        <w:t>Pre-stimulation baseline HR established from PPG R-peak detection (main processor) + cross-validated by Safety MCU GPIO timer (must agree within 5 BPM before enable granted)</w:t>
      </w:r>
    </w:p>
    <w:p>
      <w:pPr>
        <w:pStyle w:val="ListBullet"/>
      </w:pPr>
      <w:r>
        <w:rPr>
          <w:b w:val="0"/>
          <w:sz w:val="20"/>
        </w:rPr>
        <w:t>HR change &gt;15 BPM within 5-second rolling window → TIM6 ISR asserts GPIO LOW within &lt;5.1ms worst-case (&lt;100ms spec)</w:t>
      </w:r>
    </w:p>
    <w:p>
      <w:pPr>
        <w:pStyle w:val="ListBullet"/>
      </w:pPr>
      <w:r>
        <w:rPr>
          <w:b w:val="0"/>
          <w:sz w:val="20"/>
        </w:rPr>
        <w:t>Re-enable requires: 30s lockout elapsed + explicit app user confirmation + repeat impedance check + baseline re-established</w:t>
      </w:r>
    </w:p>
    <w:p>
      <w:pPr>
        <w:pStyle w:val="ListBullet"/>
      </w:pPr>
      <w:r>
        <w:rPr>
          <w:b w:val="0"/>
          <w:sz w:val="20"/>
        </w:rPr>
        <w:t>Safety MCU cannot be overridden by main processor crash or app command</w:t>
      </w:r>
    </w:p>
    <w:p>
      <w:pPr>
        <w:pStyle w:val="ListBullet"/>
      </w:pPr>
      <w:r>
        <w:rPr>
          <w:b w:val="0"/>
          <w:sz w:val="20"/>
        </w:rPr>
        <w:t>Additionally: per-session impedance check blocks enable if electrode contact not confirmed</w:t>
      </w:r>
    </w:p>
    <w:p>
      <w:pPr/>
    </w:p>
    <w:p>
      <w:pPr/>
      <w:r>
        <w:rPr>
          <w:b w:val="0"/>
          <w:sz w:val="20"/>
        </w:rPr>
        <w:t>Residual risk justification: Dual-processor architecture with independent cardiac monitoring provides safety backstop comparable to predicate device (electroCore gammaCore). Predicate operates at ≤24mA; NeurOne operates at ≤2mA (&gt;10× lower current). Residual risk ACCEPTABLE per NP-RM-001 acceptability matrix.</w:t>
      </w:r>
    </w:p>
    <w:p>
      <w:pPr/>
    </w:p>
    <w:p>
      <w:pPr/>
      <w:r>
        <w:rPr>
          <w:b/>
          <w:sz w:val="20"/>
        </w:rPr>
        <w:t>FAI verification:</w:t>
      </w:r>
    </w:p>
    <w:p>
      <w:pPr>
        <w:pStyle w:val="ListBullet"/>
      </w:pPr>
      <w:r>
        <w:rPr>
          <w:b w:val="0"/>
          <w:sz w:val="20"/>
        </w:rPr>
        <w:t>FAI-CV01: Electrode placement accuracy (anatomical phantom bench) — PENDING (T2 prototype required)</w:t>
      </w:r>
    </w:p>
    <w:p>
      <w:pPr>
        <w:pStyle w:val="ListBullet"/>
      </w:pPr>
      <w:r>
        <w:rPr>
          <w:b w:val="0"/>
          <w:sz w:val="20"/>
        </w:rPr>
        <w:t>FAI-CV02: Cardiac interlock timing &lt;100ms (oscilloscope bench with R-peak signal generator) — SOFTWARE CONSTANTS PASS; HARDWARE BENCH PENDING (T2 prototype required)</w:t>
      </w:r>
    </w:p>
    <w:p>
      <w:pPr>
        <w:pStyle w:val="ListBullet"/>
      </w:pPr>
      <w:r>
        <w:rPr>
          <w:b w:val="0"/>
          <w:sz w:val="20"/>
        </w:rPr>
        <w:t>FAI-CV03: Tolerability in 3 healthy adults — PENDING (IRB approval required)</w:t>
      </w:r>
    </w:p>
    <w:p>
      <w:pPr/>
      <w:r>
        <w:rPr>
          <w:b w:val="0"/>
          <w:sz w:val="20"/>
        </w:rPr>
        <w:t>Document reference: NP-FW-CVNS-001 Rev A (firmware/cervical_vns/)</w:t>
      </w:r>
    </w:p>
    <w:p>
      <w:pPr/>
    </w:p>
    <w:p>
      <w:pPr>
        <w:spacing w:before="240"/>
      </w:pPr>
      <w:r>
        <w:rPr>
          <w:b/>
          <w:color w:val="003366"/>
          <w:sz w:val="26"/>
        </w:rPr>
        <w:t>OPEN ISSUES — MUST RESOLVE BEFORE FPC LAYOUT RELEASE</w:t>
      </w:r>
    </w:p>
    <w:p>
      <w:pPr>
        <w:ind w:firstLine="216"/>
      </w:pPr>
      <w:r>
        <w:t>The following items have no confirmed answer in the current specification. Layout cannot be responsibly released until each is resolved:</w:t>
      </w:r>
    </w:p>
    <w:tbl>
      <w:tblPr>
        <w:tblStyle w:val="TableGrid"/>
        <w:tblW w:type="auto" w:w="0"/>
        <w:tblLook w:firstColumn="1" w:firstRow="1" w:lastColumn="0" w:lastRow="0" w:noHBand="0" w:noVBand="1" w:val="04A0"/>
      </w:tblPr>
      <w:tblGrid>
        <w:gridCol w:w="2412"/>
        <w:gridCol w:w="2412"/>
        <w:gridCol w:w="2412"/>
        <w:gridCol w:w="2412"/>
      </w:tblGrid>
      <w:tr>
        <w:tc>
          <w:tcPr>
            <w:tcW w:type="dxa" w:w="720"/>
            <w:shd w:val="clear" w:color="auto" w:fill="003366"/>
          </w:tcPr>
          <w:p>
            <w:pPr>
              <w:spacing w:after="0"/>
            </w:pPr>
            <w:r>
              <w:rPr>
                <w:b/>
                <w:color w:val="FFFFFF"/>
                <w:sz w:val="17"/>
              </w:rPr>
              <w:t>ID</w:t>
            </w:r>
          </w:p>
        </w:tc>
        <w:tc>
          <w:tcPr>
            <w:tcW w:type="dxa" w:w="1152"/>
            <w:shd w:val="clear" w:color="auto" w:fill="003366"/>
          </w:tcPr>
          <w:p>
            <w:pPr>
              <w:spacing w:after="0"/>
            </w:pPr>
            <w:r>
              <w:rPr>
                <w:b/>
                <w:color w:val="FFFFFF"/>
                <w:sz w:val="17"/>
              </w:rPr>
              <w:t>Priority</w:t>
            </w:r>
          </w:p>
        </w:tc>
        <w:tc>
          <w:tcPr>
            <w:tcW w:type="dxa" w:w="2880"/>
            <w:shd w:val="clear" w:color="auto" w:fill="003366"/>
          </w:tcPr>
          <w:p>
            <w:pPr>
              <w:spacing w:after="0"/>
            </w:pPr>
            <w:r>
              <w:rPr>
                <w:b/>
                <w:color w:val="FFFFFF"/>
                <w:sz w:val="17"/>
              </w:rPr>
              <w:t>Issue</w:t>
            </w:r>
          </w:p>
        </w:tc>
        <w:tc>
          <w:tcPr>
            <w:tcW w:type="dxa" w:w="5616"/>
            <w:shd w:val="clear" w:color="auto" w:fill="003366"/>
          </w:tcPr>
          <w:p>
            <w:pPr>
              <w:spacing w:after="0"/>
            </w:pPr>
            <w:r>
              <w:rPr>
                <w:b/>
                <w:color w:val="FFFFFF"/>
                <w:sz w:val="17"/>
              </w:rPr>
              <w:t>What is needed</w:t>
            </w:r>
          </w:p>
        </w:tc>
      </w:tr>
      <w:tr>
        <w:tc>
          <w:tcPr>
            <w:tcW w:type="dxa" w:w="720"/>
          </w:tcPr>
          <w:p>
            <w:pPr>
              <w:spacing w:after="0"/>
            </w:pPr>
            <w:r>
              <w:rPr>
                <w:sz w:val="17"/>
              </w:rPr>
              <w:t>OI-01</w:t>
            </w:r>
          </w:p>
        </w:tc>
        <w:tc>
          <w:tcPr>
            <w:tcW w:type="dxa" w:w="1152"/>
          </w:tcPr>
          <w:p>
            <w:pPr>
              <w:spacing w:after="0"/>
            </w:pPr>
            <w:r>
              <w:rPr>
                <w:sz w:val="17"/>
              </w:rPr>
              <w:t>BLOCKING</w:t>
            </w:r>
          </w:p>
        </w:tc>
        <w:tc>
          <w:tcPr>
            <w:tcW w:type="dxa" w:w="2880"/>
          </w:tcPr>
          <w:p>
            <w:pPr>
              <w:spacing w:after="0"/>
            </w:pPr>
            <w:r>
              <w:rPr>
                <w:sz w:val="17"/>
              </w:rPr>
              <w:t>Regulatory opinion on peak irradiance</w:t>
            </w:r>
          </w:p>
        </w:tc>
        <w:tc>
          <w:tcPr>
            <w:tcW w:type="dxa" w:w="5616"/>
          </w:tcPr>
          <w:p>
            <w:pPr>
              <w:spacing w:after="0"/>
            </w:pPr>
            <w:r>
              <w:rPr>
                <w:sz w:val="17"/>
              </w:rPr>
              <w:t>Drives LED drive current, RSET values, string topology. Commission counsel now.</w:t>
            </w:r>
          </w:p>
        </w:tc>
      </w:tr>
      <w:tr>
        <w:tc>
          <w:tcPr>
            <w:tcW w:type="dxa" w:w="720"/>
          </w:tcPr>
          <w:p>
            <w:pPr>
              <w:spacing w:after="0"/>
            </w:pPr>
            <w:r>
              <w:rPr>
                <w:sz w:val="17"/>
              </w:rPr>
              <w:t>OI-02</w:t>
            </w:r>
          </w:p>
        </w:tc>
        <w:tc>
          <w:tcPr>
            <w:tcW w:type="dxa" w:w="1152"/>
          </w:tcPr>
          <w:p>
            <w:pPr>
              <w:spacing w:after="0"/>
            </w:pPr>
            <w:r>
              <w:rPr>
                <w:sz w:val="17"/>
              </w:rPr>
              <w:t>BLOCKING</w:t>
            </w:r>
          </w:p>
        </w:tc>
        <w:tc>
          <w:tcPr>
            <w:tcW w:type="dxa" w:w="2880"/>
          </w:tcPr>
          <w:p>
            <w:pPr>
              <w:spacing w:after="0"/>
            </w:pPr>
            <w:r>
              <w:rPr>
                <w:sz w:val="17"/>
              </w:rPr>
              <w:t>Connector family confirmed</w:t>
            </w:r>
          </w:p>
        </w:tc>
        <w:tc>
          <w:tcPr>
            <w:tcW w:type="dxa" w:w="5616"/>
          </w:tcPr>
          <w:p>
            <w:pPr>
              <w:spacing w:after="0"/>
            </w:pPr>
            <w:r>
              <w:rPr>
                <w:sz w:val="17"/>
              </w:rPr>
              <w:t>Replace "Molex SlimStack" with Hirose FH34S or JAE FF03. Pull datasheet and confirm 1,000-cycle rating.</w:t>
            </w:r>
          </w:p>
        </w:tc>
      </w:tr>
      <w:tr>
        <w:tc>
          <w:tcPr>
            <w:tcW w:type="dxa" w:w="720"/>
          </w:tcPr>
          <w:p>
            <w:pPr>
              <w:spacing w:after="0"/>
            </w:pPr>
            <w:r>
              <w:rPr>
                <w:sz w:val="17"/>
              </w:rPr>
              <w:t>OI-03</w:t>
            </w:r>
          </w:p>
        </w:tc>
        <w:tc>
          <w:tcPr>
            <w:tcW w:type="dxa" w:w="1152"/>
          </w:tcPr>
          <w:p>
            <w:pPr>
              <w:spacing w:after="0"/>
            </w:pPr>
            <w:r>
              <w:rPr>
                <w:sz w:val="17"/>
              </w:rPr>
              <w:t>BLOCKING</w:t>
            </w:r>
          </w:p>
        </w:tc>
        <w:tc>
          <w:tcPr>
            <w:tcW w:type="dxa" w:w="2880"/>
          </w:tcPr>
          <w:p>
            <w:pPr>
              <w:spacing w:after="0"/>
            </w:pPr>
            <w:r>
              <w:rPr>
                <w:sz w:val="17"/>
              </w:rPr>
              <w:t>LED emitter part numbers confirmed at rated pulse current</w:t>
            </w:r>
          </w:p>
        </w:tc>
        <w:tc>
          <w:tcPr>
            <w:tcW w:type="dxa" w:w="5616"/>
          </w:tcPr>
          <w:p>
            <w:pPr>
              <w:spacing w:after="0"/>
            </w:pPr>
            <w:r>
              <w:rPr>
                <w:sz w:val="17"/>
              </w:rPr>
              <w:t>Seoul / Osram candidates at 120–180 mA pulse. Vf at rated current, θjc, and package footprint required for layout.</w:t>
            </w:r>
          </w:p>
        </w:tc>
      </w:tr>
      <w:tr>
        <w:tc>
          <w:tcPr>
            <w:tcW w:type="dxa" w:w="720"/>
          </w:tcPr>
          <w:p>
            <w:pPr>
              <w:spacing w:after="0"/>
            </w:pPr>
            <w:r>
              <w:rPr>
                <w:sz w:val="17"/>
              </w:rPr>
              <w:t>OI-04</w:t>
            </w:r>
          </w:p>
        </w:tc>
        <w:tc>
          <w:tcPr>
            <w:tcW w:type="dxa" w:w="1152"/>
          </w:tcPr>
          <w:p>
            <w:pPr>
              <w:spacing w:after="0"/>
            </w:pPr>
            <w:r>
              <w:rPr>
                <w:sz w:val="17"/>
              </w:rPr>
              <w:t>REQUIRED</w:t>
            </w:r>
          </w:p>
        </w:tc>
        <w:tc>
          <w:tcPr>
            <w:tcW w:type="dxa" w:w="2880"/>
          </w:tcPr>
          <w:p>
            <w:pPr>
              <w:spacing w:after="0"/>
            </w:pPr>
            <w:r>
              <w:rPr>
                <w:sz w:val="17"/>
              </w:rPr>
              <w:t>BCR421W vs BCR421U — BOM updated</w:t>
            </w:r>
          </w:p>
        </w:tc>
        <w:tc>
          <w:tcPr>
            <w:tcW w:type="dxa" w:w="5616"/>
          </w:tcPr>
          <w:p>
            <w:pPr>
              <w:spacing w:after="0"/>
            </w:pPr>
            <w:r>
              <w:rPr>
                <w:sz w:val="17"/>
              </w:rPr>
              <w:t>One-line BOM change. Must be done before layout.</w:t>
            </w:r>
          </w:p>
        </w:tc>
      </w:tr>
      <w:tr>
        <w:tc>
          <w:tcPr>
            <w:tcW w:type="dxa" w:w="720"/>
          </w:tcPr>
          <w:p>
            <w:pPr>
              <w:spacing w:after="0"/>
            </w:pPr>
            <w:r>
              <w:rPr>
                <w:sz w:val="17"/>
              </w:rPr>
              <w:t>OI-05</w:t>
            </w:r>
          </w:p>
        </w:tc>
        <w:tc>
          <w:tcPr>
            <w:tcW w:type="dxa" w:w="1152"/>
          </w:tcPr>
          <w:p>
            <w:pPr>
              <w:spacing w:after="0"/>
            </w:pPr>
            <w:r>
              <w:rPr>
                <w:sz w:val="17"/>
              </w:rPr>
              <w:t>REQUIRED</w:t>
            </w:r>
          </w:p>
        </w:tc>
        <w:tc>
          <w:tcPr>
            <w:tcW w:type="dxa" w:w="2880"/>
          </w:tcPr>
          <w:p>
            <w:pPr>
              <w:spacing w:after="0"/>
            </w:pPr>
            <w:r>
              <w:rPr>
                <w:sz w:val="17"/>
              </w:rPr>
              <w:t>LED Vf bin spec on PO</w:t>
            </w:r>
          </w:p>
        </w:tc>
        <w:tc>
          <w:tcPr>
            <w:tcW w:type="dxa" w:w="5616"/>
          </w:tcPr>
          <w:p>
            <w:pPr>
              <w:spacing w:after="0"/>
            </w:pPr>
            <w:r>
              <w:rPr>
                <w:sz w:val="17"/>
              </w:rPr>
              <w:t>Add ±0.10 V requirement to purchase order spec.</w:t>
            </w:r>
          </w:p>
        </w:tc>
      </w:tr>
      <w:tr>
        <w:tc>
          <w:tcPr>
            <w:tcW w:type="dxa" w:w="720"/>
          </w:tcPr>
          <w:p>
            <w:pPr>
              <w:spacing w:after="0"/>
            </w:pPr>
            <w:r>
              <w:rPr>
                <w:sz w:val="17"/>
              </w:rPr>
              <w:t>OI-06</w:t>
            </w:r>
          </w:p>
        </w:tc>
        <w:tc>
          <w:tcPr>
            <w:tcW w:type="dxa" w:w="1152"/>
            <w:shd w:val="clear" w:color="auto" w:fill="E2EFDA"/>
          </w:tcPr>
          <w:p>
            <w:pPr>
              <w:spacing w:after="0"/>
            </w:pPr>
            <w:r>
              <w:rPr>
                <w:sz w:val="17"/>
              </w:rPr>
            </w:r>
            <w:r>
              <w:rPr>
                <w:b w:val="0"/>
              </w:rPr>
              <w:t>REQUIRED (addressed in NP-COORD-001)</w:t>
            </w:r>
          </w:p>
        </w:tc>
        <w:tc>
          <w:tcPr>
            <w:tcW w:type="dxa" w:w="2880"/>
          </w:tcPr>
          <w:p>
            <w:pPr>
              <w:spacing w:after="0"/>
            </w:pPr>
            <w:r>
              <w:rPr>
                <w:sz w:val="17"/>
              </w:rPr>
            </w:r>
            <w:r>
              <w:rPr>
                <w:b w:val="0"/>
              </w:rPr>
              <w:t>LED PWM carrier frequency agreed with firmware team — NP-COORD-001 items G1-03 (EDR) and G1-04 (firmware blanking) address this. EDR and firmware implementation still required to close G1-03 and G1-04.</w:t>
            </w:r>
          </w:p>
        </w:tc>
        <w:tc>
          <w:tcPr>
            <w:tcW w:type="dxa" w:w="5616"/>
          </w:tcPr>
          <w:p>
            <w:pPr>
              <w:spacing w:after="0"/>
            </w:pPr>
            <w:r>
              <w:rPr>
                <w:sz w:val="17"/>
              </w:rPr>
              <w:t>Minimum 1 kHz. Must not alias into EEG band or BES frequency harmonics. Formal agreement required before layout.</w:t>
            </w:r>
          </w:p>
        </w:tc>
      </w:tr>
      <w:tr>
        <w:tc>
          <w:tcPr>
            <w:tcW w:type="dxa" w:w="720"/>
          </w:tcPr>
          <w:p>
            <w:pPr>
              <w:spacing w:after="0"/>
            </w:pPr>
            <w:r>
              <w:rPr>
                <w:sz w:val="17"/>
              </w:rPr>
              <w:t>OI-07</w:t>
            </w:r>
          </w:p>
        </w:tc>
        <w:tc>
          <w:tcPr>
            <w:tcW w:type="dxa" w:w="1152"/>
          </w:tcPr>
          <w:p>
            <w:pPr>
              <w:spacing w:after="0"/>
            </w:pPr>
            <w:r>
              <w:rPr>
                <w:sz w:val="17"/>
              </w:rPr>
              <w:t>REQUIRED</w:t>
            </w:r>
          </w:p>
        </w:tc>
        <w:tc>
          <w:tcPr>
            <w:tcW w:type="dxa" w:w="2880"/>
          </w:tcPr>
          <w:p>
            <w:pPr>
              <w:spacing w:after="0"/>
            </w:pPr>
            <w:r>
              <w:rPr>
                <w:sz w:val="17"/>
              </w:rPr>
              <w:t>Photodiode part number and baffle geometry defined</w:t>
            </w:r>
          </w:p>
        </w:tc>
        <w:tc>
          <w:tcPr>
            <w:tcW w:type="dxa" w:w="5616"/>
          </w:tcPr>
          <w:p>
            <w:pPr>
              <w:spacing w:after="0"/>
            </w:pPr>
            <w:r>
              <w:rPr>
                <w:sz w:val="17"/>
              </w:rPr>
              <w:t>Baffle affects zone module mold geometry — cannot be added post-tooling. Must be in mechanical spec before first cut.</w:t>
            </w:r>
          </w:p>
        </w:tc>
      </w:tr>
      <w:tr>
        <w:tc>
          <w:tcPr>
            <w:tcW w:type="dxa" w:w="720"/>
          </w:tcPr>
          <w:p>
            <w:pPr>
              <w:spacing w:after="0"/>
            </w:pPr>
            <w:r>
              <w:rPr>
                <w:sz w:val="17"/>
              </w:rPr>
              <w:t>OI-08</w:t>
            </w:r>
          </w:p>
        </w:tc>
        <w:tc>
          <w:tcPr>
            <w:tcW w:type="dxa" w:w="1152"/>
          </w:tcPr>
          <w:p>
            <w:pPr>
              <w:spacing w:after="0"/>
            </w:pPr>
            <w:r>
              <w:rPr>
                <w:sz w:val="17"/>
              </w:rPr>
              <w:t>REQUIRED</w:t>
            </w:r>
          </w:p>
        </w:tc>
        <w:tc>
          <w:tcPr>
            <w:tcW w:type="dxa" w:w="2880"/>
          </w:tcPr>
          <w:p>
            <w:pPr>
              <w:spacing w:after="0"/>
            </w:pPr>
            <w:r>
              <w:rPr>
                <w:sz w:val="17"/>
              </w:rPr>
              <w:t>PDMS bonding process confirmed with FPC manufacturer</w:t>
            </w:r>
          </w:p>
        </w:tc>
        <w:tc>
          <w:tcPr>
            <w:tcW w:type="dxa" w:w="5616"/>
          </w:tcPr>
          <w:p>
            <w:pPr>
              <w:spacing w:after="0"/>
            </w:pPr>
            <w:r>
              <w:rPr>
                <w:sz w:val="17"/>
              </w:rPr>
              <w:t>Sputtered SiO₂ interlayer: confirm process house availability and process flow before tooling release.</w:t>
            </w:r>
          </w:p>
        </w:tc>
      </w:tr>
      <w:tr>
        <w:tc>
          <w:tcPr>
            <w:tcW w:type="dxa" w:w="720"/>
          </w:tcPr>
          <w:p>
            <w:pPr>
              <w:spacing w:after="0"/>
            </w:pPr>
            <w:r>
              <w:rPr>
                <w:sz w:val="17"/>
              </w:rPr>
              <w:t>OI-09</w:t>
            </w:r>
          </w:p>
        </w:tc>
        <w:tc>
          <w:tcPr>
            <w:tcW w:type="dxa" w:w="1152"/>
            <w:shd w:val="clear" w:color="auto" w:fill="E2EFDA"/>
          </w:tcPr>
          <w:p>
            <w:pPr>
              <w:spacing w:after="0"/>
            </w:pPr>
            <w:r>
              <w:rPr>
                <w:sz w:val="17"/>
              </w:rPr>
            </w:r>
            <w:r>
              <w:rPr>
                <w:b w:val="0"/>
              </w:rPr>
              <w:t>REQUIRED (addressed in NP-DRV-SHELL-001)</w:t>
            </w:r>
          </w:p>
        </w:tc>
        <w:tc>
          <w:tcPr>
            <w:tcW w:type="dxa" w:w="2880"/>
          </w:tcPr>
          <w:p>
            <w:pPr>
              <w:spacing w:after="0"/>
            </w:pPr>
            <w:r>
              <w:rPr>
                <w:sz w:val="17"/>
              </w:rPr>
            </w:r>
            <w:r>
              <w:rPr>
                <w:b w:val="0"/>
              </w:rPr>
              <w:t>Shell tooling FPC routing path with ≥25 mm bend radius — design review doc NP-DRV-SHELL-001 Rev A created. CAD model and physical prototype still required to close (see NP-DRV-SHELL-001 §7).</w:t>
            </w:r>
          </w:p>
        </w:tc>
        <w:tc>
          <w:tcPr>
            <w:tcW w:type="dxa" w:w="5616"/>
          </w:tcPr>
          <w:p>
            <w:pPr>
              <w:spacing w:after="0"/>
            </w:pPr>
            <w:r>
              <w:rPr>
                <w:sz w:val="17"/>
              </w:rPr>
              <w:t>Coordinate with shell tooling spec. Must be defined before first cut — cannot be retrofitted.</w:t>
            </w:r>
          </w:p>
        </w:tc>
      </w:tr>
      <w:tr>
        <w:tc>
          <w:tcPr>
            <w:tcW w:type="dxa" w:w="720"/>
          </w:tcPr>
          <w:p>
            <w:pPr>
              <w:spacing w:after="0"/>
            </w:pPr>
            <w:r>
              <w:rPr>
                <w:sz w:val="17"/>
              </w:rPr>
              <w:t>OI-10</w:t>
            </w:r>
          </w:p>
        </w:tc>
        <w:tc>
          <w:tcPr>
            <w:tcW w:type="dxa" w:w="1152"/>
            <w:shd w:val="clear" w:color="auto" w:fill="E2EFDA"/>
          </w:tcPr>
          <w:p>
            <w:pPr>
              <w:spacing w:after="0"/>
            </w:pPr>
            <w:r>
              <w:rPr>
                <w:sz w:val="17"/>
              </w:rPr>
            </w:r>
            <w:r>
              <w:rPr>
                <w:b w:val="0"/>
              </w:rPr>
              <w:t>REQUIRED (addressed in NP-FAI-ZM-001)</w:t>
            </w:r>
          </w:p>
        </w:tc>
        <w:tc>
          <w:tcPr>
            <w:tcW w:type="dxa" w:w="2880"/>
          </w:tcPr>
          <w:p>
            <w:pPr>
              <w:spacing w:after="0"/>
            </w:pPr>
            <w:r>
              <w:rPr>
                <w:sz w:val="17"/>
              </w:rPr>
            </w:r>
            <w:r>
              <w:rPr>
                <w:b w:val="0"/>
              </w:rPr>
              <w:t>Mechanical key geometry for all 5 zone slots — unique asymmetric key per zone still required in shell tooling spec. NP-FAI-ZM-001 §4a verifies alignment via CMM; mechanical key prevents wrong-zone insertion (color-blind accessibility and incorrect alignment both mitigated). Key geometry must be in shell tooling spec before first cut.</w:t>
            </w:r>
          </w:p>
        </w:tc>
        <w:tc>
          <w:tcPr>
            <w:tcW w:type="dxa" w:w="5616"/>
          </w:tcPr>
          <w:p>
            <w:pPr>
              <w:spacing w:after="0"/>
            </w:pPr>
            <w:r>
              <w:rPr>
                <w:sz w:val="17"/>
              </w:rPr>
              <w:t>Unique asymmetric key per zone. Must be in shell tooling spec.</w:t>
            </w:r>
          </w:p>
        </w:tc>
      </w:tr>
      <w:tr>
        <w:tc>
          <w:tcPr>
            <w:tcW w:type="dxa" w:w="720"/>
          </w:tcPr>
          <w:p>
            <w:pPr>
              <w:spacing w:after="0"/>
            </w:pPr>
            <w:r>
              <w:rPr>
                <w:sz w:val="17"/>
              </w:rPr>
              <w:t>OI-11</w:t>
            </w:r>
          </w:p>
        </w:tc>
        <w:tc>
          <w:tcPr>
            <w:tcW w:type="dxa" w:w="1152"/>
            <w:shd w:val="clear" w:color="auto" w:fill="E2EFDA"/>
          </w:tcPr>
          <w:p>
            <w:pPr>
              <w:spacing w:after="0"/>
            </w:pPr>
            <w:r>
              <w:rPr>
                <w:sz w:val="17"/>
              </w:rPr>
            </w:r>
            <w:r>
              <w:rPr>
                <w:b w:val="0"/>
                <w:sz w:val="18"/>
              </w:rPr>
              <w:t>DONE (decision made: Option A gasket)</w:t>
            </w:r>
          </w:p>
        </w:tc>
        <w:tc>
          <w:tcPr>
            <w:tcW w:type="dxa" w:w="2880"/>
          </w:tcPr>
          <w:p>
            <w:pPr>
              <w:spacing w:after="0"/>
            </w:pPr>
            <w:r>
              <w:rPr>
                <w:sz w:val="17"/>
              </w:rPr>
            </w:r>
            <w:r>
              <w:rPr>
                <w:b w:val="0"/>
                <w:sz w:val="18"/>
              </w:rPr>
              <w:t>Zone module field-replacement seal — Option A selected: self-sealing co-molded silicone gasket. Gasket spec in FPC spec §12. Shell slot rim spec required in shell tooling. FAI field-replacement IPX4 test required (NP-FAI-ZM-001 FAI-IPX-01 to FAI-IPX-04).</w:t>
            </w:r>
          </w:p>
        </w:tc>
        <w:tc>
          <w:tcPr>
            <w:tcW w:type="dxa" w:w="5616"/>
          </w:tcPr>
          <w:p>
            <w:pPr>
              <w:spacing w:after="0"/>
            </w:pPr>
            <w:r>
              <w:rPr>
                <w:sz w:val="17"/>
              </w:rPr>
              <w:t>Self-sealing gasket vs. user-applied RTV. Design decision required; affects mechanical spec.</w:t>
            </w:r>
          </w:p>
        </w:tc>
      </w:tr>
      <w:tr>
        <w:tc>
          <w:tcPr>
            <w:tcW w:type="dxa" w:w="720"/>
          </w:tcPr>
          <w:p>
            <w:pPr>
              <w:spacing w:after="0"/>
            </w:pPr>
            <w:r>
              <w:rPr>
                <w:sz w:val="17"/>
              </w:rPr>
              <w:t>OI-12</w:t>
            </w:r>
          </w:p>
        </w:tc>
        <w:tc>
          <w:tcPr>
            <w:tcW w:type="dxa" w:w="1152"/>
          </w:tcPr>
          <w:p>
            <w:pPr>
              <w:spacing w:after="0"/>
            </w:pPr>
            <w:r>
              <w:rPr>
                <w:sz w:val="17"/>
              </w:rPr>
              <w:t>ADVISORY</w:t>
            </w:r>
          </w:p>
        </w:tc>
        <w:tc>
          <w:tcPr>
            <w:tcW w:type="dxa" w:w="2880"/>
          </w:tcPr>
          <w:p>
            <w:pPr>
              <w:spacing w:after="0"/>
            </w:pPr>
            <w:r>
              <w:rPr>
                <w:sz w:val="17"/>
              </w:rPr>
              <w:t>LED aging vs. PDMS fouling separation algorithm</w:t>
            </w:r>
          </w:p>
        </w:tc>
        <w:tc>
          <w:tcPr>
            <w:tcW w:type="dxa" w:w="5616"/>
          </w:tcPr>
          <w:p>
            <w:pPr>
              <w:spacing w:after="0"/>
            </w:pPr>
            <w:r>
              <w:rPr>
                <w:sz w:val="17"/>
              </w:rPr>
              <w:t>Two-measurement protocol or second photodiode. Design decision for firmware/systems — does not block layout but affects signal routing (additional PD pin or not).</w:t>
            </w:r>
          </w:p>
        </w:tc>
      </w:tr>
      <w:tr>
        <w:tc>
          <w:tcPr>
            <w:tcW w:type="dxa" w:w="720"/>
          </w:tcPr>
          <w:p>
            <w:pPr>
              <w:spacing w:after="0"/>
            </w:pPr>
            <w:r>
              <w:rPr>
                <w:sz w:val="17"/>
              </w:rPr>
              <w:t>OI-13</w:t>
            </w:r>
          </w:p>
        </w:tc>
        <w:tc>
          <w:tcPr>
            <w:tcW w:type="dxa" w:w="1152"/>
          </w:tcPr>
          <w:p>
            <w:pPr>
              <w:spacing w:after="0"/>
            </w:pPr>
            <w:r>
              <w:rPr>
                <w:sz w:val="17"/>
              </w:rPr>
              <w:t>ADVISORY</w:t>
            </w:r>
          </w:p>
        </w:tc>
        <w:tc>
          <w:tcPr>
            <w:tcW w:type="dxa" w:w="2880"/>
          </w:tcPr>
          <w:p>
            <w:pPr>
              <w:spacing w:after="0"/>
            </w:pPr>
            <w:r>
              <w:rPr>
                <w:sz w:val="17"/>
              </w:rPr>
              <w:t>ADPD174GGI vs. discrete TIA for photodiode readout</w:t>
            </w:r>
          </w:p>
        </w:tc>
        <w:tc>
          <w:tcPr>
            <w:tcW w:type="dxa" w:w="5616"/>
          </w:tcPr>
          <w:p>
            <w:pPr>
              <w:spacing w:after="0"/>
            </w:pPr>
            <w:r>
              <w:rPr>
                <w:sz w:val="17"/>
              </w:rPr>
              <w:t>Integrated part simplifies design and optical isolation. Evaluate against BOM cost. Does not block layout but affects Hub PCB design.</w:t>
            </w:r>
          </w:p>
        </w:tc>
      </w:tr>
    </w:tbl>
    <w:p/>
    <w:p/>
    <w:p>
      <w:r>
        <w:rPr>
          <w:i/>
          <w:sz w:val="20"/>
        </w:rPr>
        <w:t>Note: Items OI-01 through OI-03 are BLOCKING — they must be resolved before any layout work begins because they drive the fundamental electrical and mechanical architecture of the zone module. Items OI-04 through OI-11 are REQUIRED — they must be resolved before layout is released to the fabricator. Items OI-12 and OI-13 are ADVISORY — they do not block layout but should be decided in parallel.</w:t>
      </w:r>
    </w:p>
    <w:p>
      <w:pPr/>
    </w:p>
    <w:p>
      <w:pPr/>
    </w:p>
    <w:p>
      <w:pPr/>
      <w:r>
        <w:rPr>
          <w:b/>
          <w:color w:val="003366"/>
          <w:sz w:val="26"/>
        </w:rPr>
        <w:t>REVISION HISTORY</w:t>
      </w:r>
    </w:p>
    <w:p>
      <w:pPr/>
    </w:p>
    <w:tbl>
      <w:tblPr>
        <w:tblStyle w:val="TableGrid"/>
        <w:tblW w:type="auto" w:w="0"/>
        <w:tblLook w:firstColumn="1" w:firstRow="1" w:lastColumn="0" w:lastRow="0" w:noHBand="0" w:noVBand="1" w:val="04A0"/>
      </w:tblPr>
      <w:tblGrid>
        <w:gridCol w:w="2412"/>
        <w:gridCol w:w="2412"/>
        <w:gridCol w:w="2412"/>
        <w:gridCol w:w="2412"/>
      </w:tblGrid>
      <w:tr>
        <w:tc>
          <w:tcPr>
            <w:tcW w:type="dxa" w:w="2412"/>
          </w:tcPr>
          <w:p>
            <w:r>
              <w:rPr>
                <w:b/>
                <w:sz w:val="20"/>
              </w:rPr>
              <w:t>Revision</w:t>
            </w:r>
          </w:p>
        </w:tc>
        <w:tc>
          <w:tcPr>
            <w:tcW w:type="dxa" w:w="2412"/>
          </w:tcPr>
          <w:p>
            <w:r>
              <w:rPr>
                <w:b/>
                <w:sz w:val="20"/>
              </w:rPr>
              <w:t>Date</w:t>
            </w:r>
          </w:p>
        </w:tc>
        <w:tc>
          <w:tcPr>
            <w:tcW w:type="dxa" w:w="2412"/>
          </w:tcPr>
          <w:p>
            <w:r>
              <w:rPr>
                <w:b/>
                <w:sz w:val="20"/>
              </w:rPr>
              <w:t>Author</w:t>
            </w:r>
          </w:p>
        </w:tc>
        <w:tc>
          <w:tcPr>
            <w:tcW w:type="dxa" w:w="2412"/>
          </w:tcPr>
          <w:p>
            <w:r>
              <w:rPr>
                <w:b/>
                <w:sz w:val="20"/>
              </w:rPr>
              <w:t>Description</w:t>
            </w:r>
          </w:p>
        </w:tc>
      </w:tr>
      <w:tr>
        <w:tc>
          <w:tcPr>
            <w:tcW w:type="dxa" w:w="2412"/>
          </w:tcPr>
          <w:p>
            <w:r>
              <w:rPr>
                <w:sz w:val="20"/>
              </w:rPr>
              <w:t>Rev A</w:t>
            </w:r>
          </w:p>
        </w:tc>
        <w:tc>
          <w:tcPr>
            <w:tcW w:type="dxa" w:w="2412"/>
          </w:tcPr>
          <w:p>
            <w:r>
              <w:rPr>
                <w:sz w:val="20"/>
              </w:rPr>
              <w:t>2026-05-06</w:t>
            </w:r>
          </w:p>
        </w:tc>
        <w:tc>
          <w:tcPr>
            <w:tcW w:type="dxa" w:w="2412"/>
          </w:tcPr>
          <w:p>
            <w:r>
              <w:rPr>
                <w:sz w:val="20"/>
              </w:rPr>
              <w:t>NeurOne Engineering</w:t>
            </w:r>
          </w:p>
        </w:tc>
        <w:tc>
          <w:tcPr>
            <w:tcW w:type="dxa" w:w="2412"/>
          </w:tcPr>
          <w:p>
            <w:r>
              <w:rPr>
                <w:sz w:val="20"/>
              </w:rPr>
              <w:t>Initial issue. 24 risks (RISK-01 through RISK-24). 3 CRITICAL, 9 HIGH, 9 MEDIUM, 2 LOW. 22 MITIGATED, 2 OPEN (RISK-03, RISK-20).</w:t>
            </w:r>
          </w:p>
        </w:tc>
      </w:tr>
      <w:tr>
        <w:tc>
          <w:tcPr>
            <w:tcW w:type="dxa" w:w="2412"/>
          </w:tcPr>
          <w:p>
            <w:r>
              <w:rPr>
                <w:sz w:val="20"/>
              </w:rPr>
              <w:t>Rev B</w:t>
            </w:r>
          </w:p>
        </w:tc>
        <w:tc>
          <w:tcPr>
            <w:tcW w:type="dxa" w:w="2412"/>
          </w:tcPr>
          <w:p>
            <w:r>
              <w:rPr>
                <w:sz w:val="20"/>
              </w:rPr>
              <w:t>2026-05-16</w:t>
            </w:r>
          </w:p>
        </w:tc>
        <w:tc>
          <w:tcPr>
            <w:tcW w:type="dxa" w:w="2412"/>
          </w:tcPr>
          <w:p>
            <w:r>
              <w:rPr>
                <w:sz w:val="20"/>
              </w:rPr>
              <w:t>NeurOne Engineering</w:t>
            </w:r>
          </w:p>
        </w:tc>
        <w:tc>
          <w:tcPr>
            <w:tcW w:type="dxa" w:w="2412"/>
          </w:tcPr>
          <w:p>
            <w:r>
              <w:rPr>
                <w:sz w:val="20"/>
              </w:rPr>
              <w:t>RISK-25 added — Cervical VNS cardiac reflex. MITIGATED by Safety MCU dual-processor cardiac interlock (NP-FW-CVNS-001 Rev A). Hardware FAI (FAI-CV01, FAI-CV02, FAI-CV03) pending T2 prototype. Total: 25 risks, 23 MITIGATED, 2 OPEN (RISK-03, RISK-20).</w:t>
            </w:r>
          </w:p>
        </w:tc>
      </w:tr>
    </w:tbl>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