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tcPr>
          <w:p>
            <w:pPr>
              <w:spacing w:after="0"/>
            </w:pPr>
            <w:r>
              <w:rPr>
                <w:b/>
                <w:sz w:val="17"/>
              </w:rPr>
              <w:t>CRITICAL</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sz w:val="17"/>
              </w:rPr>
              <w:t>Replace with Hirose FH34S-20S-0.5SH(50) (0.5 mm pitch, back-flip lever ZIF, ≥1,000 cycles per product marketing — confirm from full datasheet at hirose.com). Backup: JAE FF03. Update CLAUDE.md spec. Confirm before PCB layout.</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BLOCKING</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tcPr>
          <w:p>
            <w:pPr>
              <w:spacing w:after="0"/>
            </w:pPr>
            <w:r>
              <w:rPr>
                <w:b/>
                <w:sz w:val="17"/>
              </w:rPr>
              <w:t>CRITICAL</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sz w:val="17"/>
              </w:rPr>
              <w:t>If regulatory opinion reduces the approved irradiance, the LED drive current must be reduced, which may require different RSET values, different string topologies, or a different LED emitter. PCB layout completed to 180 mA spec may need revision. Any fabrication spend before opinion is received is at risk.</w:t>
            </w:r>
          </w:p>
        </w:tc>
        <w:tc>
          <w:tcPr>
            <w:tcW w:type="dxa" w:w="2448"/>
          </w:tcPr>
          <w:p>
            <w:pPr>
              <w:spacing w:after="0"/>
            </w:pPr>
            <w:r>
              <w:rPr>
                <w:b w:val="0"/>
                <w:sz w:val="17"/>
              </w:rPr>
              <w:t>Hardware designed for maximum case (180 mA, 25% DC) automatically covers ALL less restrictive regulatory outcomes. RSET R-ladder topology added: two 0402 pads in series + one in parallel enables 50–180 mA per string with resistor swap only — no PCB respin for any likely regulatory outcome. RSET values remain unspecified until opinion letter received.</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(regulatory counsel); hardware resilient</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tcPr>
          <w:p>
            <w:pPr>
              <w:spacing w:after="0"/>
            </w:pPr>
            <w:r>
              <w:rPr>
                <w:b/>
                <w:sz w:val="17"/>
              </w:rPr>
              <w:t>HIGH</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sz w:val="17"/>
              </w:rPr>
              <w:t>Per-string constant-current driver mandatory. Recommended: Infineon BCR421W (350 mA, SOT-323), one per string, 20 per zone module. Linear (not switching) to avoid EEG noise. Spec §6 defines full driver architecture.</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sz w:val="17"/>
              </w:rPr>
              <w:t>OPEN — must be in BOM before layout</w:t>
            </w:r>
          </w:p>
        </w:tc>
      </w:tr>
      <w:tr>
        <w:tc>
          <w:tcPr>
            <w:tcW w:type="dxa" w:w="720"/>
          </w:tcPr>
          <w:p>
            <w:pPr>
              <w:spacing w:after="0"/>
            </w:pPr>
            <w:r>
              <w:rPr>
                <w:sz w:val="17"/>
              </w:rPr>
              <w:t>RISK-06</w:t>
            </w:r>
          </w:p>
        </w:tc>
        <w:tc>
          <w:tcPr>
            <w:tcW w:type="dxa" w:w="1008"/>
            <w:shd w:val="clear" w:color="auto" w:fill="FF9900"/>
          </w:tcPr>
          <w:p>
            <w:pPr>
              <w:spacing w:after="0"/>
            </w:pPr>
            <w:r>
              <w:rPr>
                <w:b/>
                <w:sz w:val="17"/>
              </w:rPr>
              <w:t>HIGH</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sz w:val="17"/>
              </w:rPr>
              <w:t>Black moulded POM/anodised aluminium baffle with 1.0 mm diameter aperture. Baffle height 2.0–3.0 mm to block all direct LED viewing angles. Silicone RTV bead around baffle perimeter for edge-light seal. Synchronous lock-in detection to reject ambient light. Spec §8.2 defines full baffle geometry. Validate on first article: cover all LEDs except reference LED; verify photodiode reads near-zero. Then uncover LEDs and verify reading scales with expected irradiance.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sz w:val="17"/>
              </w:rPr>
              <w:t>OPEN — must be in mechanical design before tooling</w:t>
            </w:r>
          </w:p>
        </w:tc>
      </w:tr>
      <w:tr>
        <w:tc>
          <w:tcPr>
            <w:tcW w:type="dxa" w:w="720"/>
          </w:tcPr>
          <w:p>
            <w:pPr>
              <w:spacing w:after="0"/>
            </w:pPr>
            <w:r>
              <w:rPr>
                <w:sz w:val="17"/>
              </w:rPr>
              <w:t>RISK-07</w:t>
            </w:r>
          </w:p>
        </w:tc>
        <w:tc>
          <w:tcPr>
            <w:tcW w:type="dxa" w:w="1008"/>
            <w:shd w:val="clear" w:color="auto" w:fill="FF9900"/>
          </w:tcPr>
          <w:p>
            <w:pPr>
              <w:spacing w:after="0"/>
            </w:pPr>
            <w:r>
              <w:rPr>
                <w:b/>
                <w:sz w:val="17"/>
              </w:rPr>
              <w:t>HIGH</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sz w:val="17"/>
              </w:rPr>
              <w:t>Specify BCR421W (350 mA rated, same SOT-323 package, same RSET programming). Verify RSET calculation against BCR421W datasheet. Backup options: Zetex ZXLD381, Diodes Inc. AL5809 (both 350 mA, SOT-23-3). Update BOM before layout.</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sz w:val="17"/>
              </w:rPr>
              <w:t>OPEN — BOM update required</w:t>
            </w:r>
          </w:p>
        </w:tc>
      </w:tr>
      <w:tr>
        <w:tc>
          <w:tcPr>
            <w:tcW w:type="dxa" w:w="720"/>
          </w:tcPr>
          <w:p>
            <w:pPr>
              <w:spacing w:after="0"/>
            </w:pPr>
            <w:r>
              <w:rPr>
                <w:sz w:val="17"/>
              </w:rPr>
              <w:t>RISK-08</w:t>
            </w:r>
          </w:p>
        </w:tc>
        <w:tc>
          <w:tcPr>
            <w:tcW w:type="dxa" w:w="1008"/>
            <w:shd w:val="clear" w:color="auto" w:fill="FF9900"/>
          </w:tcPr>
          <w:p>
            <w:pPr>
              <w:spacing w:after="0"/>
            </w:pPr>
            <w:r>
              <w:rPr>
                <w:b/>
                <w:sz w:val="17"/>
              </w:rPr>
              <w:t>HIGH</w:t>
            </w:r>
          </w:p>
        </w:tc>
        <w:tc>
          <w:tcPr>
            <w:tcW w:type="dxa" w:w="1872"/>
          </w:tcPr>
          <w:p>
            <w:pPr>
              <w:spacing w:after="0"/>
            </w:pPr>
            <w:r>
              <w:rPr>
                <w:sz w:val="17"/>
              </w:rPr>
              <w:t>LED Vf binning not specified — current matching degraded</w:t>
            </w:r>
          </w:p>
        </w:tc>
        <w:tc>
          <w:tcPr>
            <w:tcW w:type="dxa" w:w="2160"/>
          </w:tcPr>
          <w:p>
            <w:pPr>
              <w:spacing w:after="0"/>
            </w:pPr>
            <w:r>
              <w:rPr>
                <w:sz w:val="17"/>
              </w:rPr>
              <w:t>Commodity LED emitters are sold in wide Vf bins (±0.2–0.3 V typical). Even with per-string CCC drivers, wide Vf spread between strings means the driver compliance voltage must accommodate the widest spread — or some strings will be outside the driver's regulation range at low supply voltage.</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tcPr>
          <w:p>
            <w:pPr>
              <w:spacing w:after="0"/>
            </w:pPr>
            <w:r>
              <w:rPr>
                <w:sz w:val="17"/>
              </w:rPr>
              <w:t>OPEN — must be on PO before first order</w:t>
            </w:r>
          </w:p>
        </w:tc>
      </w:tr>
      <w:tr>
        <w:tc>
          <w:tcPr>
            <w:tcW w:type="dxa" w:w="720"/>
          </w:tcPr>
          <w:p>
            <w:pPr>
              <w:spacing w:after="0"/>
            </w:pPr>
            <w:r>
              <w:rPr>
                <w:sz w:val="17"/>
              </w:rPr>
              <w:t>RISK-09</w:t>
            </w:r>
          </w:p>
        </w:tc>
        <w:tc>
          <w:tcPr>
            <w:tcW w:type="dxa" w:w="1008"/>
            <w:shd w:val="clear" w:color="auto" w:fill="FFD700"/>
          </w:tcPr>
          <w:p>
            <w:pPr>
              <w:spacing w:after="0"/>
            </w:pPr>
            <w:r>
              <w:rPr>
                <w:b/>
                <w:sz w:val="17"/>
              </w:rPr>
              <w:t>MEDIUM</w:t>
            </w:r>
          </w:p>
        </w:tc>
        <w:tc>
          <w:tcPr>
            <w:tcW w:type="dxa" w:w="1872"/>
          </w:tcPr>
          <w:p>
            <w:pPr>
              <w:spacing w:after="0"/>
            </w:pPr>
            <w:r>
              <w:rPr>
                <w:sz w:val="17"/>
              </w:rPr>
              <w:t>0.35 mm pitch connector (referenced in SBIR proposal) has insufficient current rating</w:t>
            </w:r>
          </w:p>
        </w:tc>
        <w:tc>
          <w:tcPr>
            <w:tcW w:type="dxa" w:w="2160"/>
          </w:tcPr>
          <w:p>
            <w:pPr>
              <w:spacing w:after="0"/>
            </w:pPr>
            <w:r>
              <w:rPr>
                <w:sz w:val="17"/>
              </w:rPr>
              <w:t>The SBIR Phase I proposal (§C.2) references "Molex SlimStack 0.35 mm pitch" in the design freeze activity list. Hirose FH-series connectors at 0.35 mm pitch (e.g., FH19C series) are rated 0.5 A/contact — marginally acceptable — but 0.35 mm pitch connectors from most manufacturers are rated 0.3–0.5 A per contact maximum. With 0.9 A per power pin (paired parallel), even 0.5 A per contact is insufficient.</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sz w:val="17"/>
              </w:rPr>
              <w:t>OPEN — update SBIR proposal text</w:t>
            </w:r>
          </w:p>
        </w:tc>
      </w:tr>
      <w:tr>
        <w:tc>
          <w:tcPr>
            <w:tcW w:type="dxa" w:w="720"/>
          </w:tcPr>
          <w:p>
            <w:pPr>
              <w:spacing w:after="0"/>
            </w:pPr>
            <w:r>
              <w:rPr>
                <w:sz w:val="17"/>
              </w:rPr>
              <w:t>RISK-10</w:t>
            </w:r>
          </w:p>
        </w:tc>
        <w:tc>
          <w:tcPr>
            <w:tcW w:type="dxa" w:w="1008"/>
            <w:shd w:val="clear" w:color="auto" w:fill="FFD700"/>
          </w:tcPr>
          <w:p>
            <w:pPr>
              <w:spacing w:after="0"/>
            </w:pPr>
            <w:r>
              <w:rPr>
                <w:b/>
                <w:sz w:val="17"/>
              </w:rPr>
              <w:t>MEDIUM</w:t>
            </w:r>
          </w:p>
        </w:tc>
        <w:tc>
          <w:tcPr>
            <w:tcW w:type="dxa" w:w="1872"/>
          </w:tcPr>
          <w:p>
            <w:pPr>
              <w:spacing w:after="0"/>
            </w:pPr>
            <w:r>
              <w:rPr>
                <w:sz w:val="17"/>
              </w:rPr>
              <w:t>FPC fabricator may default to ED copper unless RA is explicitly specified</w:t>
            </w:r>
          </w:p>
        </w:tc>
        <w:tc>
          <w:tcPr>
            <w:tcW w:type="dxa" w:w="2160"/>
          </w:tcPr>
          <w:p>
            <w:pPr>
              <w:spacing w:after="0"/>
            </w:pPr>
            <w:r>
              <w:rPr>
                <w:sz w:val="17"/>
              </w:rPr>
              <w:t>Electrodeposited (ED) copper is the industry default for FPC fabrication. Rolled annealed (RA) copper must be explicitly requested. If the fabrication notes omit the RA requirement, the fabricator will use ED copper without notifying the customer.</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tcPr>
          <w:p>
            <w:pPr>
              <w:spacing w:after="0"/>
            </w:pPr>
            <w:r>
              <w:rPr>
                <w:sz w:val="17"/>
              </w:rPr>
              <w:t>OPEN — must be on fab drawing</w:t>
            </w:r>
          </w:p>
        </w:tc>
      </w:tr>
      <w:tr>
        <w:tc>
          <w:tcPr>
            <w:tcW w:type="dxa" w:w="720"/>
          </w:tcPr>
          <w:p>
            <w:pPr>
              <w:spacing w:after="0"/>
            </w:pPr>
            <w:r>
              <w:rPr>
                <w:sz w:val="17"/>
              </w:rPr>
              <w:t>RISK-11</w:t>
            </w:r>
          </w:p>
        </w:tc>
        <w:tc>
          <w:tcPr>
            <w:tcW w:type="dxa" w:w="1008"/>
            <w:shd w:val="clear" w:color="auto" w:fill="FFD700"/>
          </w:tcPr>
          <w:p>
            <w:pPr>
              <w:spacing w:after="0"/>
            </w:pPr>
            <w:r>
              <w:rPr>
                <w:b/>
                <w:sz w:val="17"/>
              </w:rPr>
              <w:t>MEDIUM</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t>Shell tooling design review must include FPC routing path with explicit bend radius callouts. Design a cable management channel in the shell interior that enforces ≥25 mm radius at all transitions. This must be coordinated between FPC spec and shell tooling spec before first cut. See CLAUDE.md §13.4 — shell tooling is a pending decision.</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shell tooling coordination required</w:t>
            </w:r>
          </w:p>
        </w:tc>
      </w:tr>
      <w:tr>
        <w:tc>
          <w:tcPr>
            <w:tcW w:type="dxa" w:w="720"/>
          </w:tcPr>
          <w:p>
            <w:pPr>
              <w:spacing w:after="0"/>
            </w:pPr>
            <w:r>
              <w:rPr>
                <w:sz w:val="17"/>
              </w:rPr>
              <w:t>RISK-12</w:t>
            </w:r>
          </w:p>
        </w:tc>
        <w:tc>
          <w:tcPr>
            <w:tcW w:type="dxa" w:w="1008"/>
            <w:shd w:val="clear" w:color="auto" w:fill="FFD700"/>
          </w:tcPr>
          <w:p>
            <w:pPr>
              <w:spacing w:after="0"/>
            </w:pPr>
            <w:r>
              <w:rPr>
                <w:b/>
                <w:sz w:val="17"/>
              </w:rPr>
              <w:t>MEDIUM</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t>Shell tooling zone slot guide rails must be specified to ±0.3 mm positional tolerance (leaves ±0.2 mm margin against the ±0.5 mm system requirement). Validate on first-article inspection with CMM measurement. Zone module stiffener datum features (reference holes or edges) must be defined on FPC drawing.</w:t>
            </w:r>
          </w:p>
        </w:tc>
        <w:tc>
          <w:tcPr>
            <w:tcW w:type="dxa" w:w="1008"/>
          </w:tcPr>
          <w:p>
            <w:pPr>
              <w:spacing w:after="0"/>
            </w:pPr>
            <w:r>
              <w:rPr>
                <w:sz w:val="17"/>
              </w:rPr>
              <w:t>Mechanical Eng</w:t>
            </w:r>
          </w:p>
        </w:tc>
        <w:tc>
          <w:tcPr>
            <w:tcW w:type="dxa" w:w="720"/>
          </w:tcPr>
          <w:p>
            <w:pPr>
              <w:spacing w:after="0"/>
            </w:pPr>
            <w:r>
              <w:rPr>
                <w:sz w:val="17"/>
              </w:rPr>
              <w:t>§11.4</w:t>
            </w:r>
          </w:p>
        </w:tc>
        <w:tc>
          <w:tcPr>
            <w:tcW w:type="dxa" w:w="864"/>
          </w:tcPr>
          <w:p>
            <w:pPr>
              <w:spacing w:after="0"/>
            </w:pPr>
            <w:r>
              <w:rPr>
                <w:sz w:val="17"/>
              </w:rPr>
              <w:t>OPEN — shell tooling tolerance spec required</w:t>
            </w:r>
          </w:p>
        </w:tc>
      </w:tr>
      <w:tr>
        <w:tc>
          <w:tcPr>
            <w:tcW w:type="dxa" w:w="720"/>
          </w:tcPr>
          <w:p>
            <w:pPr>
              <w:spacing w:after="0"/>
            </w:pPr>
            <w:r>
              <w:rPr>
                <w:sz w:val="17"/>
              </w:rPr>
              <w:t>RISK-13</w:t>
            </w:r>
          </w:p>
        </w:tc>
        <w:tc>
          <w:tcPr>
            <w:tcW w:type="dxa" w:w="1008"/>
            <w:shd w:val="clear" w:color="auto" w:fill="FFD700"/>
          </w:tcPr>
          <w:p>
            <w:pPr>
              <w:spacing w:after="0"/>
            </w:pPr>
            <w:r>
              <w:rPr>
                <w:b/>
                <w:sz w:val="17"/>
              </w:rPr>
              <w:t>MEDIUM</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t>LED PWM carrier frequency: minimum 1 kHz. EEG acquisition uses 500 Hz sample rate with anti-aliasing filter at 200 Hz — a 1 kHz carrier aliases to DC (effectively invisible). Firmware must also gate EEG sampling during LED switching transitions (50 µs blanking on each edge, as specified in §4.4). Coordinate carrier frequency selection between HW EE and firmware team before layout.</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tcPr>
          <w:p>
            <w:pPr>
              <w:spacing w:after="0"/>
            </w:pPr>
            <w:r>
              <w:rPr>
                <w:sz w:val="17"/>
              </w:rPr>
              <w:t>OPEN — firmware coordination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tcPr>
          <w:p>
            <w:pPr>
              <w:spacing w:after="0"/>
            </w:pPr>
            <w:r>
              <w:rPr>
                <w:b/>
                <w:sz w:val="17"/>
              </w:rPr>
              <w:t>LOW</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t>Each zone slot must have a unique mechanical key (asymmetric notch/tab profile, as specified in §11.4) that physically prevents wrong-zone insertion. Colour coding is a supplementary cue, not the primary keying mechanism. Mechanical key geometry must be defined in shell tooling spec. Additionally, zone module FPC or stiffener should carry a printed zone identifier (e.g., "ZM-02 FL" for Frontal Left) in large text.</w:t>
            </w:r>
          </w:p>
        </w:tc>
        <w:tc>
          <w:tcPr>
            <w:tcW w:type="dxa" w:w="1008"/>
          </w:tcPr>
          <w:p>
            <w:pPr>
              <w:spacing w:after="0"/>
            </w:pPr>
            <w:r>
              <w:rPr>
                <w:sz w:val="17"/>
              </w:rPr>
              <w:t>Mechanical Eng / UX</w:t>
            </w:r>
          </w:p>
        </w:tc>
        <w:tc>
          <w:tcPr>
            <w:tcW w:type="dxa" w:w="720"/>
          </w:tcPr>
          <w:p>
            <w:pPr>
              <w:spacing w:after="0"/>
            </w:pPr>
            <w:r>
              <w:rPr>
                <w:sz w:val="17"/>
              </w:rPr>
              <w:t>§11.4</w:t>
            </w:r>
          </w:p>
        </w:tc>
        <w:tc>
          <w:tcPr>
            <w:tcW w:type="dxa" w:w="864"/>
          </w:tcPr>
          <w:p>
            <w:pPr>
              <w:spacing w:after="0"/>
            </w:pPr>
            <w:r>
              <w:rPr>
                <w:sz w:val="17"/>
              </w:rPr>
              <w:t>OPEN — mechanical key geometry required in shell tooling spec</w:t>
            </w:r>
          </w:p>
        </w:tc>
      </w:tr>
      <w:tr>
        <w:tc>
          <w:tcPr>
            <w:tcW w:type="dxa" w:w="720"/>
          </w:tcPr>
          <w:p>
            <w:pPr>
              <w:spacing w:after="0"/>
            </w:pPr>
            <w:r>
              <w:rPr>
                <w:sz w:val="17"/>
              </w:rPr>
              <w:t>RISK-16</w:t>
            </w:r>
          </w:p>
        </w:tc>
        <w:tc>
          <w:tcPr>
            <w:tcW w:type="dxa" w:w="1008"/>
            <w:shd w:val="clear" w:color="auto" w:fill="CCFFCC"/>
          </w:tcPr>
          <w:p>
            <w:pPr>
              <w:spacing w:after="0"/>
            </w:pPr>
            <w:r>
              <w:rPr>
                <w:b/>
                <w:sz w:val="17"/>
              </w:rPr>
              <w:t>LOW</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t>Design options: (a) self-sealing silicone gasket that re-seals on reinsertion (no user action required — preferred); (b) user applies silicone RTV from included syringe — requires documentation and user compliance. Option (a) is strongly preferred. Define gasket geometry in zone slot and zone module mechanical spec. Test IPX4 after 10 simulated field replacement cycles.</w:t>
            </w:r>
          </w:p>
        </w:tc>
        <w:tc>
          <w:tcPr>
            <w:tcW w:type="dxa" w:w="1008"/>
          </w:tcPr>
          <w:p>
            <w:pPr>
              <w:spacing w:after="0"/>
            </w:pPr>
            <w:r>
              <w:rPr>
                <w:sz w:val="17"/>
              </w:rPr>
              <w:t>Mechanical Eng / UX</w:t>
            </w:r>
          </w:p>
        </w:tc>
        <w:tc>
          <w:tcPr>
            <w:tcW w:type="dxa" w:w="720"/>
          </w:tcPr>
          <w:p>
            <w:pPr>
              <w:spacing w:after="0"/>
            </w:pPr>
            <w:r>
              <w:rPr>
                <w:sz w:val="17"/>
              </w:rPr>
              <w:t>§12</w:t>
            </w:r>
          </w:p>
        </w:tc>
        <w:tc>
          <w:tcPr>
            <w:tcW w:type="dxa" w:w="864"/>
          </w:tcPr>
          <w:p>
            <w:pPr>
              <w:spacing w:after="0"/>
            </w:pPr>
            <w:r>
              <w:rPr>
                <w:sz w:val="17"/>
              </w:rPr>
              <w:t>OPEN — design decision required</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3366"/>
          <w:sz w:val="22"/>
        </w:rPr>
        <w:t>RISK-01  |  CRITICAL  |  Molex SlimStack Is the Wrong Connector Family</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Action 1: Update CLAUDE.md §7.1 — replace "Molex SlimStack" with "Hirose FH34S or JAE FF03 (0.5 mm pitch, lever ZIF, ≥1,000 cycle rated)"</w:t>
      </w:r>
    </w:p>
    <w:p>
      <w:pPr>
        <w:pStyle w:val="ListBullet"/>
        <w:spacing w:after="40"/>
      </w:pPr>
      <w:r>
        <w:rPr>
          <w:sz w:val="20"/>
        </w:rPr>
        <w:t>Action 2: Pull Hirose FH34S full datasheet from hirose.com; confirm "endurance: 1,000 cycles" in test conditions table</w:t>
      </w:r>
    </w:p>
    <w:p>
      <w:pPr>
        <w:pStyle w:val="ListBullet"/>
        <w:spacing w:after="40"/>
      </w:pPr>
      <w:r>
        <w:rPr>
          <w:sz w:val="20"/>
        </w:rPr>
        <w:t>Action 3: Request samples of FH34S-20S-0.5SH(50) for prototype evaluation</w:t>
      </w:r>
    </w:p>
    <w:p>
      <w:pPr>
        <w:pStyle w:val="ListBullet"/>
        <w:spacing w:after="40"/>
      </w:pPr>
      <w:r>
        <w:rPr>
          <w:sz w:val="20"/>
        </w:rPr>
        <w:t>Action 4: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003366"/>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3366"/>
          <w:sz w:val="22"/>
        </w:rPr>
        <w:t>RISK-05  |  HIGH  |  LED Current Hogging in Parallel Strings</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Action 1: BCR421W (one per string, 20 per zone module) is the design solution — confirm on BOM before layout</w:t>
      </w:r>
    </w:p>
    <w:p>
      <w:pPr>
        <w:pStyle w:val="ListBullet"/>
        <w:spacing w:after="40"/>
      </w:pPr>
      <w:r>
        <w:rPr>
          <w:sz w:val="20"/>
        </w:rPr>
        <w:t>Action 2: Verify BCR421W RSET calculation against datasheet Iadj characteristic curve at target temperature range (−20 to +65°C) — linear drivers have temperature coefficient on regulated current</w:t>
      </w:r>
    </w:p>
    <w:p>
      <w:pPr>
        <w:pStyle w:val="ListBullet"/>
        <w:spacing w:after="40"/>
      </w:pPr>
      <w:r>
        <w:rPr>
          <w:sz w:val="20"/>
        </w:rPr>
        <w:t>Action 3: Consider whether per-string current sense feedback to Hub MCU is worth the additional signal pins — would enable real-time detection of string failure and dose correction</w:t>
      </w:r>
    </w:p>
    <w:p>
      <w:pPr>
        <w:spacing w:before="160"/>
      </w:pPr>
      <w:r>
        <w:rPr>
          <w:b/>
          <w:color w:val="003366"/>
          <w:sz w:val="22"/>
        </w:rPr>
        <w:t>RISK-06  |  HIGH  |  Reference Photodiode Optical Isolation</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Action 1: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Action 3: Evaluate ADPD174GGI as an integrated solution — it includes an internal optical isolation wall and synchronous AFE in a 3.0 × 2.8 mm package, which may be more reliable than a discrete baffle + external TIA approach</w:t>
      </w:r>
    </w:p>
    <w:p>
      <w:pPr>
        <w:spacing w:before="160"/>
      </w:pPr>
      <w:r>
        <w:rPr>
          <w:b/>
          <w:color w:val="003366"/>
          <w:sz w:val="22"/>
        </w:rPr>
        <w:t>RISK-07  |  HIGH  |  BCR421U vs BCR421W — Current Rating Mismatch</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Action: Update BOM — part number BCR421W. Cost delta is negligible (same price tier).</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sz w:val="20"/>
        </w:rPr>
        <w:t>Action 3: Define process for dealing with out-of-spec lots (return to supplier vs. sort and use)</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tcPr>
          <w:p>
            <w:pPr>
              <w:spacing w:after="0"/>
            </w:pPr>
            <w:r>
              <w:rPr>
                <w:sz w:val="17"/>
              </w:rPr>
              <w:t>REQUIRED</w:t>
            </w:r>
          </w:p>
        </w:tc>
        <w:tc>
          <w:tcPr>
            <w:tcW w:type="dxa" w:w="2880"/>
          </w:tcPr>
          <w:p>
            <w:pPr>
              <w:spacing w:after="0"/>
            </w:pPr>
            <w:r>
              <w:rPr>
                <w:sz w:val="17"/>
              </w:rPr>
              <w:t>LED PWM carrier frequency agreed with firmware team</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tcPr>
          <w:p>
            <w:pPr>
              <w:spacing w:after="0"/>
            </w:pPr>
            <w:r>
              <w:rPr>
                <w:sz w:val="17"/>
              </w:rPr>
              <w:t>REQUIRED</w:t>
            </w:r>
          </w:p>
        </w:tc>
        <w:tc>
          <w:tcPr>
            <w:tcW w:type="dxa" w:w="2880"/>
          </w:tcPr>
          <w:p>
            <w:pPr>
              <w:spacing w:after="0"/>
            </w:pPr>
            <w:r>
              <w:rPr>
                <w:sz w:val="17"/>
              </w:rPr>
              <w:t>Shell tooling FPC routing path with ≥25 mm bend radius</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tcPr>
          <w:p>
            <w:pPr>
              <w:spacing w:after="0"/>
            </w:pPr>
            <w:r>
              <w:rPr>
                <w:sz w:val="17"/>
              </w:rPr>
              <w:t>REQUIRED</w:t>
            </w:r>
          </w:p>
        </w:tc>
        <w:tc>
          <w:tcPr>
            <w:tcW w:type="dxa" w:w="2880"/>
          </w:tcPr>
          <w:p>
            <w:pPr>
              <w:spacing w:after="0"/>
            </w:pPr>
            <w:r>
              <w:rPr>
                <w:sz w:val="17"/>
              </w:rPr>
              <w:t>Mechanical key geometry for all 5 zone slots</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tcPr>
          <w:p>
            <w:pPr>
              <w:spacing w:after="0"/>
            </w:pPr>
            <w:r>
              <w:rPr>
                <w:sz w:val="17"/>
              </w:rPr>
              <w:t>REQUIRED</w:t>
            </w:r>
          </w:p>
        </w:tc>
        <w:tc>
          <w:tcPr>
            <w:tcW w:type="dxa" w:w="2880"/>
          </w:tcPr>
          <w:p>
            <w:pPr>
              <w:spacing w:after="0"/>
            </w:pPr>
            <w:r>
              <w:rPr>
                <w:sz w:val="17"/>
              </w:rPr>
              <w:t>Zone module field-replacement seal design</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