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24 risks identified  |  3 CRITICAL  |  9 HIGH  |  9 MEDIUM  |  2 LOW</w:t>
        <w:br/>
        <w:t>All CRITICAL and HIGH items must be resolved before FPC layout release.</w:t>
        <w:br/>
        <w:t>RISK-18 to RISK-24: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mould.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Co-moulded silicone gasket may delaminate from zone module body</w:t>
            </w:r>
          </w:p>
        </w:tc>
        <w:tc>
          <w:tcPr>
            <w:tcW w:type="dxa" w:w="1072"/>
            <w:shd w:val="clear" w:color="auto" w:fill="FFFFFF"/>
          </w:tcPr>
          <w:p>
            <w:r>
              <w:rPr>
                <w:b w:val="0"/>
                <w:sz w:val="18"/>
              </w:rPr>
              <w:t>The RISK-16 Option A gasket is co-moulded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co-mould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Moulded CFRP typically achieves Ra 1.6–3.2 µm depending on mould tool finish and release agent. Ra ≤ 1.6 µm on CFRP requires either: a precision-polished mould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moulded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co-moulded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moulded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mould requires 4 simultaneous co-moulded features — omission risk before first-cut</w:t>
            </w:r>
          </w:p>
        </w:tc>
        <w:tc>
          <w:tcPr>
            <w:tcW w:type="dxa" w:w="1072"/>
            <w:shd w:val="clear" w:color="auto" w:fill="FFFFFF"/>
          </w:tcPr>
          <w:p>
            <w:r>
              <w:rPr>
                <w:b w:val="0"/>
                <w:sz w:val="18"/>
              </w:rPr>
              <w:t>The zone module injection mould must now incorporate four distinct co-moulded or moulded-in features, each specified in a different document and driven by a different risk mitigation: (1) Braille abbreviation + raised numeral on module face (RISK-15 Layer 3, ISO 17049:2013); (2) Co-moulded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mould retool is required. Retool cost: $20,000–60,000 per mould, 8–16 week lead time, programme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moulded features (F-01 through F-08). 12-item mould design review checklist in §5. All features traceable to risk register. G1-05 gate in NP-COORD-001 requires sign-off before steel cut.</w:t>
            </w:r>
          </w:p>
        </w:tc>
        <w:tc>
          <w:tcPr>
            <w:tcW w:type="dxa" w:w="1072"/>
            <w:shd w:val="clear" w:color="auto" w:fill="FFFFFF"/>
          </w:tcPr>
          <w:p>
            <w:r>
              <w:rPr>
                <w:b w:val="0"/>
                <w:sz w:val="18"/>
              </w:rPr>
              <w:t>Mechanical Eng / Programme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