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NeurOne</w:t>
      </w:r>
    </w:p>
    <w:p>
      <w:pPr>
        <w:jc w:val="center"/>
      </w:pPr>
      <w:r>
        <w:rPr>
          <w:b/>
          <w:sz w:val="34"/>
        </w:rPr>
        <w:t>Master Design Brief — Revision 6</w:t>
      </w:r>
    </w:p>
    <w:p>
      <w:pPr>
        <w:jc w:val="center"/>
      </w:pPr>
      <w:r>
        <w:rPr>
          <w:sz w:val="24"/>
        </w:rPr>
        <w:t>Closed-Loop Multi-Modal Neuromodulation Platform</w:t>
      </w:r>
    </w:p>
    <w:p>
      <w:pPr>
        <w:jc w:val="center"/>
      </w:pPr>
      <w:r>
        <w:rPr>
          <w:i/>
          <w:sz w:val="19"/>
        </w:rPr>
        <w:t>NP-DB-005 Rev 6  ·  2026-08-11  ·  Pre-tooling design phase</w:t>
      </w:r>
    </w:p>
    <w:p>
      <w:pPr>
        <w:jc w:val="center"/>
      </w:pPr>
      <w:r>
        <w:rPr>
          <w:b/>
          <w:color w:val="B02020"/>
          <w:sz w:val="22"/>
        </w:rPr>
        <w:t>STATUS: DRAFT — PENDING APPROVAL</w:t>
      </w:r>
    </w:p>
    <w:tbl>
      <w:tblPr>
        <w:tblStyle w:val="TableGrid"/>
        <w:tblW w:type="auto" w:w="0"/>
        <w:jc w:val="center"/>
        <w:tblLook w:firstColumn="1" w:firstRow="1" w:lastColumn="0" w:lastRow="0" w:noHBand="0" w:noVBand="1" w:val="04A0"/>
      </w:tblPr>
      <w:tblGrid>
        <w:gridCol w:w="9972"/>
      </w:tblGrid>
      <w:tr>
        <w:tc>
          <w:tcPr>
            <w:tcW w:type="dxa" w:w="9972"/>
            <w:shd w:val="clear" w:color="auto" w:fill="FBE4E4"/>
          </w:tcPr>
          <w:p>
            <w:pPr>
              <w:spacing w:after="40"/>
            </w:pPr>
            <w:r>
              <w:rPr>
                <w:b/>
                <w:sz w:val="19"/>
              </w:rPr>
              <w:t xml:space="preserve">APPROVAL STATUS. </w:t>
            </w:r>
            <w:r>
              <w:rPr>
                <w:sz w:val="19"/>
              </w:rPr>
              <w:t>This revision has been authored but NOT reviewed or approved. 21 CFR 820.40(a) requires review and approval by a designated individual PRIOR to issue, and that has not happened. Until the approval block below is signed, Revision 5 of this document remains the last APPROVED revision of record and supersession does not take effect — but Revision 5 is already known to contain retired design (see §0.1), so neither document should be used as a design input for the retired areas without reading §0.1 first. Approving this revision is the action that closes that gap.</w:t>
            </w:r>
          </w:p>
        </w:tc>
      </w:tr>
    </w:tbl>
    <w:p>
      <w:pPr>
        <w:spacing w:after="40"/>
      </w:pP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D9E2F3"/>
          </w:tcPr>
          <w:p>
            <w:pPr>
              <w:spacing w:after="20"/>
            </w:pPr>
            <w:r>
              <w:rPr>
                <w:b/>
                <w:sz w:val="17"/>
              </w:rPr>
              <w:t>Role</w:t>
            </w:r>
          </w:p>
        </w:tc>
        <w:tc>
          <w:tcPr>
            <w:tcW w:type="dxa" w:w="3628"/>
            <w:shd w:val="clear" w:color="auto" w:fill="D9E2F3"/>
          </w:tcPr>
          <w:p>
            <w:pPr>
              <w:spacing w:after="20"/>
            </w:pPr>
            <w:r>
              <w:rPr>
                <w:b/>
                <w:sz w:val="17"/>
              </w:rPr>
              <w:t>Name</w:t>
            </w:r>
          </w:p>
        </w:tc>
        <w:tc>
          <w:tcPr>
            <w:tcW w:type="dxa" w:w="2494"/>
            <w:shd w:val="clear" w:color="auto" w:fill="D9E2F3"/>
          </w:tcPr>
          <w:p>
            <w:pPr>
              <w:spacing w:after="20"/>
            </w:pPr>
            <w:r>
              <w:rPr>
                <w:b/>
                <w:sz w:val="17"/>
              </w:rPr>
              <w:t>Signature</w:t>
            </w:r>
          </w:p>
        </w:tc>
        <w:tc>
          <w:tcPr>
            <w:tcW w:type="dxa" w:w="1474"/>
            <w:shd w:val="clear" w:color="auto" w:fill="D9E2F3"/>
          </w:tcPr>
          <w:p>
            <w:pPr>
              <w:spacing w:after="20"/>
            </w:pPr>
            <w:r>
              <w:rPr>
                <w:b/>
                <w:sz w:val="17"/>
              </w:rPr>
              <w:t>Date</w:t>
            </w:r>
          </w:p>
        </w:tc>
      </w:tr>
      <w:tr>
        <w:tc>
          <w:tcPr>
            <w:tcW w:type="dxa" w:w="1928"/>
          </w:tcPr>
          <w:p>
            <w:pPr>
              <w:spacing w:after="20"/>
            </w:pPr>
            <w:r>
              <w:rPr>
                <w:b/>
                <w:sz w:val="17"/>
              </w:rPr>
              <w:t>Author</w:t>
            </w:r>
          </w:p>
        </w:tc>
        <w:tc>
          <w:tcPr>
            <w:tcW w:type="dxa" w:w="3628"/>
          </w:tcPr>
          <w:p>
            <w:pPr>
              <w:spacing w:after="20"/>
            </w:pPr>
            <w:r>
              <w:rPr>
                <w:b w:val="0"/>
                <w:sz w:val="17"/>
              </w:rPr>
              <w:t>NeurOne Design Program</w:t>
            </w:r>
          </w:p>
        </w:tc>
        <w:tc>
          <w:tcPr>
            <w:tcW w:type="dxa" w:w="2494"/>
          </w:tcPr>
          <w:p>
            <w:pPr>
              <w:spacing w:after="20"/>
            </w:pPr>
            <w:r>
              <w:rPr>
                <w:b w:val="0"/>
                <w:sz w:val="17"/>
              </w:rPr>
              <w:t>(authored 2026-08-11)</w:t>
            </w:r>
          </w:p>
        </w:tc>
        <w:tc>
          <w:tcPr>
            <w:tcW w:type="dxa" w:w="1474"/>
          </w:tcPr>
          <w:p>
            <w:pPr>
              <w:spacing w:after="20"/>
            </w:pPr>
            <w:r>
              <w:rPr>
                <w:b w:val="0"/>
                <w:sz w:val="17"/>
              </w:rPr>
              <w:t>2026-08-11</w:t>
            </w:r>
          </w:p>
        </w:tc>
      </w:tr>
      <w:tr>
        <w:tc>
          <w:tcPr>
            <w:tcW w:type="dxa" w:w="1928"/>
          </w:tcPr>
          <w:p>
            <w:pPr>
              <w:spacing w:after="20"/>
            </w:pPr>
            <w:r>
              <w:rPr>
                <w:b/>
                <w:sz w:val="17"/>
              </w:rPr>
              <w:t>Reviewed by</w:t>
            </w:r>
          </w:p>
        </w:tc>
        <w:tc>
          <w:tcPr>
            <w:tcW w:type="dxa" w:w="3628"/>
          </w:tcPr>
          <w:p>
            <w:pPr>
              <w:spacing w:after="20"/>
            </w:pPr>
            <w:r>
              <w:rPr>
                <w:b w:val="0"/>
                <w:sz w:val="17"/>
              </w:rPr>
            </w:r>
          </w:p>
        </w:tc>
        <w:tc>
          <w:tcPr>
            <w:tcW w:type="dxa" w:w="2494"/>
          </w:tcPr>
          <w:p>
            <w:pPr>
              <w:spacing w:after="20"/>
            </w:pPr>
            <w:r>
              <w:rPr>
                <w:b w:val="0"/>
                <w:sz w:val="17"/>
              </w:rPr>
            </w:r>
          </w:p>
        </w:tc>
        <w:tc>
          <w:tcPr>
            <w:tcW w:type="dxa" w:w="1474"/>
          </w:tcPr>
          <w:p>
            <w:pPr>
              <w:spacing w:after="20"/>
            </w:pPr>
            <w:r>
              <w:rPr>
                <w:b w:val="0"/>
                <w:sz w:val="17"/>
              </w:rPr>
            </w:r>
          </w:p>
        </w:tc>
      </w:tr>
      <w:tr>
        <w:tc>
          <w:tcPr>
            <w:tcW w:type="dxa" w:w="1928"/>
          </w:tcPr>
          <w:p>
            <w:pPr>
              <w:spacing w:after="20"/>
            </w:pPr>
            <w:r>
              <w:rPr>
                <w:b/>
                <w:sz w:val="17"/>
              </w:rPr>
              <w:t>Approved by</w:t>
            </w:r>
          </w:p>
        </w:tc>
        <w:tc>
          <w:tcPr>
            <w:tcW w:type="dxa" w:w="3628"/>
          </w:tcPr>
          <w:p>
            <w:pPr>
              <w:spacing w:after="20"/>
            </w:pPr>
            <w:r>
              <w:rPr>
                <w:b w:val="0"/>
                <w:sz w:val="17"/>
              </w:rPr>
              <w:t>Steve Hickman (CEO, interim Quality authority)</w:t>
            </w:r>
          </w:p>
        </w:tc>
        <w:tc>
          <w:tcPr>
            <w:tcW w:type="dxa" w:w="2494"/>
          </w:tcPr>
          <w:p>
            <w:pPr>
              <w:spacing w:after="20"/>
            </w:pPr>
            <w:r>
              <w:rPr>
                <w:b w:val="0"/>
                <w:sz w:val="17"/>
              </w:rPr>
            </w:r>
          </w:p>
        </w:tc>
        <w:tc>
          <w:tcPr>
            <w:tcW w:type="dxa" w:w="1474"/>
          </w:tcPr>
          <w:p>
            <w:pPr>
              <w:spacing w:after="20"/>
            </w:pPr>
            <w:r>
              <w:rPr>
                <w:b w:val="0"/>
                <w:sz w:val="17"/>
              </w:rPr>
            </w:r>
          </w:p>
        </w:tc>
      </w:tr>
    </w:tbl>
    <w:p>
      <w:pPr>
        <w:spacing w:after="40"/>
      </w:pPr>
    </w:p>
    <w:tbl>
      <w:tblPr>
        <w:tblStyle w:val="TableGrid"/>
        <w:tblW w:type="auto" w:w="0"/>
        <w:jc w:val="center"/>
        <w:tblLook w:firstColumn="1" w:firstRow="1" w:lastColumn="0" w:lastRow="0" w:noHBand="0" w:noVBand="1" w:val="04A0"/>
      </w:tblPr>
      <w:tblGrid>
        <w:gridCol w:w="9972"/>
      </w:tblGrid>
      <w:tr>
        <w:tc>
          <w:tcPr>
            <w:tcW w:type="dxa" w:w="9972"/>
            <w:shd w:val="clear" w:color="auto" w:fill="FBE4E4"/>
          </w:tcPr>
          <w:p>
            <w:pPr>
              <w:spacing w:after="40"/>
            </w:pPr>
            <w:r>
              <w:rPr>
                <w:b/>
                <w:sz w:val="19"/>
              </w:rPr>
              <w:t xml:space="preserve">SUPERSESSION NOTICE. </w:t>
            </w:r>
            <w:r>
              <w:rPr>
                <w:sz w:val="19"/>
              </w:rPr>
              <w:t>On approval, this revision supersedes Revision 5 of NP-DB-005 (2026-05-16), which must not thereafter be used as a design input. Per NP-CONV-001 Rev 6 §4.0.4 and §4.3, Revision 6 is written in place at docs/np_db_005.docx and Revision 5 is retained by version control — a superseded REVISION of a live serial is not a second file, unlike a superseded DOCUMENT, which moves to docs/superseded/. Revision 5's headline zone-module engineering — the fixed five-slot, 600-LED module architecture and everything addressed to it — was retired on 2026-07-28 and replaced, not revised. Section 0 below is the retirement ledger; read it before any other section.</w:t>
            </w:r>
          </w:p>
        </w:tc>
      </w:tr>
    </w:tbl>
    <w:p>
      <w:pPr>
        <w:spacing w:after="40"/>
      </w:pPr>
    </w:p>
    <w:p>
      <w:pPr>
        <w:spacing w:after="100"/>
      </w:pPr>
      <w:r>
        <w:rPr>
          <w:b w:val="0"/>
          <w:i/>
          <w:sz w:val="18"/>
        </w:rPr>
        <w:t>Sources of record for this revision: CLAUDE.md Rev 33; docs/status/completed-decisions.md; docs/status/pending-decisions.md; docs/status/document-register.md; NP-DHF-001 Rev 28 (2026-08-04). Where a figure is gated by an open decision, the gate is named inline. Where two controlled documents disagree, the disagreement is reported rather than resolved.</w:t>
      </w:r>
    </w:p>
    <w:p>
      <w:pPr>
        <w:pStyle w:val="Heading1"/>
        <w:spacing w:before="240" w:after="80"/>
      </w:pPr>
      <w:r>
        <w:t>0. What Changed Since Revision 5</w:t>
      </w:r>
    </w:p>
    <w:p>
      <w:pPr>
        <w:pStyle w:val="Heading2"/>
        <w:spacing w:before="160" w:after="80"/>
      </w:pPr>
      <w:r>
        <w:t>0.1 Retired since Revision 5 — dead design, do not build to it</w:t>
      </w:r>
    </w:p>
    <w:p>
      <w:pPr>
        <w:spacing w:after="100"/>
      </w:pPr>
      <w:r>
        <w:rPr>
          <w:b w:val="0"/>
          <w:i w:val="0"/>
          <w:sz w:val="19"/>
        </w:rPr>
        <w:t>Each row below was stated as locked design in Revision 5. Each is now retired. The replacement column names what is authoritative today.</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val="clear" w:color="auto" w:fill="FBE4E4"/>
          </w:tcPr>
          <w:p>
            <w:pPr>
              <w:spacing w:after="20"/>
            </w:pPr>
            <w:r>
              <w:rPr>
                <w:b/>
                <w:sz w:val="17"/>
              </w:rPr>
              <w:t>Retired in Rev 5</w:t>
            </w:r>
          </w:p>
        </w:tc>
        <w:tc>
          <w:tcPr>
            <w:tcW w:type="dxa" w:w="3175"/>
            <w:shd w:val="clear" w:color="auto" w:fill="FBE4E4"/>
          </w:tcPr>
          <w:p>
            <w:pPr>
              <w:spacing w:after="20"/>
            </w:pPr>
            <w:r>
              <w:rPr>
                <w:b/>
                <w:sz w:val="17"/>
              </w:rPr>
              <w:t>Why retired</w:t>
            </w:r>
          </w:p>
        </w:tc>
        <w:tc>
          <w:tcPr>
            <w:tcW w:type="dxa" w:w="3742"/>
            <w:shd w:val="clear" w:color="auto" w:fill="FBE4E4"/>
          </w:tcPr>
          <w:p>
            <w:pPr>
              <w:spacing w:after="20"/>
            </w:pPr>
            <w:r>
              <w:rPr>
                <w:b/>
                <w:sz w:val="17"/>
              </w:rPr>
              <w:t>What replaced it</w:t>
            </w:r>
          </w:p>
        </w:tc>
      </w:tr>
      <w:tr>
        <w:tc>
          <w:tcPr>
            <w:tcW w:type="dxa" w:w="2608"/>
          </w:tcPr>
          <w:p>
            <w:pPr>
              <w:spacing w:after="20"/>
            </w:pPr>
            <w:r>
              <w:rPr>
                <w:b/>
                <w:sz w:val="17"/>
              </w:rPr>
              <w:t>Fixed 5-slot zone-module architecture; 600 LEDs (300×660nm + 300×808–830nm); 66×78 mm module footprint; "all-5-zone kit" pricing</w:t>
            </w:r>
          </w:p>
        </w:tc>
        <w:tc>
          <w:tcPr>
            <w:tcW w:type="dxa" w:w="3175"/>
          </w:tcPr>
          <w:p>
            <w:pPr>
              <w:spacing w:after="20"/>
            </w:pPr>
            <w:r>
              <w:rPr>
                <w:b w:val="0"/>
                <w:sz w:val="17"/>
              </w:rPr>
              <w:t>Position-unique modules meant a distinct SKU per helmet location, and the five-slot count was never derived from the tiling surface.</w:t>
            </w:r>
          </w:p>
        </w:tc>
        <w:tc>
          <w:tcPr>
            <w:tcW w:type="dxa" w:w="3742"/>
          </w:tcPr>
          <w:p>
            <w:pPr>
              <w:spacing w:after="20"/>
            </w:pPr>
            <w:r>
              <w:rPr>
                <w:b w:val="0"/>
                <w:sz w:val="17"/>
              </w:rPr>
              <w:t>One universal 40 mm hexagonal module SKU tiling an ~80-socket lattice (NP-HEX-ZM-001 Rev 2). Zones are protocol-defined socket sets authored in protocols/predefined/00-zones.npps, not hardware slots. Total LED count now scales with how many T1-A tiles a build populates.</w:t>
            </w:r>
          </w:p>
        </w:tc>
      </w:tr>
      <w:tr>
        <w:tc>
          <w:tcPr>
            <w:tcW w:type="dxa" w:w="2608"/>
          </w:tcPr>
          <w:p>
            <w:pPr>
              <w:spacing w:after="20"/>
            </w:pPr>
            <w:r>
              <w:rPr>
                <w:b/>
                <w:sz w:val="17"/>
              </w:rPr>
              <w:t>ZONE_ID 3.3 kΩ / resistor-ladder module detection (pin 18; ZM-01=10 kΩ … ZM-05=220 kΩ) and its 3×100 ms debounce</w:t>
            </w:r>
          </w:p>
        </w:tc>
        <w:tc>
          <w:tcPr>
            <w:tcW w:type="dxa" w:w="3175"/>
          </w:tcPr>
          <w:p>
            <w:pPr>
              <w:spacing w:after="20"/>
            </w:pPr>
            <w:r>
              <w:rPr>
                <w:b w:val="0"/>
                <w:sz w:val="17"/>
              </w:rPr>
              <w:t>A resistor ladder can only identify a fixed, small, position-keyed set. All sockets are now mechanically identical.</w:t>
            </w:r>
          </w:p>
        </w:tc>
        <w:tc>
          <w:tcPr>
            <w:tcW w:type="dxa" w:w="3742"/>
          </w:tcPr>
          <w:p>
            <w:pPr>
              <w:spacing w:after="20"/>
            </w:pPr>
            <w:r>
              <w:rPr>
                <w:b w:val="0"/>
                <w:sz w:val="17"/>
              </w:rPr>
              <w:t>UID-based auto-inventory: np_module_map (firmware/hub_control/np_module_map.{h,c}) polls for UID change and auto-inventories whatever is seated, plus np_module_map_check_placement() as the wrong-placement backstop.</w:t>
            </w:r>
          </w:p>
        </w:tc>
      </w:tr>
      <w:tr>
        <w:tc>
          <w:tcPr>
            <w:tcW w:type="dxa" w:w="2608"/>
          </w:tcPr>
          <w:p>
            <w:pPr>
              <w:spacing w:after="20"/>
            </w:pPr>
            <w:r>
              <w:rPr>
                <w:b/>
                <w:sz w:val="17"/>
              </w:rPr>
              <w:t>Per-slot LPI2C3 bus enable (five separate 400 kHz buses, one per slot)</w:t>
            </w:r>
          </w:p>
        </w:tc>
        <w:tc>
          <w:tcPr>
            <w:tcW w:type="dxa" w:w="3175"/>
          </w:tcPr>
          <w:p>
            <w:pPr>
              <w:spacing w:after="20"/>
            </w:pPr>
            <w:r>
              <w:rPr>
                <w:b w:val="0"/>
                <w:sz w:val="17"/>
              </w:rPr>
              <w:t>SMART-1 (2026-07-28) requires EVERY socket to be I2C/TIA-capable, not a subset. Five dedicated peripherals do not scale to ~80 sockets.</w:t>
            </w:r>
          </w:p>
        </w:tc>
        <w:tc>
          <w:tcPr>
            <w:tcW w:type="dxa" w:w="3742"/>
          </w:tcPr>
          <w:p>
            <w:pPr>
              <w:spacing w:after="20"/>
            </w:pPr>
            <w:r>
              <w:rPr>
                <w:b w:val="0"/>
                <w:sz w:val="17"/>
              </w:rPr>
              <w:t>One differential cluster bus (PCA9615-class) from the hub, with transactions tunnelled through each cluster controller's PCA9548A. No per-socket I2C peripheral exists.</w:t>
            </w:r>
          </w:p>
        </w:tc>
      </w:tr>
      <w:tr>
        <w:tc>
          <w:tcPr>
            <w:tcW w:type="dxa" w:w="2608"/>
          </w:tcPr>
          <w:p>
            <w:pPr>
              <w:spacing w:after="20"/>
            </w:pPr>
            <w:r>
              <w:rPr>
                <w:b/>
                <w:sz w:val="17"/>
              </w:rPr>
              <w:t>Hub PCB Rev B: five Vishay DG2788A per-slot TIA gain switches + NXP PCA9546A I2C mux + GAIN_SEL[0..4] GPIO on GPIO_B0_04..08</w:t>
            </w:r>
          </w:p>
        </w:tc>
        <w:tc>
          <w:tcPr>
            <w:tcW w:type="dxa" w:w="3175"/>
          </w:tcPr>
          <w:p>
            <w:pPr>
              <w:spacing w:after="20"/>
            </w:pPr>
            <w:r>
              <w:rPr>
                <w:b w:val="0"/>
                <w:sz w:val="17"/>
              </w:rPr>
              <w:t>Sized for five slots. Scaling the Rev B star to 80 sockets needs ~880 conductors through one blind-mate boss, 160 TIA channels and 160 ADC channels against ~32 available on the RT1062.</w:t>
            </w:r>
          </w:p>
        </w:tc>
        <w:tc>
          <w:tcPr>
            <w:tcW w:type="dxa" w:w="3742"/>
          </w:tcPr>
          <w:p>
            <w:pPr>
              <w:spacing w:after="20"/>
            </w:pPr>
            <w:r>
              <w:rPr>
                <w:b w:val="0"/>
                <w:sz w:val="17"/>
              </w:rPr>
              <w:t>Hub PCB Rev C (NP-HW-HUB-001 Rev 3, DRAFT): distributed cluster-controller tier. Rev 2 (Hub PCB Rev B) is archived verbatim as Appendix A; its DG2788A topology and TIA-saturation analysis carry forward onto the cluster carriers — only the count and the control source change. Zero GAIN_SEL GPIO remain.</w:t>
            </w:r>
          </w:p>
        </w:tc>
      </w:tr>
      <w:tr>
        <w:tc>
          <w:tcPr>
            <w:tcW w:type="dxa" w:w="2608"/>
          </w:tcPr>
          <w:p>
            <w:pPr>
              <w:spacing w:after="20"/>
            </w:pPr>
            <w:r>
              <w:rPr>
                <w:b/>
                <w:sz w:val="17"/>
              </w:rPr>
              <w:t>RISK-15 five-layer zone keying, layers 2–5 (ZONE_ID resistor, per-socket braille and raised numeral, shell tactile dot counts, bone-conduction announcement at insertion)</w:t>
            </w:r>
          </w:p>
        </w:tc>
        <w:tc>
          <w:tcPr>
            <w:tcW w:type="dxa" w:w="3175"/>
          </w:tcPr>
          <w:p>
            <w:pPr>
              <w:spacing w:after="20"/>
            </w:pPr>
            <w:r>
              <w:rPr>
                <w:b w:val="0"/>
                <w:sz w:val="17"/>
              </w:rPr>
              <w:t>The lattice tessellates: the shell surface between two sockets is a structural web a few millimetres wide, and an ISO 17049 braille cell needs ~6 × 10 mm — the artefact does not physically fit. An 80-member tactile-symbol set is not discriminable by touch. And bone conduction requires head contact, which is unavailable at the moment of insertion (the helmet must be off-head to reach a socket).</w:t>
            </w:r>
          </w:p>
        </w:tc>
        <w:tc>
          <w:tcPr>
            <w:tcW w:type="dxa" w:w="3742"/>
          </w:tcPr>
          <w:p>
            <w:pPr>
              <w:spacing w:after="20"/>
            </w:pPr>
            <w:r>
              <w:rPr>
                <w:b w:val="0"/>
                <w:sz w:val="17"/>
              </w:rPr>
              <w:t>NP-HFE-002 Rev 1 (2026-07-31): tactile marking follows TYPE onto the module (a closed 3–4 member set, 1–4 raised bars); POSITION moves to companion-app guided placement as the primary channel, over a tactile landmark grid on the shell. Bone conduction is retained for while-worn readback only.</w:t>
            </w:r>
          </w:p>
        </w:tc>
      </w:tr>
      <w:tr>
        <w:tc>
          <w:tcPr>
            <w:tcW w:type="dxa" w:w="2608"/>
          </w:tcPr>
          <w:p>
            <w:pPr>
              <w:spacing w:after="20"/>
            </w:pPr>
            <w:r>
              <w:rPr>
                <w:b/>
                <w:sz w:val="17"/>
              </w:rPr>
              <w:t>Multi-FPC bundle management (RISK-17): ≥2 mm inter-FPC separation, 3 anchor bosses per FPC, all five hub ZIF connectors on one PCB edge; ≥15 mm FPC-to-EEG separation (achieved 18–22 mm)</w:t>
            </w:r>
          </w:p>
        </w:tc>
        <w:tc>
          <w:tcPr>
            <w:tcW w:type="dxa" w:w="3175"/>
          </w:tcPr>
          <w:p>
            <w:pPr>
              <w:spacing w:after="20"/>
            </w:pPr>
            <w:r>
              <w:rPr>
                <w:b w:val="0"/>
                <w:sz w:val="17"/>
              </w:rPr>
              <w:t>Sized for five large discrete FPC tails. Hex tiles have no tail at all. Separately, ≥15 mm EEG separation is unachievable in the hex architecture because electrodes now live inside T1-B tiles on the same L1 carrier as LED drive current.</w:t>
            </w:r>
          </w:p>
        </w:tc>
        <w:tc>
          <w:tcPr>
            <w:tcW w:type="dxa" w:w="3742"/>
          </w:tcPr>
          <w:p>
            <w:pPr>
              <w:spacing w:after="20"/>
            </w:pPr>
            <w:r>
              <w:rPr>
                <w:b w:val="0"/>
                <w:sz w:val="17"/>
              </w:rPr>
              <w:t>NP-DRV-SHELL-002 Rev 2 (2026-07-29) cluster-carrier interconnect. Modules present an 18-contact back-face pad array — the module interconnect has zero dynamic-flex paths. The &lt;5 µVpp injected-artifact requirement that separation served is retained verbatim (DRC-18c → SH2-DRC-16) and met by four other mechanisms.</w:t>
            </w:r>
          </w:p>
        </w:tc>
      </w:tr>
      <w:tr>
        <w:tc>
          <w:tcPr>
            <w:tcW w:type="dxa" w:w="2608"/>
          </w:tcPr>
          <w:p>
            <w:pPr>
              <w:spacing w:after="20"/>
            </w:pPr>
            <w:r>
              <w:rPr>
                <w:b/>
                <w:sz w:val="17"/>
              </w:rPr>
              <w:t>Safety MCU described as "~500 lines bare-metal"</w:t>
            </w:r>
          </w:p>
        </w:tc>
        <w:tc>
          <w:tcPr>
            <w:tcW w:type="dxa" w:w="3175"/>
          </w:tcPr>
          <w:p>
            <w:pPr>
              <w:spacing w:after="20"/>
            </w:pPr>
            <w:r>
              <w:rPr>
                <w:b w:val="0"/>
                <w:sz w:val="17"/>
              </w:rPr>
              <w:t>Understated by roughly 3×; corrected 2026-08-06.</w:t>
            </w:r>
          </w:p>
        </w:tc>
        <w:tc>
          <w:tcPr>
            <w:tcW w:type="dxa" w:w="3742"/>
          </w:tcPr>
          <w:p>
            <w:pPr>
              <w:spacing w:after="20"/>
            </w:pPr>
            <w:r>
              <w:rPr>
                <w:b w:val="0"/>
                <w:sz w:val="17"/>
              </w:rPr>
              <w:t>~1,600 physical lines across 9 modules as of 2026-08. `wc -l firmware/safety_mcu/src/*.c` is the source of truth, not any document.</w:t>
            </w:r>
          </w:p>
        </w:tc>
      </w:tr>
      <w:tr>
        <w:tc>
          <w:tcPr>
            <w:tcW w:type="dxa" w:w="2608"/>
          </w:tcPr>
          <w:p>
            <w:pPr>
              <w:spacing w:after="20"/>
            </w:pPr>
            <w:r>
              <w:rPr>
                <w:b/>
                <w:sz w:val="17"/>
              </w:rPr>
              <w:t>Per-zone safety enable bits NP_SAFETY_EN_PBM_ZONE_0..4</w:t>
            </w:r>
          </w:p>
        </w:tc>
        <w:tc>
          <w:tcPr>
            <w:tcW w:type="dxa" w:w="3175"/>
          </w:tcPr>
          <w:p>
            <w:pPr>
              <w:spacing w:after="20"/>
            </w:pPr>
            <w:r>
              <w:rPr>
                <w:b w:val="0"/>
                <w:sz w:val="17"/>
              </w:rPr>
              <w:t>Five was the retired slot count, and "zone" is a noun firmware must not model at all — a zone is a human-authored socket set whose membership can change with no hardware change. Because these symbols gate PBM and tES, a stale grouping is a wrong-site stimulation path.</w:t>
            </w:r>
          </w:p>
        </w:tc>
        <w:tc>
          <w:tcPr>
            <w:tcW w:type="dxa" w:w="3742"/>
          </w:tcPr>
          <w:p>
            <w:pPr>
              <w:spacing w:after="20"/>
            </w:pPr>
            <w:r>
              <w:rPr>
                <w:b w:val="0"/>
                <w:sz w:val="17"/>
              </w:rPr>
              <w:t>Single NP_SAFETY_EN_PBM_CRANIAL bit (bit 0); bits 1–4 reserved and excluded from NP_SAFETY_EN_ALL_MASK (0x3FFF → 0x3FE1), so a hub still setting a retired zone bit has it stripped rather than enabling something else. PA4 double-assignment cleared.</w:t>
            </w:r>
          </w:p>
        </w:tc>
      </w:tr>
      <w:tr>
        <w:tc>
          <w:tcPr>
            <w:tcW w:type="dxa" w:w="2608"/>
          </w:tcPr>
          <w:p>
            <w:pPr>
              <w:spacing w:after="20"/>
            </w:pPr>
            <w:r>
              <w:rPr>
                <w:b/>
                <w:sz w:val="17"/>
              </w:rPr>
              <w:t>T2 clinical tACS as "16-channel arbitrary waveform"</w:t>
            </w:r>
          </w:p>
        </w:tc>
        <w:tc>
          <w:tcPr>
            <w:tcW w:type="dxa" w:w="3175"/>
          </w:tcPr>
          <w:p>
            <w:pPr>
              <w:spacing w:after="20"/>
            </w:pPr>
            <w:r>
              <w:rPr>
                <w:b w:val="0"/>
                <w:sz w:val="17"/>
              </w:rPr>
              <w:t>The 16-channel figure had no sourcing document, no BOM line and no named silicon; the placeholder mapping wrapped electrodes 16–20 back onto channels 11–15, aliasing geometric neighbours and making the M1_R ring undeliverable.</w:t>
            </w:r>
          </w:p>
        </w:tc>
        <w:tc>
          <w:tcPr>
            <w:tcW w:type="dxa" w:w="3742"/>
          </w:tcPr>
          <w:p>
            <w:pPr>
              <w:spacing w:after="20"/>
            </w:pPr>
            <w:r>
              <w:rPr>
                <w:b w:val="0"/>
                <w:sz w:val="17"/>
              </w:rPr>
              <w:t>21 channels, one per cap electrode. The T2 cap always carried 21 conductors; only the driver was 16-channel. Constraint of record if cost ever reintroduces sharing: never alias two electrodes within one ring radius (~60 mm).</w:t>
            </w:r>
          </w:p>
        </w:tc>
      </w:tr>
      <w:tr>
        <w:tc>
          <w:tcPr>
            <w:tcW w:type="dxa" w:w="2608"/>
          </w:tcPr>
          <w:p>
            <w:pPr>
              <w:spacing w:after="20"/>
            </w:pPr>
            <w:r>
              <w:rPr>
                <w:b/>
                <w:sz w:val="17"/>
              </w:rPr>
              <w:t>Single risk register of 25 risks in NP-RISK-001 (23 MITIGATED, 2 OPEN)</w:t>
            </w:r>
          </w:p>
        </w:tc>
        <w:tc>
          <w:tcPr>
            <w:tcW w:type="dxa" w:w="3175"/>
          </w:tcPr>
          <w:p>
            <w:pPr>
              <w:spacing w:after="20"/>
            </w:pPr>
            <w:r>
              <w:rPr>
                <w:b w:val="0"/>
                <w:sz w:val="17"/>
              </w:rPr>
              <w:t>NP-RISK-001 held one register for one artifact — the Zone Module FPC — and was then asked to hold the whole system. The artifact it was scoped to no longer exists.</w:t>
            </w:r>
          </w:p>
        </w:tc>
        <w:tc>
          <w:tcPr>
            <w:tcW w:type="dxa" w:w="3742"/>
          </w:tcPr>
          <w:p>
            <w:pPr>
              <w:spacing w:after="20"/>
            </w:pPr>
            <w:r>
              <w:rPr>
                <w:b w:val="0"/>
                <w:sz w:val="17"/>
              </w:rPr>
              <w:t>NP-RISK-001 is RETIRED to docs/superseded/ and re-baselined into three successors split by artifact, matching NP-ART-001 §2: NP-RISK-002 (risk file index, NP-RISK-001 disposition, and risks with no artifact home yet), NP-RISK-003 (hex-tile module — shell, window, gasket, FPC, emitters, metering), NP-RISK-004 (shell, socket, interconnect and hub). The RISK-NN sequence is append-only and CLOSED AT 26: no new hazard takes an RISK-NN number and no retired number is ever reused, because a reused number would silently re-point all thirty-eight inbound references. New hazards take artifact-prefixed IDs — RISK-HEX-nn, RISK-SHELL-nn, RISK-HUB-nn.</w:t>
            </w:r>
          </w:p>
        </w:tc>
      </w:tr>
      <w:tr>
        <w:tc>
          <w:tcPr>
            <w:tcW w:type="dxa" w:w="2608"/>
          </w:tcPr>
          <w:p>
            <w:pPr>
              <w:spacing w:after="20"/>
            </w:pPr>
            <w:r>
              <w:rPr>
                <w:b/>
                <w:sz w:val="17"/>
              </w:rPr>
              <w:t>PDMS–PI bond peel strength "≥150 N/m"</w:t>
            </w:r>
          </w:p>
        </w:tc>
        <w:tc>
          <w:tcPr>
            <w:tcW w:type="dxa" w:w="3175"/>
          </w:tcPr>
          <w:p>
            <w:pPr>
              <w:spacing w:after="20"/>
            </w:pPr>
            <w:r>
              <w:rPr>
                <w:b w:val="0"/>
                <w:sz w:val="17"/>
              </w:rPr>
              <w:t>Superseded by the measured range now carried in CLAUDE.md §3.</w:t>
            </w:r>
          </w:p>
        </w:tc>
        <w:tc>
          <w:tcPr>
            <w:tcW w:type="dxa" w:w="3742"/>
          </w:tcPr>
          <w:p>
            <w:pPr>
              <w:spacing w:after="20"/>
            </w:pPr>
            <w:r>
              <w:rPr>
                <w:b w:val="0"/>
                <w:sz w:val="17"/>
              </w:rPr>
              <w:t>174–860 N/m peel force from the 75 nm SiO₂ interlayer (RF magnetron sputter) plus O₂ plasma activation. The 200-cycle IEC 60068-2-14 qualification (FAI-TC02) remains BLOCKING before any production FPC.</w:t>
            </w:r>
          </w:p>
        </w:tc>
      </w:tr>
      <w:tr>
        <w:tc>
          <w:tcPr>
            <w:tcW w:type="dxa" w:w="2608"/>
          </w:tcPr>
          <w:p>
            <w:pPr>
              <w:spacing w:after="20"/>
            </w:pPr>
            <w:r>
              <w:rPr>
                <w:b/>
                <w:sz w:val="17"/>
              </w:rPr>
              <w:t>ACC presented as one of seven focal 4×1 HD-tDCS targets</w:t>
            </w:r>
          </w:p>
        </w:tc>
        <w:tc>
          <w:tcPr>
            <w:tcW w:type="dxa" w:w="3175"/>
          </w:tcPr>
          <w:p>
            <w:pPr>
              <w:spacing w:after="20"/>
            </w:pPr>
            <w:r>
              <w:rPr>
                <w:b w:val="0"/>
                <w:sz w:val="17"/>
              </w:rPr>
              <w:t>ACC (0, 28, 28) is 47.1 mm from Fz; its 2nd/3rd nearest electrodes are 49.1 mm and no 10-10 scalp position gets closer than ~37.9 mm (Fpz). The ≤35 mm focality criterion is unsatisfiable for ACC by ANY electrode placement.</w:t>
            </w:r>
          </w:p>
        </w:tc>
        <w:tc>
          <w:tcPr>
            <w:tcW w:type="dxa" w:w="3742"/>
          </w:tcPr>
          <w:p>
            <w:pPr>
              <w:spacing w:after="20"/>
            </w:pPr>
            <w:r>
              <w:rPr>
                <w:b w:val="0"/>
                <w:sz w:val="17"/>
              </w:rPr>
              <w:t>Targets carry NP_HD_TARGET_DEPTH_SURFACE / _DEEP. ACC stays selectable and keeps its anxiety indication, but a 4×1 there is indirect network modulation and must never be presented as focal stimulation of the structure. The other six targets are cortical-surface at 11–29 mm.</w:t>
            </w:r>
          </w:p>
        </w:tc>
      </w:tr>
    </w:tbl>
    <w:p>
      <w:pPr>
        <w:spacing w:after="40"/>
      </w:pP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sz w:val="19"/>
              </w:rPr>
              <w:t>Firmware and documents carrying retired mechanisms are individually banner-marked at their source: NP-FW-PBM1064-001 Rev 3, NP-HW-FPC-001, NP-FW-ZA-001, NP-HW-HUB-001 (Rev 2 → Appendix A), NP-DRV-SHELL-001 Rev 2, NP-PROC-FPC-1064-001, and the neurone_fpc_zone_module_spec_revA.docx / docs/superseded/np_drv_shell_001.docx pair. The zone_announce DDS audio engine and debounce algorithm remain reusable but need re-triggering from module-map events.</w:t>
            </w:r>
          </w:p>
        </w:tc>
      </w:tr>
    </w:tbl>
    <w:p>
      <w:pPr>
        <w:spacing w:after="40"/>
      </w:pPr>
    </w:p>
    <w:p>
      <w:pPr>
        <w:pStyle w:val="Heading2"/>
        <w:spacing w:before="160" w:after="80"/>
      </w:pPr>
      <w:r>
        <w:t>0.2 Added since Revision 5</w:t>
      </w:r>
    </w:p>
    <w:tbl>
      <w:tblPr>
        <w:tblStyle w:val="TableGrid"/>
        <w:tblW w:type="auto" w:w="0"/>
        <w:jc w:val="center"/>
        <w:tblLook w:firstColumn="1" w:firstRow="1" w:lastColumn="0" w:lastRow="0" w:noHBand="0" w:noVBand="1" w:val="04A0"/>
      </w:tblPr>
      <w:tblGrid>
        <w:gridCol w:w="4986"/>
        <w:gridCol w:w="4986"/>
      </w:tblGrid>
      <w:tr>
        <w:tc>
          <w:tcPr>
            <w:tcW w:type="dxa" w:w="2381"/>
            <w:shd w:val="clear" w:color="auto" w:fill="E2EFDA"/>
          </w:tcPr>
          <w:p>
            <w:pPr>
              <w:spacing w:after="20"/>
            </w:pPr>
            <w:r>
              <w:rPr>
                <w:b/>
                <w:sz w:val="17"/>
              </w:rPr>
              <w:t>Area</w:t>
            </w:r>
          </w:p>
        </w:tc>
        <w:tc>
          <w:tcPr>
            <w:tcW w:type="dxa" w:w="7143"/>
            <w:shd w:val="clear" w:color="auto" w:fill="E2EFDA"/>
          </w:tcPr>
          <w:p>
            <w:pPr>
              <w:spacing w:after="20"/>
            </w:pPr>
            <w:r>
              <w:rPr>
                <w:b/>
                <w:sz w:val="17"/>
              </w:rPr>
              <w:t>What was added</w:t>
            </w:r>
          </w:p>
        </w:tc>
      </w:tr>
      <w:tr>
        <w:tc>
          <w:tcPr>
            <w:tcW w:type="dxa" w:w="2381"/>
          </w:tcPr>
          <w:p>
            <w:pPr>
              <w:spacing w:after="20"/>
            </w:pPr>
            <w:r>
              <w:rPr>
                <w:b/>
                <w:sz w:val="17"/>
              </w:rPr>
              <w:t>Hex-tile module architecture</w:t>
            </w:r>
          </w:p>
        </w:tc>
        <w:tc>
          <w:tcPr>
            <w:tcW w:type="dxa" w:w="7143"/>
          </w:tcPr>
          <w:p>
            <w:pPr>
              <w:spacing w:after="20"/>
            </w:pPr>
            <w:r>
              <w:rPr>
                <w:b w:val="0"/>
                <w:sz w:val="17"/>
              </w:rPr>
              <w:t>NP-HEX-ZM-001 Rev 2 (design study, Option A committed): one universal 40 mm flat-to-flat hexagonal module, median curvature R_m = 87 mm, tiling an ~80-socket lattice recovered from a direct 3D scan of the reference helmet interior. Three T1 tile types on one mold. Principal directions CLUSTER-1, SYM-1 and CONTIG-1 recorded. Companion ISA at docs/np_hex_zm_isa.md; firmware np_module_map delivered.</w:t>
            </w:r>
          </w:p>
        </w:tc>
      </w:tr>
      <w:tr>
        <w:tc>
          <w:tcPr>
            <w:tcW w:type="dxa" w:w="2381"/>
          </w:tcPr>
          <w:p>
            <w:pPr>
              <w:spacing w:after="20"/>
            </w:pPr>
            <w:r>
              <w:rPr>
                <w:b/>
                <w:sz w:val="17"/>
              </w:rPr>
              <w:t>Hex-tile electrical / FPC spec</w:t>
            </w:r>
          </w:p>
        </w:tc>
        <w:tc>
          <w:tcPr>
            <w:tcW w:type="dxa" w:w="7143"/>
          </w:tcPr>
          <w:p>
            <w:pPr>
              <w:spacing w:after="20"/>
            </w:pPr>
            <w:r>
              <w:rPr>
                <w:b w:val="0"/>
                <w:sz w:val="17"/>
              </w:rPr>
              <w:t>NP-HW-HEXTILE-001 Rev 3 — the electrical and FPC counterpart for T1-A and T1-C; §8.2.1 carries the 18-cluster derivation and §8.2.2 the interconnect options for the count overflow. Cluster map diagram at docs/diagrams/np_hextile_cluster_map.svg.</w:t>
            </w:r>
          </w:p>
        </w:tc>
      </w:tr>
      <w:tr>
        <w:tc>
          <w:tcPr>
            <w:tcW w:type="dxa" w:w="2381"/>
          </w:tcPr>
          <w:p>
            <w:pPr>
              <w:spacing w:after="20"/>
            </w:pPr>
            <w:r>
              <w:rPr>
                <w:b/>
                <w:sz w:val="17"/>
              </w:rPr>
              <w:t>Hub PCB Rev C</w:t>
            </w:r>
          </w:p>
        </w:tc>
        <w:tc>
          <w:tcPr>
            <w:tcW w:type="dxa" w:w="7143"/>
          </w:tcPr>
          <w:p>
            <w:pPr>
              <w:spacing w:after="20"/>
            </w:pPr>
            <w:r>
              <w:rPr>
                <w:b w:val="0"/>
                <w:sz w:val="17"/>
              </w:rPr>
              <w:t>NP-HW-HUB-001 Rev 3 (DRAFT) — distributed cluster-controller tier replaces the five-slot star. The hub PCB no longer encodes the socket count at all, so REG-1 no longer blocks hub tooling.</w:t>
            </w:r>
          </w:p>
        </w:tc>
      </w:tr>
      <w:tr>
        <w:tc>
          <w:tcPr>
            <w:tcW w:type="dxa" w:w="2381"/>
          </w:tcPr>
          <w:p>
            <w:pPr>
              <w:spacing w:after="20"/>
            </w:pPr>
            <w:r>
              <w:rPr>
                <w:b/>
                <w:sz w:val="17"/>
              </w:rPr>
              <w:t>Shell socket interconnect</w:t>
            </w:r>
          </w:p>
        </w:tc>
        <w:tc>
          <w:tcPr>
            <w:tcW w:type="dxa" w:w="7143"/>
          </w:tcPr>
          <w:p>
            <w:pPr>
              <w:spacing w:after="20"/>
            </w:pPr>
            <w:r>
              <w:rPr>
                <w:b w:val="0"/>
                <w:sz w:val="17"/>
              </w:rPr>
              <w:t>NP-DRV-SHELL-002 Rev 2 (DRAFT) — new document number because the architecture is replaced, not revised. Five networks split by physics; 28-item DRC checklist; three EMI prohibitions locked.</w:t>
            </w:r>
          </w:p>
        </w:tc>
      </w:tr>
      <w:tr>
        <w:tc>
          <w:tcPr>
            <w:tcW w:type="dxa" w:w="2381"/>
          </w:tcPr>
          <w:p>
            <w:pPr>
              <w:spacing w:after="20"/>
            </w:pPr>
            <w:r>
              <w:rPr>
                <w:b/>
                <w:sz w:val="17"/>
              </w:rPr>
              <w:t>Helmet geometry from measurement</w:t>
            </w:r>
          </w:p>
        </w:tc>
        <w:tc>
          <w:tcPr>
            <w:tcW w:type="dxa" w:w="7143"/>
          </w:tcPr>
          <w:p>
            <w:pPr>
              <w:spacing w:after="20"/>
            </w:pPr>
            <w:r>
              <w:rPr>
                <w:b w:val="0"/>
                <w:sz w:val="17"/>
              </w:rPr>
              <w:t>NP-HELMET-GEOM-001 — socket coordinates placed on the measured scan surface and the helmet frame recovered from the actual scan, replacing the interim ellipsoid description. Companion ISA at docs/np_helmet_geom_isa.md.</w:t>
            </w:r>
          </w:p>
        </w:tc>
      </w:tr>
      <w:tr>
        <w:tc>
          <w:tcPr>
            <w:tcW w:type="dxa" w:w="2381"/>
          </w:tcPr>
          <w:p>
            <w:pPr>
              <w:spacing w:after="20"/>
            </w:pPr>
            <w:r>
              <w:rPr>
                <w:b/>
                <w:sz w:val="17"/>
              </w:rPr>
              <w:t>Thermal architecture</w:t>
            </w:r>
          </w:p>
        </w:tc>
        <w:tc>
          <w:tcPr>
            <w:tcW w:type="dxa" w:w="7143"/>
          </w:tcPr>
          <w:p>
            <w:pPr>
              <w:spacing w:after="20"/>
            </w:pPr>
            <w:r>
              <w:rPr>
                <w:b w:val="0"/>
                <w:sz w:val="17"/>
              </w:rPr>
              <w:t>NP-THERM-CFD-001 / -R1-001 / -C2-001 and NP-THERM-BEZEL-001: BN-boss conductive thermal export adopted as the base thermal design with a stagnant inter-bowl cavity; THERM-1a fan-health path selection (Path A rejected, Path B1 selected); NP-REQ-FANHEALTH-001 and NP-PLAN-FANHEALTH-001.</w:t>
            </w:r>
          </w:p>
        </w:tc>
      </w:tr>
      <w:tr>
        <w:tc>
          <w:tcPr>
            <w:tcW w:type="dxa" w:w="2381"/>
          </w:tcPr>
          <w:p>
            <w:pPr>
              <w:spacing w:after="20"/>
            </w:pPr>
            <w:r>
              <w:rPr>
                <w:b/>
                <w:sz w:val="17"/>
              </w:rPr>
              <w:t>PBM optical resolution floor</w:t>
            </w:r>
          </w:p>
        </w:tc>
        <w:tc>
          <w:tcPr>
            <w:tcW w:type="dxa" w:w="7143"/>
          </w:tcPr>
          <w:p>
            <w:pPr>
              <w:spacing w:after="20"/>
            </w:pPr>
            <w:r>
              <w:rPr>
                <w:b w:val="0"/>
                <w:sz w:val="17"/>
              </w:rPr>
              <w:t>NP-OPT-PSF-001 Rev 1 — Monte Carlo optical model establishing what boundary the hardware can actually produce at cortical depth. Now the required reference for zone sizing, lateralized protocols and any "targets region X" claim.</w:t>
            </w:r>
          </w:p>
        </w:tc>
      </w:tr>
      <w:tr>
        <w:tc>
          <w:tcPr>
            <w:tcW w:type="dxa" w:w="2381"/>
          </w:tcPr>
          <w:p>
            <w:pPr>
              <w:spacing w:after="20"/>
            </w:pPr>
            <w:r>
              <w:rPr>
                <w:b/>
                <w:sz w:val="17"/>
              </w:rPr>
              <w:t>Accessible position identification</w:t>
            </w:r>
          </w:p>
        </w:tc>
        <w:tc>
          <w:tcPr>
            <w:tcW w:type="dxa" w:w="7143"/>
          </w:tcPr>
          <w:p>
            <w:pPr>
              <w:spacing w:after="20"/>
            </w:pPr>
            <w:r>
              <w:rPr>
                <w:b w:val="0"/>
                <w:sz w:val="17"/>
              </w:rPr>
              <w:t>NP-HFE-002 Rev 1 — layered, app-primary design replacing RISK-15 layers 3/4/5; requirements HFE-R-01..15 enter NP-HFE-001's formative and summative plans.</w:t>
            </w:r>
          </w:p>
        </w:tc>
      </w:tr>
      <w:tr>
        <w:tc>
          <w:tcPr>
            <w:tcW w:type="dxa" w:w="2381"/>
          </w:tcPr>
          <w:p>
            <w:pPr>
              <w:spacing w:after="20"/>
            </w:pPr>
            <w:r>
              <w:rPr>
                <w:b/>
                <w:sz w:val="17"/>
              </w:rPr>
              <w:t>Human factors, design planning, traceability, post-market</w:t>
            </w:r>
          </w:p>
        </w:tc>
        <w:tc>
          <w:tcPr>
            <w:tcW w:type="dxa" w:w="7143"/>
          </w:tcPr>
          <w:p>
            <w:pPr>
              <w:spacing w:after="20"/>
            </w:pPr>
            <w:r>
              <w:rPr>
                <w:b w:val="0"/>
                <w:sz w:val="17"/>
              </w:rPr>
              <w:t>NP-HFE-001, NP-DP-001 (Design and Development Plan), NP-DT-001 (Input/Output Traceability Matrix, Rev 2 adds DI-SAFE-13), NP-PMS-001 (Post-Market Surveillance), NP-QMS-DC-001, NP-QMS-CAPA-001 — the QMS documents Rev 5 listed only as future targets.</w:t>
            </w:r>
          </w:p>
        </w:tc>
      </w:tr>
      <w:tr>
        <w:tc>
          <w:tcPr>
            <w:tcW w:type="dxa" w:w="2381"/>
          </w:tcPr>
          <w:p>
            <w:pPr>
              <w:spacing w:after="20"/>
            </w:pPr>
            <w:r>
              <w:rPr>
                <w:b/>
                <w:sz w:val="17"/>
              </w:rPr>
              <w:t>System FMEA</w:t>
            </w:r>
          </w:p>
        </w:tc>
        <w:tc>
          <w:tcPr>
            <w:tcW w:type="dxa" w:w="7143"/>
          </w:tcPr>
          <w:p>
            <w:pPr>
              <w:spacing w:after="20"/>
            </w:pPr>
            <w:r>
              <w:rPr>
                <w:b w:val="0"/>
                <w:sz w:val="17"/>
              </w:rPr>
              <w:t>NP-FMEA-001 and the geometry feeder NP-FMEA-GEOM-001, including FMEA-G07-01 (fan/heatsink loss) which became RISK-26, and FMEA-M08-04 (PA4 double-assignment).</w:t>
            </w:r>
          </w:p>
        </w:tc>
      </w:tr>
      <w:tr>
        <w:tc>
          <w:tcPr>
            <w:tcW w:type="dxa" w:w="2381"/>
          </w:tcPr>
          <w:p>
            <w:pPr>
              <w:spacing w:after="20"/>
            </w:pPr>
            <w:r>
              <w:rPr>
                <w:b/>
                <w:sz w:val="17"/>
              </w:rPr>
              <w:t>Privacy program</w:t>
            </w:r>
          </w:p>
        </w:tc>
        <w:tc>
          <w:tcPr>
            <w:tcW w:type="dxa" w:w="7143"/>
          </w:tcPr>
          <w:p>
            <w:pPr>
              <w:spacing w:after="20"/>
            </w:pPr>
            <w:r>
              <w:rPr>
                <w:b w:val="0"/>
                <w:sz w:val="17"/>
              </w:rPr>
              <w:t>NP-PRIV-001 Rev 1 (18 findings: 2 Critical, 6 High, 7 Medium, 3 Low) and NP-PRIV-REM-001 Rev 2 (30-step remediation calendar, extended by STEP-31/32 and STEP-34/35). Second- and third-pass code audits NP-PRIV-ANALYSIS-002 / -003. NP-PRIV-NOTICE-001 Rev 3, NP-PRIV-AUDIT-001, NP-PRIV-KEYSPLIT-001. Supporting: NP-SEC-BR-001 (breach response), NP-PROC-POA-001 (POA upload), NP-APP-TELEMETRY-001, NP-LEGAL-BAA-001, NP-IRB-001, NP-FW-ANON-001.</w:t>
            </w:r>
          </w:p>
        </w:tc>
      </w:tr>
      <w:tr>
        <w:tc>
          <w:tcPr>
            <w:tcW w:type="dxa" w:w="2381"/>
          </w:tcPr>
          <w:p>
            <w:pPr>
              <w:spacing w:after="20"/>
            </w:pPr>
            <w:r>
              <w:rPr>
                <w:b/>
                <w:sz w:val="17"/>
              </w:rPr>
              <w:t>Firmware supply chain under IEC 62304</w:t>
            </w:r>
          </w:p>
        </w:tc>
        <w:tc>
          <w:tcPr>
            <w:tcW w:type="dxa" w:w="7143"/>
          </w:tcPr>
          <w:p>
            <w:pPr>
              <w:spacing w:after="20"/>
            </w:pPr>
            <w:r>
              <w:rPr>
                <w:b w:val="0"/>
                <w:sz w:val="17"/>
              </w:rPr>
              <w:t>FreeRTOS-Kernel V11.3.0 (FreeRTOS-LTS 202604.00) vendored as Class B SOUP; ARM CMSIS-Core(M) 5.6.0 and ST CMSIS-Device STM32G0 v1.4.5 vendored as Class C SOUP; Monocypher 4.0.2 behind np_crypto. NP-SOUP-CMSIS-001 Rev 1 is the first IEC 62304 §7.1.2 anomaly evaluation performed for Class C software at NeurOne.</w:t>
            </w:r>
          </w:p>
        </w:tc>
      </w:tr>
      <w:tr>
        <w:tc>
          <w:tcPr>
            <w:tcW w:type="dxa" w:w="2381"/>
          </w:tcPr>
          <w:p>
            <w:pPr>
              <w:spacing w:after="20"/>
            </w:pPr>
            <w:r>
              <w:rPr>
                <w:b/>
                <w:sz w:val="17"/>
              </w:rPr>
              <w:t>Firmware cross-compile CI</w:t>
            </w:r>
          </w:p>
        </w:tc>
        <w:tc>
          <w:tcPr>
            <w:tcW w:type="dxa" w:w="7143"/>
          </w:tcPr>
          <w:p>
            <w:pPr>
              <w:spacing w:after="20"/>
            </w:pPr>
            <w:r>
              <w:rPr>
                <w:b w:val="0"/>
                <w:sz w:val="17"/>
              </w:rPr>
              <w:t>NP-SW-CI-001 — phased program taking the bootloader, main-firmware and Class C safety-MCU compile legs from advisory to gating, each phase demonstrated by a deliberately-broken probe and then reverted. Defects A–D closed.</w:t>
            </w:r>
          </w:p>
        </w:tc>
      </w:tr>
      <w:tr>
        <w:tc>
          <w:tcPr>
            <w:tcW w:type="dxa" w:w="2381"/>
          </w:tcPr>
          <w:p>
            <w:pPr>
              <w:spacing w:after="20"/>
            </w:pPr>
            <w:r>
              <w:rPr>
                <w:b/>
                <w:sz w:val="17"/>
              </w:rPr>
              <w:t>Hub control program</w:t>
            </w:r>
          </w:p>
        </w:tc>
        <w:tc>
          <w:tcPr>
            <w:tcW w:type="dxa" w:w="7143"/>
          </w:tcPr>
          <w:p>
            <w:pPr>
              <w:spacing w:after="20"/>
            </w:pPr>
            <w:r>
              <w:rPr>
                <w:b w:val="0"/>
                <w:sz w:val="17"/>
              </w:rPr>
              <w:t>firmware/hub_control/ — module registry, session runner, safety SPI, session-log eMMC backing (np_log_backend), BLE/USB-C protocol transport (np_transport), and np_mod_cvns as the sole hub↔cervical-VNS integration layer.</w:t>
            </w:r>
          </w:p>
        </w:tc>
      </w:tr>
      <w:tr>
        <w:tc>
          <w:tcPr>
            <w:tcW w:type="dxa" w:w="2381"/>
          </w:tcPr>
          <w:p>
            <w:pPr>
              <w:spacing w:after="20"/>
            </w:pPr>
            <w:r>
              <w:rPr>
                <w:b/>
                <w:sz w:val="17"/>
              </w:rPr>
              <w:t>Protocol language and reference</w:t>
            </w:r>
          </w:p>
        </w:tc>
        <w:tc>
          <w:tcPr>
            <w:tcW w:type="dxa" w:w="7143"/>
          </w:tcPr>
          <w:p>
            <w:pPr>
              <w:spacing w:after="20"/>
            </w:pPr>
            <w:r>
              <w:rPr>
                <w:b w:val="0"/>
                <w:sz w:val="17"/>
              </w:rPr>
              <w:t>NP-NPPS-REF-001 — NPPS protocol scripting reference; socket-indexed session descriptor v5; 00-zones.npps as the single home of zone definitions after ZONE-1 deleted the "lobe" concept from firmware, generator and web app.</w:t>
            </w:r>
          </w:p>
        </w:tc>
      </w:tr>
      <w:tr>
        <w:tc>
          <w:tcPr>
            <w:tcW w:type="dxa" w:w="2381"/>
          </w:tcPr>
          <w:p>
            <w:pPr>
              <w:spacing w:after="20"/>
            </w:pPr>
            <w:r>
              <w:rPr>
                <w:b/>
                <w:sz w:val="17"/>
              </w:rPr>
              <w:t>Naming and notation conventions</w:t>
            </w:r>
          </w:p>
        </w:tc>
        <w:tc>
          <w:tcPr>
            <w:tcW w:type="dxa" w:w="7143"/>
          </w:tcPr>
          <w:p>
            <w:pPr>
              <w:spacing w:after="20"/>
            </w:pPr>
            <w:r>
              <w:rPr>
                <w:b w:val="0"/>
                <w:sz w:val="17"/>
              </w:rPr>
              <w:t>NP-CONV-001 Rev 6 — the first consolidated statement of NeurOne naming rules, written after three name collisions reached the document set in one week (GUARD, /ALERT, SEAT_N), none caught by reading and all three caught by diffing tables mechanically. Binds active-low "#" suffixes (§1.1), the forbidden polarity suffixes and why each is already taken (§1.2), bracket index notation (§1.3), document IDs and filenames (§4), integer revisions (§4.1), and no revision information in filenames (§4.3). Enforced by scripts/check-doc-filenames.ts, which was falsified in both directions before it was trusted. THIS REVISION IS THE FIRST ISSUE OF THE DESIGN BRIEF UNDER THOSE RULES — see §12 for what changed about this document's own identity.</w:t>
            </w:r>
          </w:p>
        </w:tc>
      </w:tr>
      <w:tr>
        <w:tc>
          <w:tcPr>
            <w:tcW w:type="dxa" w:w="2381"/>
          </w:tcPr>
          <w:p>
            <w:pPr>
              <w:spacing w:after="20"/>
            </w:pPr>
            <w:r>
              <w:rPr>
                <w:b/>
                <w:sz w:val="17"/>
              </w:rPr>
              <w:t>Risk file re-baseline</w:t>
            </w:r>
          </w:p>
        </w:tc>
        <w:tc>
          <w:tcPr>
            <w:tcW w:type="dxa" w:w="7143"/>
          </w:tcPr>
          <w:p>
            <w:pPr>
              <w:spacing w:after="20"/>
            </w:pPr>
            <w:r>
              <w:rPr>
                <w:b w:val="0"/>
                <w:sz w:val="17"/>
              </w:rPr>
              <w:t>NP-RISK-002 / -003 / -004 replace the retired NP-RISK-001, split by artifact. See §0.1 and §8.</w:t>
            </w:r>
          </w:p>
        </w:tc>
      </w:tr>
      <w:tr>
        <w:tc>
          <w:tcPr>
            <w:tcW w:type="dxa" w:w="2381"/>
          </w:tcPr>
          <w:p>
            <w:pPr>
              <w:spacing w:after="20"/>
            </w:pPr>
            <w:r>
              <w:rPr>
                <w:b/>
                <w:sz w:val="17"/>
              </w:rPr>
              <w:t>Artifact register and FAI programme</w:t>
            </w:r>
          </w:p>
        </w:tc>
        <w:tc>
          <w:tcPr>
            <w:tcW w:type="dxa" w:w="7143"/>
          </w:tcPr>
          <w:p>
            <w:pPr>
              <w:spacing w:after="20"/>
            </w:pPr>
            <w:r>
              <w:rPr>
                <w:b w:val="0"/>
                <w:sz w:val="17"/>
              </w:rPr>
              <w:t>NP-ART-001 (artifact register — §4 found nine artifacts with no owning document, which is the gap-detection property the filename convention buys), NP-FAI-001, NP-FAI-HUB-001, NP-MOD-ID-001 (module identity), NP-REV-SHELL-001 (shell design review), NP-TOOL-HEXTILE-001 (hex-tile tooling, successor to the retired NP-TOOL-ZM-001 and NP-TOOL-ZM-SM-001).</w:t>
            </w:r>
          </w:p>
        </w:tc>
      </w:tr>
      <w:tr>
        <w:tc>
          <w:tcPr>
            <w:tcW w:type="dxa" w:w="2381"/>
          </w:tcPr>
          <w:p>
            <w:pPr>
              <w:spacing w:after="20"/>
            </w:pPr>
            <w:r>
              <w:rPr>
                <w:b/>
                <w:sz w:val="17"/>
              </w:rPr>
              <w:t>Clinical / regulatory additions</w:t>
            </w:r>
          </w:p>
        </w:tc>
        <w:tc>
          <w:tcPr>
            <w:tcW w:type="dxa" w:w="7143"/>
          </w:tcPr>
          <w:p>
            <w:pPr>
              <w:spacing w:after="20"/>
            </w:pPr>
            <w:r>
              <w:rPr>
                <w:b w:val="0"/>
                <w:sz w:val="17"/>
              </w:rPr>
              <w:t>NP-REG-CVNS-001 (510(k) Q-Sub), NP-REG-PBM1064-001 (RISK-03 scope expansion), NP-BIB-1064-001, NP-COND-LINK-001, NP-INT-FHIR-001, NP-API-001, NP-ANALYTICS-001, NP-INFRA-001, NP-ENV-001 / NP-ENV-OPRANGE-001, NP-PWR-BUDGET-001, NP-FEAS-FNIRS-001 (exploratory), NP-TOOL-HUB-001 Rev 1 (hub enclosure tooling).</w:t>
            </w:r>
          </w:p>
        </w:tc>
      </w:tr>
    </w:tbl>
    <w:p>
      <w:pPr>
        <w:spacing w:after="40"/>
      </w:pPr>
    </w:p>
    <w:p>
      <w:pPr>
        <w:pStyle w:val="Heading1"/>
        <w:spacing w:before="240" w:after="80"/>
      </w:pPr>
      <w:r>
        <w:t>1. Executive Summary</w:t>
      </w:r>
    </w:p>
    <w:p>
      <w:pPr>
        <w:spacing w:after="100"/>
      </w:pPr>
      <w:r>
        <w:rPr>
          <w:b w:val="0"/>
          <w:i w:val="0"/>
          <w:sz w:val="19"/>
        </w:rPr>
        <w:t>NeurOne is a two-tier closed-loop multi-modal neuromodulation platform. Tier 1 (NeurOne Home) is an FDA-exempt consumer wellness device combining 8 neuromodulation modalities in a single wired-first headset. Tier 2 (NeurOne Pro) is a clinical-grade device targeting FDA 510(k) clearance with 11 modalities including TMS, clinical tACS, 21-channel qEEG, sLORETA-guided HD-tDCS, and cervical VNS. Both tiers share one chassis, one processor stack, one app, and USB-C connectivity.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9E2F3"/>
          </w:tcPr>
          <w:p>
            <w:pPr>
              <w:spacing w:after="20"/>
            </w:pPr>
            <w:r>
              <w:rPr>
                <w:b/>
                <w:sz w:val="17"/>
              </w:rPr>
              <w:t>Tier</w:t>
            </w:r>
          </w:p>
        </w:tc>
        <w:tc>
          <w:tcPr>
            <w:tcW w:type="dxa" w:w="1701"/>
            <w:shd w:val="clear" w:color="auto" w:fill="D9E2F3"/>
          </w:tcPr>
          <w:p>
            <w:pPr>
              <w:spacing w:after="20"/>
            </w:pPr>
            <w:r>
              <w:rPr>
                <w:b/>
                <w:sz w:val="17"/>
              </w:rPr>
              <w:t>Name</w:t>
            </w:r>
          </w:p>
        </w:tc>
        <w:tc>
          <w:tcPr>
            <w:tcW w:type="dxa" w:w="1928"/>
            <w:shd w:val="clear" w:color="auto" w:fill="D9E2F3"/>
          </w:tcPr>
          <w:p>
            <w:pPr>
              <w:spacing w:after="20"/>
            </w:pPr>
            <w:r>
              <w:rPr>
                <w:b/>
                <w:sz w:val="17"/>
              </w:rPr>
              <w:t>Regulatory</w:t>
            </w:r>
          </w:p>
        </w:tc>
        <w:tc>
          <w:tcPr>
            <w:tcW w:type="dxa" w:w="1134"/>
            <w:shd w:val="clear" w:color="auto" w:fill="D9E2F3"/>
          </w:tcPr>
          <w:p>
            <w:pPr>
              <w:spacing w:after="20"/>
            </w:pPr>
            <w:r>
              <w:rPr>
                <w:b/>
                <w:sz w:val="17"/>
              </w:rPr>
              <w:t>Modalities</w:t>
            </w:r>
          </w:p>
        </w:tc>
        <w:tc>
          <w:tcPr>
            <w:tcW w:type="dxa" w:w="2041"/>
            <w:shd w:val="clear" w:color="auto" w:fill="D9E2F3"/>
          </w:tcPr>
          <w:p>
            <w:pPr>
              <w:spacing w:after="20"/>
            </w:pPr>
            <w:r>
              <w:rPr>
                <w:b/>
                <w:sz w:val="17"/>
              </w:rPr>
              <w:t>Price range</w:t>
            </w:r>
          </w:p>
        </w:tc>
        <w:tc>
          <w:tcPr>
            <w:tcW w:type="dxa" w:w="1928"/>
            <w:shd w:val="clear" w:color="auto" w:fill="D9E2F3"/>
          </w:tcPr>
          <w:p>
            <w:pPr>
              <w:spacing w:after="20"/>
            </w:pPr>
            <w:r>
              <w:rPr>
                <w:b/>
                <w:sz w:val="17"/>
              </w:rPr>
              <w:t>Timeline</w:t>
            </w:r>
          </w:p>
        </w:tc>
      </w:tr>
      <w:tr>
        <w:tc>
          <w:tcPr>
            <w:tcW w:type="dxa" w:w="794"/>
          </w:tcPr>
          <w:p>
            <w:pPr>
              <w:spacing w:after="20"/>
            </w:pPr>
            <w:r>
              <w:rPr>
                <w:b/>
                <w:sz w:val="17"/>
              </w:rPr>
              <w:t>T1</w:t>
            </w:r>
          </w:p>
        </w:tc>
        <w:tc>
          <w:tcPr>
            <w:tcW w:type="dxa" w:w="1701"/>
          </w:tcPr>
          <w:p>
            <w:pPr>
              <w:spacing w:after="20"/>
            </w:pPr>
            <w:r>
              <w:rPr>
                <w:b w:val="0"/>
                <w:sz w:val="17"/>
              </w:rPr>
              <w:t>NeurOne Home</w:t>
            </w:r>
          </w:p>
        </w:tc>
        <w:tc>
          <w:tcPr>
            <w:tcW w:type="dxa" w:w="1928"/>
          </w:tcPr>
          <w:p>
            <w:pPr>
              <w:spacing w:after="20"/>
            </w:pPr>
            <w:r>
              <w:rPr>
                <w:b w:val="0"/>
                <w:sz w:val="17"/>
              </w:rPr>
              <w:t>FDA-exempt wellness</w:t>
            </w:r>
          </w:p>
        </w:tc>
        <w:tc>
          <w:tcPr>
            <w:tcW w:type="dxa" w:w="1134"/>
          </w:tcPr>
          <w:p>
            <w:pPr>
              <w:spacing w:after="20"/>
            </w:pPr>
            <w:r>
              <w:rPr>
                <w:b w:val="0"/>
                <w:sz w:val="17"/>
              </w:rPr>
              <w:t>8</w:t>
            </w:r>
          </w:p>
        </w:tc>
        <w:tc>
          <w:tcPr>
            <w:tcW w:type="dxa" w:w="2041"/>
          </w:tcPr>
          <w:p>
            <w:pPr>
              <w:spacing w:after="20"/>
            </w:pPr>
            <w:r>
              <w:rPr>
                <w:b w:val="0"/>
                <w:sz w:val="17"/>
              </w:rPr>
              <w:t>$449–$1,199</w:t>
            </w:r>
          </w:p>
        </w:tc>
        <w:tc>
          <w:tcPr>
            <w:tcW w:type="dxa" w:w="1928"/>
          </w:tcPr>
          <w:p>
            <w:pPr>
              <w:spacing w:after="20"/>
            </w:pPr>
            <w:r>
              <w:rPr>
                <w:b w:val="0"/>
                <w:sz w:val="17"/>
              </w:rPr>
              <w:t>12–18 months</w:t>
            </w:r>
          </w:p>
        </w:tc>
      </w:tr>
      <w:tr>
        <w:tc>
          <w:tcPr>
            <w:tcW w:type="dxa" w:w="794"/>
          </w:tcPr>
          <w:p>
            <w:pPr>
              <w:spacing w:after="20"/>
            </w:pPr>
            <w:r>
              <w:rPr>
                <w:b/>
                <w:sz w:val="17"/>
              </w:rPr>
              <w:t>T2</w:t>
            </w:r>
          </w:p>
        </w:tc>
        <w:tc>
          <w:tcPr>
            <w:tcW w:type="dxa" w:w="1701"/>
          </w:tcPr>
          <w:p>
            <w:pPr>
              <w:spacing w:after="20"/>
            </w:pPr>
            <w:r>
              <w:rPr>
                <w:b w:val="0"/>
                <w:sz w:val="17"/>
              </w:rPr>
              <w:t>NeurOne Pro</w:t>
            </w:r>
          </w:p>
        </w:tc>
        <w:tc>
          <w:tcPr>
            <w:tcW w:type="dxa" w:w="1928"/>
          </w:tcPr>
          <w:p>
            <w:pPr>
              <w:spacing w:after="20"/>
            </w:pPr>
            <w:r>
              <w:rPr>
                <w:b w:val="0"/>
                <w:sz w:val="17"/>
              </w:rPr>
              <w:t>FDA 510(k) target</w:t>
            </w:r>
          </w:p>
        </w:tc>
        <w:tc>
          <w:tcPr>
            <w:tcW w:type="dxa" w:w="1134"/>
          </w:tcPr>
          <w:p>
            <w:pPr>
              <w:spacing w:after="20"/>
            </w:pPr>
            <w:r>
              <w:rPr>
                <w:b w:val="0"/>
                <w:sz w:val="17"/>
              </w:rPr>
              <w:t>11</w:t>
            </w:r>
          </w:p>
        </w:tc>
        <w:tc>
          <w:tcPr>
            <w:tcW w:type="dxa" w:w="2041"/>
          </w:tcPr>
          <w:p>
            <w:pPr>
              <w:spacing w:after="20"/>
            </w:pPr>
            <w:r>
              <w:rPr>
                <w:b w:val="0"/>
                <w:sz w:val="17"/>
              </w:rPr>
              <w:t>$4,999–$13,999 + $1,800/yr</w:t>
            </w:r>
          </w:p>
        </w:tc>
        <w:tc>
          <w:tcPr>
            <w:tcW w:type="dxa" w:w="1928"/>
          </w:tcPr>
          <w:p>
            <w:pPr>
              <w:spacing w:after="20"/>
            </w:pPr>
            <w:r>
              <w:rPr>
                <w:b w:val="0"/>
                <w:sz w:val="17"/>
              </w:rPr>
              <w:t>18–36 months post T1</w:t>
            </w:r>
          </w:p>
        </w:tc>
      </w:tr>
    </w:tbl>
    <w:p>
      <w:pPr>
        <w:spacing w:after="40"/>
      </w:pPr>
    </w:p>
    <w:p>
      <w:pPr>
        <w:spacing w:after="100"/>
      </w:pPr>
      <w:r>
        <w:rPr>
          <w:b/>
          <w:i w:val="0"/>
          <w:sz w:val="19"/>
        </w:rPr>
        <w:t>Founding design principles (all locked):</w:t>
      </w:r>
    </w:p>
    <w:p>
      <w:pPr>
        <w:pStyle w:val="ListBullet"/>
        <w:spacing w:after="40"/>
      </w:pPr>
      <w:r>
        <w:rPr>
          <w:sz w:val="19"/>
        </w:rPr>
        <w:t>Shared platform — one production line, two markets (T1 consumer wellness + T2 clinical).</w:t>
      </w:r>
    </w:p>
    <w:p>
      <w:pPr>
        <w:pStyle w:val="ListBullet"/>
        <w:spacing w:after="40"/>
      </w:pPr>
      <w:r>
        <w:rPr>
          <w:sz w:val="19"/>
        </w:rPr>
        <w:t>Wired-first USB-C default — zero RF at scalp during tethered operation.</w:t>
      </w:r>
    </w:p>
    <w:p>
      <w:pPr>
        <w:pStyle w:val="ListBullet"/>
        <w:spacing w:after="40"/>
      </w:pPr>
      <w:r>
        <w:rPr>
          <w:sz w:val="19"/>
        </w:rPr>
        <w:t>Autonomous closed-loop EEG-adaptive stimulation without phone (primary competitive moat).</w:t>
      </w:r>
    </w:p>
    <w:p>
      <w:pPr>
        <w:pStyle w:val="ListBullet"/>
        <w:spacing w:after="40"/>
      </w:pPr>
      <w:r>
        <w:rPr>
          <w:sz w:val="19"/>
        </w:rPr>
        <w:t>5-layer EMF shielding + active Helmholtz cancellation — the only consumer brain wearable with measured, continuously fleet-verified shielding.</w:t>
      </w:r>
    </w:p>
    <w:p>
      <w:pPr>
        <w:pStyle w:val="ListBullet"/>
        <w:spacing w:after="40"/>
      </w:pPr>
      <w:r>
        <w:rPr>
          <w:sz w:val="19"/>
        </w:rPr>
        <w:t>Modular field-upgradeability — now via one universal hexagonal module SKU rather than position-unique zone modules.</w:t>
      </w:r>
    </w:p>
    <w:p>
      <w:pPr>
        <w:pStyle w:val="ListBullet"/>
        <w:spacing w:after="40"/>
      </w:pPr>
      <w:r>
        <w:rPr>
          <w:sz w:val="19"/>
        </w:rPr>
        <w:t>No mandatory subscription — all core functions offline-capable permanently.</w:t>
      </w:r>
    </w:p>
    <w:p>
      <w:pPr>
        <w:pStyle w:val="ListBullet"/>
        <w:spacing w:after="40"/>
      </w:pPr>
      <w:r>
        <w:rPr>
          <w:sz w:val="19"/>
        </w:rPr>
        <w:t>UHDR/SHDR data separation — user health data is never accessed by NeurOne under any circumstances.</w:t>
      </w:r>
    </w:p>
    <w:p>
      <w:pPr>
        <w:pStyle w:val="ListBullet"/>
        <w:spacing w:after="40"/>
      </w:pPr>
      <w:r>
        <w:rPr>
          <w:sz w:val="19"/>
        </w:rPr>
        <w:t>QMS established at company formation (2026-05-13) under 21 CFR Part 820 / ISO 13485:2016; DHF index at NP-DHF-001 Rev 28 (2026-08-04).</w:t>
      </w:r>
    </w:p>
    <w:p>
      <w:pPr>
        <w:spacing w:after="100"/>
      </w:pPr>
      <w:r>
        <w:rPr>
          <w:b w:val="0"/>
          <w:i w:val="0"/>
          <w:sz w:val="19"/>
        </w:rPr>
        <w:t>T1 — 8 modalities: transcranial PBM (660–670 + 808–830 nm, tiled across the hex-socket lattice) · intranasal PBM (bilateral Y-probe, 2λ) · 8-channel semi-dry EEG neurofeedback (24-bit ADS1299) · BES/tACS (consumer name: Brainwave Entrainment Stimulation) · tDCS (consumer name: Cortical Priming Stimulation) · auricular VNS + HRV + HRV biofeedback · neural audio entrainment (planar magnetic + bone conduction) · visual stimulation (108 micro-LEDs per lens, EMDR, retinal PBM Mode F).</w:t>
      </w:r>
    </w:p>
    <w:p>
      <w:pPr>
        <w:spacing w:after="100"/>
      </w:pPr>
      <w:r>
        <w:rPr>
          <w:b w:val="0"/>
          <w:i w:val="0"/>
          <w:sz w:val="19"/>
        </w:rPr>
        <w:t>T2 adds: 21-channel qEEG wet gel (10-20 + FC3/FC4 + Oz + A1/A2) · 1170 nm deep PBM (laser, 35–40 mm) · clinical tACS (≤4 mA, 21 channels, one per cap electrode) · sLORETA-guided HD-tDCS (4×1 ring) · TMS focal figure-8 coil (0.1–0.5 T, rTMS + TBS) · cervical VNS accessory (tcVNS) · HIPAA cloud, FHIR R4, multi-patient dashboard, scripting API, sLORETA source imaging.</w:t>
      </w:r>
    </w:p>
    <w:p>
      <w:pPr>
        <w:pStyle w:val="Heading1"/>
        <w:spacing w:before="240" w:after="80"/>
      </w:pPr>
      <w:r>
        <w:t>2. Data Architecture — UHDR / SHDR Framework</w:t>
      </w:r>
    </w:p>
    <w:p>
      <w:pPr>
        <w:spacing w:after="100"/>
      </w:pPr>
      <w:r>
        <w:rPr>
          <w:b w:val="0"/>
          <w:i w:val="0"/>
          <w:sz w:val="19"/>
        </w:rPr>
        <w:t>The UHDR/SHDR framework is the foundational data architecture. All storage code, all session recording, and all research data sharing must comply with it. It is established in firmware from the first line of storage code (NP-FW-EMMC-001, extended by NP-FW-EMMC-002).</w:t>
      </w:r>
    </w:p>
    <w:tbl>
      <w:tblPr>
        <w:tblStyle w:val="TableGrid"/>
        <w:tblW w:type="auto" w:w="0"/>
        <w:jc w:val="center"/>
        <w:tblLook w:firstColumn="1" w:firstRow="1" w:lastColumn="0" w:lastRow="0" w:noHBand="0" w:noVBand="1" w:val="04A0"/>
      </w:tblPr>
      <w:tblGrid>
        <w:gridCol w:w="3324"/>
        <w:gridCol w:w="3324"/>
        <w:gridCol w:w="3324"/>
      </w:tblGrid>
      <w:tr>
        <w:tc>
          <w:tcPr>
            <w:tcW w:type="dxa" w:w="1361"/>
            <w:shd w:val="clear" w:color="auto" w:fill="D9E2F3"/>
          </w:tcPr>
          <w:p>
            <w:pPr>
              <w:spacing w:after="20"/>
            </w:pPr>
            <w:r>
              <w:rPr>
                <w:b/>
                <w:sz w:val="17"/>
              </w:rPr>
            </w:r>
          </w:p>
        </w:tc>
        <w:tc>
          <w:tcPr>
            <w:tcW w:type="dxa" w:w="4082"/>
            <w:shd w:val="clear" w:color="auto" w:fill="D9E2F3"/>
          </w:tcPr>
          <w:p>
            <w:pPr>
              <w:spacing w:after="20"/>
            </w:pPr>
            <w:r>
              <w:rPr>
                <w:b/>
                <w:sz w:val="17"/>
              </w:rPr>
              <w:t>UHDR — User Health Data Record</w:t>
            </w:r>
          </w:p>
        </w:tc>
        <w:tc>
          <w:tcPr>
            <w:tcW w:type="dxa" w:w="4082"/>
            <w:shd w:val="clear" w:color="auto" w:fill="D9E2F3"/>
          </w:tcPr>
          <w:p>
            <w:pPr>
              <w:spacing w:after="20"/>
            </w:pPr>
            <w:r>
              <w:rPr>
                <w:b/>
                <w:sz w:val="17"/>
              </w:rPr>
              <w:t>SHDR — System Health Data Record</w:t>
            </w:r>
          </w:p>
        </w:tc>
      </w:tr>
      <w:tr>
        <w:tc>
          <w:tcPr>
            <w:tcW w:type="dxa" w:w="1361"/>
          </w:tcPr>
          <w:p>
            <w:pPr>
              <w:spacing w:after="20"/>
            </w:pPr>
            <w:r>
              <w:rPr>
                <w:b/>
                <w:sz w:val="17"/>
              </w:rPr>
              <w:t>Definition</w:t>
            </w:r>
          </w:p>
        </w:tc>
        <w:tc>
          <w:tcPr>
            <w:tcW w:type="dxa" w:w="4082"/>
          </w:tcPr>
          <w:p>
            <w:pPr>
              <w:spacing w:after="20"/>
            </w:pPr>
            <w:r>
              <w:rPr>
                <w:b w:val="0"/>
                <w:sz w:val="17"/>
              </w:rPr>
              <w:t>Any record describing the user's biological state or therapeutic response.</w:t>
            </w:r>
          </w:p>
        </w:tc>
        <w:tc>
          <w:tcPr>
            <w:tcW w:type="dxa" w:w="4082"/>
          </w:tcPr>
          <w:p>
            <w:pPr>
              <w:spacing w:after="20"/>
            </w:pPr>
            <w:r>
              <w:rPr>
                <w:b w:val="0"/>
                <w:sz w:val="17"/>
              </w:rPr>
              <w:t>Any record describing device performance, wear state or calibration — with nothing that reveals user biology.</w:t>
            </w:r>
          </w:p>
        </w:tc>
      </w:tr>
      <w:tr>
        <w:tc>
          <w:tcPr>
            <w:tcW w:type="dxa" w:w="1361"/>
          </w:tcPr>
          <w:p>
            <w:pPr>
              <w:spacing w:after="20"/>
            </w:pPr>
            <w:r>
              <w:rPr>
                <w:b/>
                <w:sz w:val="17"/>
              </w:rPr>
              <w:t>Owner</w:t>
            </w:r>
          </w:p>
        </w:tc>
        <w:tc>
          <w:tcPr>
            <w:tcW w:type="dxa" w:w="4082"/>
          </w:tcPr>
          <w:p>
            <w:pPr>
              <w:spacing w:after="20"/>
            </w:pPr>
            <w:r>
              <w:rPr>
                <w:b w:val="0"/>
                <w:sz w:val="17"/>
              </w:rPr>
              <w:t>The user, unconditionally.</w:t>
            </w:r>
          </w:p>
        </w:tc>
        <w:tc>
          <w:tcPr>
            <w:tcW w:type="dxa" w:w="4082"/>
          </w:tcPr>
          <w:p>
            <w:pPr>
              <w:spacing w:after="20"/>
            </w:pPr>
            <w:r>
              <w:rPr>
                <w:b w:val="0"/>
                <w:sz w:val="17"/>
              </w:rPr>
              <w:t>NeurOne. Linked to device ID and an opaque 256-bit TRNG warranty token only — never to user identity.</w:t>
            </w:r>
          </w:p>
        </w:tc>
      </w:tr>
      <w:tr>
        <w:tc>
          <w:tcPr>
            <w:tcW w:type="dxa" w:w="1361"/>
          </w:tcPr>
          <w:p>
            <w:pPr>
              <w:spacing w:after="20"/>
            </w:pPr>
            <w:r>
              <w:rPr>
                <w:b/>
                <w:sz w:val="17"/>
              </w:rPr>
              <w:t>NeurOne access</w:t>
            </w:r>
          </w:p>
        </w:tc>
        <w:tc>
          <w:tcPr>
            <w:tcW w:type="dxa" w:w="4082"/>
          </w:tcPr>
          <w:p>
            <w:pPr>
              <w:spacing w:after="20"/>
            </w:pPr>
            <w:r>
              <w:rPr>
                <w:b w:val="0"/>
                <w:sz w:val="17"/>
              </w:rPr>
              <w:t>NEVER — not for support, engineering, research, or regulatory submission.</w:t>
            </w:r>
          </w:p>
        </w:tc>
        <w:tc>
          <w:tcPr>
            <w:tcW w:type="dxa" w:w="4082"/>
          </w:tcPr>
          <w:p>
            <w:pPr>
              <w:spacing w:after="20"/>
            </w:pPr>
            <w:r>
              <w:rPr>
                <w:b w:val="0"/>
                <w:sz w:val="17"/>
              </w:rPr>
              <w:t>Yes, for warranty and fleet analytics.</w:t>
            </w:r>
          </w:p>
        </w:tc>
      </w:tr>
      <w:tr>
        <w:tc>
          <w:tcPr>
            <w:tcW w:type="dxa" w:w="1361"/>
          </w:tcPr>
          <w:p>
            <w:pPr>
              <w:spacing w:after="20"/>
            </w:pPr>
            <w:r>
              <w:rPr>
                <w:b/>
                <w:sz w:val="17"/>
              </w:rPr>
              <w:t>Storage</w:t>
            </w:r>
          </w:p>
        </w:tc>
        <w:tc>
          <w:tcPr>
            <w:tcW w:type="dxa" w:w="4082"/>
          </w:tcPr>
          <w:p>
            <w:pPr>
              <w:spacing w:after="20"/>
            </w:pPr>
            <w:r>
              <w:rPr>
                <w:b w:val="0"/>
                <w:sz w:val="17"/>
              </w:rPr>
              <w:t>On-device eMMC UHDR partition (6,903 MiB). AES-256-XTS. Two-layer key scheme: UKMD (32-byte TRNG master key) wrapped by WKMD (Argon2id from biometric/PIN, m=65536 KiB, t=4, p=1 per RFC 9106). A biometric change re-encrypts only the 32-byte wrapper.</w:t>
            </w:r>
          </w:p>
        </w:tc>
        <w:tc>
          <w:tcPr>
            <w:tcW w:type="dxa" w:w="4082"/>
          </w:tcPr>
          <w:p>
            <w:pPr>
              <w:spacing w:after="20"/>
            </w:pPr>
            <w:r>
              <w:rPr>
                <w:b w:val="0"/>
                <w:sz w:val="17"/>
              </w:rPr>
              <w:t>On-device eMMC SHDR partition (512 MiB). AES-256-XTS, HKDF-SHA256 from the NeurOne manufacturing root key + eMMC CID hash, held under SNVS OTPMK.</w:t>
            </w:r>
          </w:p>
        </w:tc>
      </w:tr>
      <w:tr>
        <w:tc>
          <w:tcPr>
            <w:tcW w:type="dxa" w:w="1361"/>
          </w:tcPr>
          <w:p>
            <w:pPr>
              <w:spacing w:after="20"/>
            </w:pPr>
            <w:r>
              <w:rPr>
                <w:b/>
                <w:sz w:val="17"/>
              </w:rPr>
              <w:t>Consent subject</w:t>
            </w:r>
          </w:p>
        </w:tc>
        <w:tc>
          <w:tcPr>
            <w:tcW w:type="dxa" w:w="4082"/>
          </w:tcPr>
          <w:p>
            <w:pPr>
              <w:spacing w:after="20"/>
            </w:pPr>
            <w:r>
              <w:rPr>
                <w:b w:val="0"/>
                <w:sz w:val="17"/>
              </w:rPr>
              <w:t>The person wearing the device. Managed per user on-device by ConsentStore.</w:t>
            </w:r>
          </w:p>
        </w:tc>
        <w:tc>
          <w:tcPr>
            <w:tcW w:type="dxa" w:w="4082"/>
          </w:tcPr>
          <w:p>
            <w:pPr>
              <w:spacing w:after="20"/>
            </w:pPr>
            <w:r>
              <w:rPr>
                <w:b w:val="0"/>
                <w:sz w:val="17"/>
              </w:rPr>
              <w:t>The warranty owner — the entity that registered the device, which may be a clinic or institution and is NOT assumed to be the user. Managed by SHDRUploader.</w:t>
            </w:r>
          </w:p>
        </w:tc>
      </w:tr>
    </w:tbl>
    <w:p>
      <w:pPr>
        <w:spacing w:after="40"/>
      </w:pPr>
    </w:p>
    <w:p>
      <w:pPr>
        <w:spacing w:after="100"/>
      </w:pPr>
      <w:r>
        <w:rPr>
          <w:b/>
          <w:i w:val="0"/>
          <w:sz w:val="19"/>
        </w:rPr>
        <w:t>Boundary case resolution rule: when in doubt → UHDR. Reclassification to SHDR requires positive demonstration that the record contains no user biology.</w:t>
      </w:r>
    </w:p>
    <w:p>
      <w:pPr>
        <w:spacing w:after="100"/>
      </w:pPr>
      <w:r>
        <w:rPr>
          <w:b/>
          <w:i w:val="0"/>
          <w:sz w:val="19"/>
        </w:rPr>
        <w:t>Boundary resolutions of record (the last four are new since Revision 5):</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val="clear" w:color="auto" w:fill="D9E2F3"/>
          </w:tcPr>
          <w:p>
            <w:pPr>
              <w:spacing w:after="20"/>
            </w:pPr>
            <w:r>
              <w:rPr>
                <w:b/>
                <w:sz w:val="17"/>
              </w:rPr>
              <w:t>Signal</w:t>
            </w:r>
          </w:p>
        </w:tc>
        <w:tc>
          <w:tcPr>
            <w:tcW w:type="dxa" w:w="3742"/>
            <w:shd w:val="clear" w:color="auto" w:fill="D9E2F3"/>
          </w:tcPr>
          <w:p>
            <w:pPr>
              <w:spacing w:after="20"/>
            </w:pPr>
            <w:r>
              <w:rPr>
                <w:b/>
                <w:sz w:val="17"/>
              </w:rPr>
              <w:t>UHDR</w:t>
            </w:r>
          </w:p>
        </w:tc>
        <w:tc>
          <w:tcPr>
            <w:tcW w:type="dxa" w:w="3742"/>
            <w:shd w:val="clear" w:color="auto" w:fill="D9E2F3"/>
          </w:tcPr>
          <w:p>
            <w:pPr>
              <w:spacing w:after="20"/>
            </w:pPr>
            <w:r>
              <w:rPr>
                <w:b/>
                <w:sz w:val="17"/>
              </w:rPr>
              <w:t>SHDR</w:t>
            </w:r>
          </w:p>
        </w:tc>
      </w:tr>
      <w:tr>
        <w:tc>
          <w:tcPr>
            <w:tcW w:type="dxa" w:w="2041"/>
          </w:tcPr>
          <w:p>
            <w:pPr>
              <w:spacing w:after="20"/>
            </w:pPr>
            <w:r>
              <w:rPr>
                <w:b/>
                <w:sz w:val="17"/>
              </w:rPr>
              <w:t>EEG impedance</w:t>
            </w:r>
          </w:p>
        </w:tc>
        <w:tc>
          <w:tcPr>
            <w:tcW w:type="dxa" w:w="3742"/>
          </w:tcPr>
          <w:p>
            <w:pPr>
              <w:spacing w:after="20"/>
            </w:pPr>
            <w:r>
              <w:rPr>
                <w:b w:val="0"/>
                <w:sz w:val="17"/>
              </w:rPr>
              <w:t>Raw impedance</w:t>
            </w:r>
          </w:p>
        </w:tc>
        <w:tc>
          <w:tcPr>
            <w:tcW w:type="dxa" w:w="3742"/>
          </w:tcPr>
          <w:p>
            <w:pPr>
              <w:spacing w:after="20"/>
            </w:pPr>
            <w:r>
              <w:rPr>
                <w:b w:val="0"/>
                <w:sz w:val="17"/>
              </w:rPr>
              <w:t>Derived trend slope</w:t>
            </w:r>
          </w:p>
        </w:tc>
      </w:tr>
      <w:tr>
        <w:tc>
          <w:tcPr>
            <w:tcW w:type="dxa" w:w="2041"/>
          </w:tcPr>
          <w:p>
            <w:pPr>
              <w:spacing w:after="20"/>
            </w:pPr>
            <w:r>
              <w:rPr>
                <w:b/>
                <w:sz w:val="17"/>
              </w:rPr>
              <w:t>Accelerometer</w:t>
            </w:r>
          </w:p>
        </w:tc>
        <w:tc>
          <w:tcPr>
            <w:tcW w:type="dxa" w:w="3742"/>
          </w:tcPr>
          <w:p>
            <w:pPr>
              <w:spacing w:after="20"/>
            </w:pPr>
            <w:r>
              <w:rPr>
                <w:b w:val="0"/>
                <w:sz w:val="17"/>
              </w:rPr>
              <w:t>During active sessions</w:t>
            </w:r>
          </w:p>
        </w:tc>
        <w:tc>
          <w:tcPr>
            <w:tcW w:type="dxa" w:w="3742"/>
          </w:tcPr>
          <w:p>
            <w:pPr>
              <w:spacing w:after="20"/>
            </w:pPr>
            <w:r>
              <w:rPr>
                <w:b w:val="0"/>
                <w:sz w:val="17"/>
              </w:rPr>
              <w:t>Impact events between sessions — and per NP-FW-EMMC-002 §G only drop_detected: bool and maintenance_alert: bool. Raw series, g-force values, orientation vectors, timestamps and drop counts are all prohibited.</w:t>
            </w:r>
          </w:p>
        </w:tc>
      </w:tr>
      <w:tr>
        <w:tc>
          <w:tcPr>
            <w:tcW w:type="dxa" w:w="2041"/>
          </w:tcPr>
          <w:p>
            <w:pPr>
              <w:spacing w:after="20"/>
            </w:pPr>
            <w:r>
              <w:rPr>
                <w:b/>
                <w:sz w:val="17"/>
              </w:rPr>
              <w:t>Ambient light</w:t>
            </w:r>
          </w:p>
        </w:tc>
        <w:tc>
          <w:tcPr>
            <w:tcW w:type="dxa" w:w="3742"/>
          </w:tcPr>
          <w:p>
            <w:pPr>
              <w:spacing w:after="20"/>
            </w:pPr>
            <w:r>
              <w:rPr>
                <w:b w:val="0"/>
                <w:sz w:val="17"/>
              </w:rPr>
              <w:t>Raw</w:t>
            </w:r>
          </w:p>
        </w:tc>
        <w:tc>
          <w:tcPr>
            <w:tcW w:type="dxa" w:w="3742"/>
          </w:tcPr>
          <w:p>
            <w:pPr>
              <w:spacing w:after="20"/>
            </w:pPr>
            <w:r>
              <w:rPr>
                <w:b w:val="0"/>
                <w:sz w:val="17"/>
              </w:rPr>
              <w:t>Cumulative UV exposure index</w:t>
            </w:r>
          </w:p>
        </w:tc>
      </w:tr>
      <w:tr>
        <w:tc>
          <w:tcPr>
            <w:tcW w:type="dxa" w:w="2041"/>
          </w:tcPr>
          <w:p>
            <w:pPr>
              <w:spacing w:after="20"/>
            </w:pPr>
            <w:r>
              <w:rPr>
                <w:b/>
                <w:sz w:val="17"/>
              </w:rPr>
              <w:t>Auricular VNS impedance</w:t>
            </w:r>
          </w:p>
        </w:tc>
        <w:tc>
          <w:tcPr>
            <w:tcW w:type="dxa" w:w="3742"/>
          </w:tcPr>
          <w:p>
            <w:pPr>
              <w:spacing w:after="20"/>
            </w:pPr>
            <w:r>
              <w:rPr>
                <w:b w:val="0"/>
                <w:sz w:val="17"/>
              </w:rPr>
              <w:t>Raw</w:t>
            </w:r>
          </w:p>
        </w:tc>
        <w:tc>
          <w:tcPr>
            <w:tcW w:type="dxa" w:w="3742"/>
          </w:tcPr>
          <w:p>
            <w:pPr>
              <w:spacing w:after="20"/>
            </w:pPr>
            <w:r>
              <w:rPr>
                <w:b w:val="0"/>
                <w:sz w:val="17"/>
              </w:rPr>
              <w:t>Contact resistance trend</w:t>
            </w:r>
          </w:p>
        </w:tc>
      </w:tr>
      <w:tr>
        <w:tc>
          <w:tcPr>
            <w:tcW w:type="dxa" w:w="2041"/>
          </w:tcPr>
          <w:p>
            <w:pPr>
              <w:spacing w:after="20"/>
            </w:pPr>
            <w:r>
              <w:rPr>
                <w:b/>
                <w:sz w:val="17"/>
              </w:rPr>
              <w:t>Session count</w:t>
            </w:r>
          </w:p>
        </w:tc>
        <w:tc>
          <w:tcPr>
            <w:tcW w:type="dxa" w:w="3742"/>
          </w:tcPr>
          <w:p>
            <w:pPr>
              <w:spacing w:after="20"/>
            </w:pPr>
            <w:r>
              <w:rPr>
                <w:b w:val="0"/>
                <w:sz w:val="17"/>
              </w:rPr>
              <w:t>Session timestamps</w:t>
            </w:r>
          </w:p>
        </w:tc>
        <w:tc>
          <w:tcPr>
            <w:tcW w:type="dxa" w:w="3742"/>
          </w:tcPr>
          <w:p>
            <w:pPr>
              <w:spacing w:after="20"/>
            </w:pPr>
            <w:r>
              <w:rPr>
                <w:b w:val="0"/>
                <w:sz w:val="17"/>
              </w:rPr>
              <w:t>Unsigned integer count, no timestamps</w:t>
            </w:r>
          </w:p>
        </w:tc>
      </w:tr>
      <w:tr>
        <w:tc>
          <w:tcPr>
            <w:tcW w:type="dxa" w:w="2041"/>
          </w:tcPr>
          <w:p>
            <w:pPr>
              <w:spacing w:after="20"/>
            </w:pPr>
            <w:r>
              <w:rPr>
                <w:b/>
                <w:sz w:val="17"/>
              </w:rPr>
              <w:t>Cervical VNS per-electrode impedance (OI-CVNS-HUB-11)</w:t>
            </w:r>
          </w:p>
        </w:tc>
        <w:tc>
          <w:tcPr>
            <w:tcW w:type="dxa" w:w="3742"/>
          </w:tcPr>
          <w:p>
            <w:pPr>
              <w:spacing w:after="20"/>
            </w:pPr>
            <w:r>
              <w:rPr>
                <w:b w:val="0"/>
                <w:sz w:val="17"/>
              </w:rPr>
              <w:t>Raw tissue impedance in kΩ. Transferred device-internally (safety MCU → hub) for cross-validation only.</w:t>
            </w:r>
          </w:p>
        </w:tc>
        <w:tc>
          <w:tcPr>
            <w:tcW w:type="dxa" w:w="3742"/>
          </w:tcPr>
          <w:p>
            <w:pPr>
              <w:spacing w:after="20"/>
            </w:pPr>
            <w:r>
              <w:rPr>
                <w:b w:val="0"/>
                <w:sz w:val="17"/>
              </w:rPr>
              <w:t>The hub-vs-MCU divergence FLAG only (NP_CVNS_SHDR_EV_IMP_CROSSVAL, no kΩ values, timestamp suppressed). Raw kΩ is NEVER written to SHDR.</w:t>
            </w:r>
          </w:p>
        </w:tc>
      </w:tr>
      <w:tr>
        <w:tc>
          <w:tcPr>
            <w:tcW w:type="dxa" w:w="2041"/>
          </w:tcPr>
          <w:p>
            <w:pPr>
              <w:spacing w:after="20"/>
            </w:pPr>
            <w:r>
              <w:rPr>
                <w:b/>
                <w:sz w:val="17"/>
              </w:rPr>
              <w:t>Research anonymization pipeline failed_step</w:t>
            </w:r>
          </w:p>
        </w:tc>
        <w:tc>
          <w:tcPr>
            <w:tcW w:type="dxa" w:w="3742"/>
          </w:tcPr>
          <w:p>
            <w:pPr>
              <w:spacing w:after="20"/>
            </w:pPr>
            <w:r>
              <w:rPr>
                <w:b w:val="0"/>
                <w:sz w:val="17"/>
              </w:rPr>
              <w:t>UHDR / app-side only — it drives the user retry prompt. A per-device count of validate failures weakly signals the wearer is a re-identification outlier (a small anonymity set), which is health-adjacent under WA MHMD and GDPR Art. 9.</w:t>
            </w:r>
          </w:p>
        </w:tc>
        <w:tc>
          <w:tcPr>
            <w:tcW w:type="dxa" w:w="3742"/>
          </w:tcPr>
          <w:p>
            <w:pPr>
              <w:spacing w:after="20"/>
            </w:pPr>
            <w:r>
              <w:rPr>
                <w:b w:val="0"/>
                <w:sz w:val="17"/>
              </w:rPr>
              <w:t>If a device-health signal is needed at all, only a coarse anonymization_failed: bool without the stage.</w:t>
            </w:r>
          </w:p>
        </w:tc>
      </w:tr>
      <w:tr>
        <w:tc>
          <w:tcPr>
            <w:tcW w:type="dxa" w:w="2041"/>
          </w:tcPr>
          <w:p>
            <w:pPr>
              <w:spacing w:after="20"/>
            </w:pPr>
            <w:r>
              <w:rPr>
                <w:b/>
                <w:sz w:val="17"/>
              </w:rPr>
              <w:t>Safety-MCU fault latch</w:t>
            </w:r>
          </w:p>
        </w:tc>
        <w:tc>
          <w:tcPr>
            <w:tcW w:type="dxa" w:w="3742"/>
          </w:tcPr>
          <w:p>
            <w:pPr>
              <w:spacing w:after="20"/>
            </w:pPr>
            <w:r>
              <w:rPr>
                <w:b w:val="0"/>
                <w:sz w:val="17"/>
              </w:rPr>
              <w:t>—</w:t>
            </w:r>
          </w:p>
        </w:tc>
        <w:tc>
          <w:tcPr>
            <w:tcW w:type="dxa" w:w="3742"/>
          </w:tcPr>
          <w:p>
            <w:pPr>
              <w:spacing w:after="20"/>
            </w:pPr>
            <w:r>
              <w:rPr>
                <w:b w:val="0"/>
                <w:sz w:val="17"/>
              </w:rPr>
              <w:t>count (distinct-fault-transition tally) unconditionally. tick_ms in general — but SUPPRESSED to 0 when the latched fault carries NP_SAFETY_STATUS_CARDIAC, because a CVNS cardiac cutoff co-locates the event time with a UHDR-class health event. Enforced by np_fault_latch_report_tick_ms() / _report_count(); a future read command must marshal through these, not read s_latch directly.</w:t>
            </w:r>
          </w:p>
        </w:tc>
      </w:tr>
    </w:tbl>
    <w:p>
      <w:pPr>
        <w:spacing w:after="40"/>
      </w:pPr>
    </w:p>
    <w:p>
      <w:pPr>
        <w:spacing w:after="100"/>
      </w:pPr>
      <w:r>
        <w:rPr>
          <w:b w:val="0"/>
          <w:i w:val="0"/>
          <w:sz w:val="19"/>
        </w:rPr>
        <w:t>Research data anonymization (locked). All anonymization occurs on-device within the NeurOne app before any data leaves the device. NeurOne cannot access raw UHDR at any point. Per-study flow: (1) NeurOne sends a cryptographically signed study descriptor; (2) the app reads the encrypted UHDR partition in-app and applies on-device transformations (k ≥ 10, date rounding ≥ 1 week, direct identifier removal, quasi-identifier suppression); (3) only the pre-anonymized signed extract is transmitted; (4) no persistent per-user anonymized store; (5) no linkage table exists. Consent withdrawal permanently blocks the device from processing future study descriptors, for any data period including sessions predating withdrawal. Already-published extracts cannot be individually removed — the irreversibility notice is given at the L3 blanket consent screen AND at each per-project invitation. Planned upgrade: NP-FW-ANON-001 adds l-diversity (l ≥ 3) and differential privacy (ε ≤ 1.0), with external DP reviewer sign-off, before the first study descriptor is deployed.</w:t>
      </w:r>
    </w:p>
    <w:p>
      <w:pPr>
        <w:pStyle w:val="Heading1"/>
        <w:spacing w:before="240" w:after="80"/>
      </w:pPr>
      <w:r>
        <w:t>3. Clinical Consent Engine</w:t>
      </w:r>
    </w:p>
    <w:p>
      <w:pPr>
        <w:pStyle w:val="Heading2"/>
        <w:spacing w:before="160" w:after="80"/>
      </w:pPr>
      <w:r>
        <w:t>3.1 Two consent subjects (locked 2026-06-16)</w:t>
      </w:r>
    </w:p>
    <w:p>
      <w:pPr>
        <w:spacing w:after="100"/>
      </w:pPr>
      <w:r>
        <w:rPr>
          <w:b w:val="0"/>
          <w:i w:val="0"/>
          <w:sz w:val="19"/>
        </w:rPr>
        <w:t>NeurOne has two distinct consent subjects that must never be conflated. A clinic that registers a device warranty has NOT consented on behalf of any patient; a patient using a clinic-owned device has independent ConsentStore state. The two gates are code-structurally independent — SHDRUploader holds no reference to ConsentStore.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D9E2F3"/>
          </w:tcPr>
          <w:p>
            <w:pPr>
              <w:spacing w:after="20"/>
            </w:pPr>
            <w:r>
              <w:rPr>
                <w:b/>
                <w:sz w:val="17"/>
              </w:rPr>
              <w:t>Subject</w:t>
            </w:r>
          </w:p>
        </w:tc>
        <w:tc>
          <w:tcPr>
            <w:tcW w:type="dxa" w:w="2381"/>
            <w:shd w:val="clear" w:color="auto" w:fill="D9E2F3"/>
          </w:tcPr>
          <w:p>
            <w:pPr>
              <w:spacing w:after="20"/>
            </w:pPr>
            <w:r>
              <w:rPr>
                <w:b/>
                <w:sz w:val="17"/>
              </w:rPr>
              <w:t>Data</w:t>
            </w:r>
          </w:p>
        </w:tc>
        <w:tc>
          <w:tcPr>
            <w:tcW w:type="dxa" w:w="2154"/>
            <w:shd w:val="clear" w:color="auto" w:fill="D9E2F3"/>
          </w:tcPr>
          <w:p>
            <w:pPr>
              <w:spacing w:after="20"/>
            </w:pPr>
            <w:r>
              <w:rPr>
                <w:b/>
                <w:sz w:val="17"/>
              </w:rPr>
              <w:t>Consent granted at</w:t>
            </w:r>
          </w:p>
        </w:tc>
        <w:tc>
          <w:tcPr>
            <w:tcW w:type="dxa" w:w="3288"/>
            <w:shd w:val="clear" w:color="auto" w:fill="D9E2F3"/>
          </w:tcPr>
          <w:p>
            <w:pPr>
              <w:spacing w:after="20"/>
            </w:pPr>
            <w:r>
              <w:rPr>
                <w:b/>
                <w:sz w:val="17"/>
              </w:rPr>
              <w:t>Managed by</w:t>
            </w:r>
          </w:p>
        </w:tc>
      </w:tr>
      <w:tr>
        <w:tc>
          <w:tcPr>
            <w:tcW w:type="dxa" w:w="1701"/>
          </w:tcPr>
          <w:p>
            <w:pPr>
              <w:spacing w:after="20"/>
            </w:pPr>
            <w:r>
              <w:rPr>
                <w:b/>
                <w:sz w:val="17"/>
              </w:rPr>
              <w:t>Warranty owner</w:t>
            </w:r>
          </w:p>
        </w:tc>
        <w:tc>
          <w:tcPr>
            <w:tcW w:type="dxa" w:w="2381"/>
          </w:tcPr>
          <w:p>
            <w:pPr>
              <w:spacing w:after="20"/>
            </w:pPr>
            <w:r>
              <w:rPr>
                <w:b w:val="0"/>
                <w:sz w:val="17"/>
              </w:rPr>
              <w:t>SHDR fleet telemetry only</w:t>
            </w:r>
          </w:p>
        </w:tc>
        <w:tc>
          <w:tcPr>
            <w:tcW w:type="dxa" w:w="2154"/>
          </w:tcPr>
          <w:p>
            <w:pPr>
              <w:spacing w:after="20"/>
            </w:pPr>
            <w:r>
              <w:rPr>
                <w:b w:val="0"/>
                <w:sz w:val="17"/>
              </w:rPr>
              <w:t>Device warranty registration</w:t>
            </w:r>
          </w:p>
        </w:tc>
        <w:tc>
          <w:tcPr>
            <w:tcW w:type="dxa" w:w="3288"/>
          </w:tcPr>
          <w:p>
            <w:pPr>
              <w:spacing w:after="20"/>
            </w:pPr>
            <w:r>
              <w:rPr>
                <w:b w:val="0"/>
                <w:sz w:val="17"/>
              </w:rPr>
              <w:t>SHDRUploader, gated by WarrantyAnalyticsGate (opaque token, no user identity)</w:t>
            </w:r>
          </w:p>
        </w:tc>
      </w:tr>
      <w:tr>
        <w:tc>
          <w:tcPr>
            <w:tcW w:type="dxa" w:w="1701"/>
          </w:tcPr>
          <w:p>
            <w:pPr>
              <w:spacing w:after="20"/>
            </w:pPr>
            <w:r>
              <w:rPr>
                <w:b/>
                <w:sz w:val="17"/>
              </w:rPr>
              <w:t>User</w:t>
            </w:r>
          </w:p>
        </w:tc>
        <w:tc>
          <w:tcPr>
            <w:tcW w:type="dxa" w:w="2381"/>
          </w:tcPr>
          <w:p>
            <w:pPr>
              <w:spacing w:after="20"/>
            </w:pPr>
            <w:r>
              <w:rPr>
                <w:b w:val="0"/>
                <w:sz w:val="17"/>
              </w:rPr>
              <w:t>UHDR — EEG, HRV, PBM dose, adaptation events</w:t>
            </w:r>
          </w:p>
        </w:tc>
        <w:tc>
          <w:tcPr>
            <w:tcW w:type="dxa" w:w="2154"/>
          </w:tcPr>
          <w:p>
            <w:pPr>
              <w:spacing w:after="20"/>
            </w:pPr>
            <w:r>
              <w:rPr>
                <w:b w:val="0"/>
                <w:sz w:val="17"/>
              </w:rPr>
              <w:t>Per-user research consent flow (L1–L4)</w:t>
            </w:r>
          </w:p>
        </w:tc>
        <w:tc>
          <w:tcPr>
            <w:tcW w:type="dxa" w:w="3288"/>
          </w:tcPr>
          <w:p>
            <w:pPr>
              <w:spacing w:after="20"/>
            </w:pPr>
            <w:r>
              <w:rPr>
                <w:b w:val="0"/>
                <w:sz w:val="17"/>
              </w:rPr>
              <w:t>ConsentStore, per user, on-device; manages ResearchAnalyticsGate</w:t>
            </w:r>
          </w:p>
        </w:tc>
      </w:tr>
    </w:tbl>
    <w:p>
      <w:pPr>
        <w:spacing w:after="40"/>
      </w:pPr>
    </w:p>
    <w:p>
      <w:pPr>
        <w:spacing w:after="100"/>
      </w:pPr>
      <w:r>
        <w:rPr>
          <w:b w:val="0"/>
          <w:i w:val="0"/>
          <w:sz w:val="19"/>
        </w:rPr>
        <w:t>Withdrawal scoping: withdrawing from a specific study or category stops that data flow only, and leaves app analytics untouched. Withdrawing blanket research consent (L3) stops ALL research data flows AND tears down research analytics — ConsentStore.withdrawBlanketResearchConsent() calls revokeResearchAnalytics() — because blanket withdrawal signals the user wants no data collection beyond basic device function. Revoking warranty consent has no effect on research participation, and vice versa.</w:t>
      </w:r>
    </w:p>
    <w:p>
      <w:pPr>
        <w:pStyle w:val="Heading2"/>
        <w:spacing w:before="160" w:after="80"/>
      </w:pPr>
      <w:r>
        <w:t>3.2 Clinician subscription tiers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361"/>
            <w:shd w:val="clear" w:color="auto" w:fill="D9E2F3"/>
          </w:tcPr>
          <w:p>
            <w:pPr>
              <w:spacing w:after="20"/>
            </w:pPr>
            <w:r>
              <w:rPr>
                <w:b/>
                <w:sz w:val="17"/>
              </w:rPr>
              <w:t>Tier</w:t>
            </w:r>
          </w:p>
        </w:tc>
        <w:tc>
          <w:tcPr>
            <w:tcW w:type="dxa" w:w="1474"/>
            <w:shd w:val="clear" w:color="auto" w:fill="D9E2F3"/>
          </w:tcPr>
          <w:p>
            <w:pPr>
              <w:spacing w:after="20"/>
            </w:pPr>
            <w:r>
              <w:rPr>
                <w:b/>
                <w:sz w:val="17"/>
              </w:rPr>
              <w:t>Price</w:t>
            </w:r>
          </w:p>
        </w:tc>
        <w:tc>
          <w:tcPr>
            <w:tcW w:type="dxa" w:w="2381"/>
            <w:shd w:val="clear" w:color="auto" w:fill="D9E2F3"/>
          </w:tcPr>
          <w:p>
            <w:pPr>
              <w:spacing w:after="20"/>
            </w:pPr>
            <w:r>
              <w:rPr>
                <w:b/>
                <w:sz w:val="17"/>
              </w:rPr>
              <w:t>Use cases</w:t>
            </w:r>
          </w:p>
        </w:tc>
        <w:tc>
          <w:tcPr>
            <w:tcW w:type="dxa" w:w="2494"/>
            <w:shd w:val="clear" w:color="auto" w:fill="D9E2F3"/>
          </w:tcPr>
          <w:p>
            <w:pPr>
              <w:spacing w:after="20"/>
            </w:pPr>
            <w:r>
              <w:rPr>
                <w:b/>
                <w:sz w:val="17"/>
              </w:rPr>
              <w:t>UHDR elements</w:t>
            </w:r>
          </w:p>
        </w:tc>
        <w:tc>
          <w:tcPr>
            <w:tcW w:type="dxa" w:w="1814"/>
            <w:shd w:val="clear" w:color="auto" w:fill="D9E2F3"/>
          </w:tcPr>
          <w:p>
            <w:pPr>
              <w:spacing w:after="20"/>
            </w:pPr>
            <w:r>
              <w:rPr>
                <w:b/>
                <w:sz w:val="17"/>
              </w:rPr>
              <w:t>Target clinician</w:t>
            </w:r>
          </w:p>
        </w:tc>
      </w:tr>
      <w:tr>
        <w:tc>
          <w:tcPr>
            <w:tcW w:type="dxa" w:w="1361"/>
          </w:tcPr>
          <w:p>
            <w:pPr>
              <w:spacing w:after="20"/>
            </w:pPr>
            <w:r>
              <w:rPr>
                <w:b/>
                <w:sz w:val="17"/>
              </w:rPr>
              <w:t>Monitor</w:t>
            </w:r>
          </w:p>
        </w:tc>
        <w:tc>
          <w:tcPr>
            <w:tcW w:type="dxa" w:w="1474"/>
          </w:tcPr>
          <w:p>
            <w:pPr>
              <w:spacing w:after="20"/>
            </w:pPr>
            <w:r>
              <w:rPr>
                <w:b w:val="0"/>
                <w:sz w:val="17"/>
              </w:rPr>
              <w:t>$49/mo/patient</w:t>
            </w:r>
          </w:p>
        </w:tc>
        <w:tc>
          <w:tcPr>
            <w:tcW w:type="dxa" w:w="2381"/>
          </w:tcPr>
          <w:p>
            <w:pPr>
              <w:spacing w:after="20"/>
            </w:pPr>
            <w:r>
              <w:rPr>
                <w:b w:val="0"/>
                <w:sz w:val="17"/>
              </w:rPr>
              <w:t>Adherence monitoring, protocol compliance</w:t>
            </w:r>
          </w:p>
        </w:tc>
        <w:tc>
          <w:tcPr>
            <w:tcW w:type="dxa" w:w="2494"/>
          </w:tcPr>
          <w:p>
            <w:pPr>
              <w:spacing w:after="20"/>
            </w:pPr>
            <w:r>
              <w:rPr>
                <w:b w:val="0"/>
                <w:sz w:val="17"/>
              </w:rPr>
              <w:t>Session timestamps, duration, protocol parameters</w:t>
            </w:r>
          </w:p>
        </w:tc>
        <w:tc>
          <w:tcPr>
            <w:tcW w:type="dxa" w:w="1814"/>
          </w:tcPr>
          <w:p>
            <w:pPr>
              <w:spacing w:after="20"/>
            </w:pPr>
            <w:r>
              <w:rPr>
                <w:b w:val="0"/>
                <w:sz w:val="17"/>
              </w:rPr>
              <w:t>Primary care, wellness, coordinators</w:t>
            </w:r>
          </w:p>
        </w:tc>
      </w:tr>
      <w:tr>
        <w:tc>
          <w:tcPr>
            <w:tcW w:type="dxa" w:w="1361"/>
          </w:tcPr>
          <w:p>
            <w:pPr>
              <w:spacing w:after="20"/>
            </w:pPr>
            <w:r>
              <w:rPr>
                <w:b/>
                <w:sz w:val="17"/>
              </w:rPr>
              <w:t>Assess</w:t>
            </w:r>
          </w:p>
        </w:tc>
        <w:tc>
          <w:tcPr>
            <w:tcW w:type="dxa" w:w="1474"/>
          </w:tcPr>
          <w:p>
            <w:pPr>
              <w:spacing w:after="20"/>
            </w:pPr>
            <w:r>
              <w:rPr>
                <w:b w:val="0"/>
                <w:sz w:val="17"/>
              </w:rPr>
              <w:t>$149/mo/patient</w:t>
            </w:r>
          </w:p>
        </w:tc>
        <w:tc>
          <w:tcPr>
            <w:tcW w:type="dxa" w:w="2381"/>
          </w:tcPr>
          <w:p>
            <w:pPr>
              <w:spacing w:after="20"/>
            </w:pPr>
            <w:r>
              <w:rPr>
                <w:b w:val="0"/>
                <w:sz w:val="17"/>
              </w:rPr>
              <w:t>All Monitor + EEG review, neurofeedback, efficacy</w:t>
            </w:r>
          </w:p>
        </w:tc>
        <w:tc>
          <w:tcPr>
            <w:tcW w:type="dxa" w:w="2494"/>
          </w:tcPr>
          <w:p>
            <w:pPr>
              <w:spacing w:after="20"/>
            </w:pPr>
            <w:r>
              <w:rPr>
                <w:b w:val="0"/>
                <w:sz w:val="17"/>
              </w:rPr>
              <w:t>Adds EEG waveforms, neurofeedback scores, dose logs</w:t>
            </w:r>
          </w:p>
        </w:tc>
        <w:tc>
          <w:tcPr>
            <w:tcW w:type="dxa" w:w="1814"/>
          </w:tcPr>
          <w:p>
            <w:pPr>
              <w:spacing w:after="20"/>
            </w:pPr>
            <w:r>
              <w:rPr>
                <w:b w:val="0"/>
                <w:sz w:val="17"/>
              </w:rPr>
              <w:t>Neurologists, psychiatrists</w:t>
            </w:r>
          </w:p>
        </w:tc>
      </w:tr>
      <w:tr>
        <w:tc>
          <w:tcPr>
            <w:tcW w:type="dxa" w:w="1361"/>
          </w:tcPr>
          <w:p>
            <w:pPr>
              <w:spacing w:after="20"/>
            </w:pPr>
            <w:r>
              <w:rPr>
                <w:b/>
                <w:sz w:val="17"/>
              </w:rPr>
              <w:t>Full Clinical</w:t>
            </w:r>
          </w:p>
        </w:tc>
        <w:tc>
          <w:tcPr>
            <w:tcW w:type="dxa" w:w="1474"/>
          </w:tcPr>
          <w:p>
            <w:pPr>
              <w:spacing w:after="20"/>
            </w:pPr>
            <w:r>
              <w:rPr>
                <w:b w:val="0"/>
                <w:sz w:val="17"/>
              </w:rPr>
              <w:t>$299/mo/patient</w:t>
            </w:r>
          </w:p>
        </w:tc>
        <w:tc>
          <w:tcPr>
            <w:tcW w:type="dxa" w:w="2381"/>
          </w:tcPr>
          <w:p>
            <w:pPr>
              <w:spacing w:after="20"/>
            </w:pPr>
            <w:r>
              <w:rPr>
                <w:b w:val="0"/>
                <w:sz w:val="17"/>
              </w:rPr>
              <w:t>All Assess + HRV, closed-loop events, outcomes</w:t>
            </w:r>
          </w:p>
        </w:tc>
        <w:tc>
          <w:tcPr>
            <w:tcW w:type="dxa" w:w="2494"/>
          </w:tcPr>
          <w:p>
            <w:pPr>
              <w:spacing w:after="20"/>
            </w:pPr>
            <w:r>
              <w:rPr>
                <w:b w:val="0"/>
                <w:sz w:val="17"/>
              </w:rPr>
              <w:t>Adds HRV, PPG, adaptation events, outcome logs</w:t>
            </w:r>
          </w:p>
        </w:tc>
        <w:tc>
          <w:tcPr>
            <w:tcW w:type="dxa" w:w="1814"/>
          </w:tcPr>
          <w:p>
            <w:pPr>
              <w:spacing w:after="20"/>
            </w:pPr>
            <w:r>
              <w:rPr>
                <w:b w:val="0"/>
                <w:sz w:val="17"/>
              </w:rPr>
              <w:t>TMS clinics, neuromodulation programmes</w:t>
            </w:r>
          </w:p>
        </w:tc>
      </w:tr>
      <w:tr>
        <w:tc>
          <w:tcPr>
            <w:tcW w:type="dxa" w:w="1361"/>
          </w:tcPr>
          <w:p>
            <w:pPr>
              <w:spacing w:after="20"/>
            </w:pPr>
            <w:r>
              <w:rPr>
                <w:b/>
                <w:sz w:val="17"/>
              </w:rPr>
              <w:t>Research</w:t>
            </w:r>
          </w:p>
        </w:tc>
        <w:tc>
          <w:tcPr>
            <w:tcW w:type="dxa" w:w="1474"/>
          </w:tcPr>
          <w:p>
            <w:pPr>
              <w:spacing w:after="20"/>
            </w:pPr>
            <w:r>
              <w:rPr>
                <w:b w:val="0"/>
                <w:sz w:val="17"/>
              </w:rPr>
              <w:t>$599/mo/study</w:t>
            </w:r>
          </w:p>
        </w:tc>
        <w:tc>
          <w:tcPr>
            <w:tcW w:type="dxa" w:w="2381"/>
          </w:tcPr>
          <w:p>
            <w:pPr>
              <w:spacing w:after="20"/>
            </w:pPr>
            <w:r>
              <w:rPr>
                <w:b w:val="0"/>
                <w:sz w:val="17"/>
              </w:rPr>
              <w:t>IRB-defined custom (NeurOne review required)</w:t>
            </w:r>
          </w:p>
        </w:tc>
        <w:tc>
          <w:tcPr>
            <w:tcW w:type="dxa" w:w="2494"/>
          </w:tcPr>
          <w:p>
            <w:pPr>
              <w:spacing w:after="20"/>
            </w:pPr>
            <w:r>
              <w:rPr>
                <w:b w:val="0"/>
                <w:sz w:val="17"/>
              </w:rPr>
              <w:t>IRB-approved minimum, k ≥ 10 anonymization, no IDs</w:t>
            </w:r>
          </w:p>
        </w:tc>
        <w:tc>
          <w:tcPr>
            <w:tcW w:type="dxa" w:w="1814"/>
          </w:tcPr>
          <w:p>
            <w:pPr>
              <w:spacing w:after="20"/>
            </w:pPr>
            <w:r>
              <w:rPr>
                <w:b w:val="0"/>
                <w:sz w:val="17"/>
              </w:rPr>
              <w:t>Academic trials, observational studies</w:t>
            </w:r>
          </w:p>
        </w:tc>
      </w:tr>
    </w:tbl>
    <w:p>
      <w:pPr>
        <w:spacing w:after="40"/>
      </w:pPr>
    </w:p>
    <w:p>
      <w:pPr>
        <w:spacing w:after="100"/>
      </w:pPr>
      <w:r>
        <w:rPr>
          <w:b w:val="0"/>
          <w:i w:val="0"/>
          <w:sz w:val="19"/>
        </w:rPr>
        <w:t>Key principle: clinicians select use cases, not data elements. The system determines the minimum necessary UHDR elements. Users receive a plain-language decision support document listing what the clinician CAN learn, CANNOT learn, and the privacy implications per element. Retroactive and prospective access are presented as separate consent decisions even when made simultaneously.</w:t>
      </w:r>
    </w:p>
    <w:p>
      <w:pPr>
        <w:pStyle w:val="Heading2"/>
        <w:spacing w:before="160" w:after="80"/>
      </w:pPr>
      <w:r>
        <w:t>3.3 A priori research consent — four onboarding screens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74"/>
            <w:shd w:val="clear" w:color="auto" w:fill="D9E2F3"/>
          </w:tcPr>
          <w:p>
            <w:pPr>
              <w:spacing w:after="20"/>
            </w:pPr>
            <w:r>
              <w:rPr>
                <w:b/>
                <w:sz w:val="17"/>
              </w:rPr>
              <w:t>Layer</w:t>
            </w:r>
          </w:p>
        </w:tc>
        <w:tc>
          <w:tcPr>
            <w:tcW w:type="dxa" w:w="2494"/>
            <w:shd w:val="clear" w:color="auto" w:fill="D9E2F3"/>
          </w:tcPr>
          <w:p>
            <w:pPr>
              <w:spacing w:after="20"/>
            </w:pPr>
            <w:r>
              <w:rPr>
                <w:b/>
                <w:sz w:val="17"/>
              </w:rPr>
              <w:t>Question</w:t>
            </w:r>
          </w:p>
        </w:tc>
        <w:tc>
          <w:tcPr>
            <w:tcW w:type="dxa" w:w="3061"/>
            <w:shd w:val="clear" w:color="auto" w:fill="D9E2F3"/>
          </w:tcPr>
          <w:p>
            <w:pPr>
              <w:spacing w:after="20"/>
            </w:pPr>
            <w:r>
              <w:rPr>
                <w:b/>
                <w:sz w:val="17"/>
              </w:rPr>
              <w:t>If yes</w:t>
            </w:r>
          </w:p>
        </w:tc>
        <w:tc>
          <w:tcPr>
            <w:tcW w:type="dxa" w:w="2494"/>
            <w:shd w:val="clear" w:color="auto" w:fill="D9E2F3"/>
          </w:tcPr>
          <w:p>
            <w:pPr>
              <w:spacing w:after="20"/>
            </w:pPr>
            <w:r>
              <w:rPr>
                <w:b/>
                <w:sz w:val="17"/>
              </w:rPr>
              <w:t>If no</w:t>
            </w:r>
          </w:p>
        </w:tc>
      </w:tr>
      <w:tr>
        <w:tc>
          <w:tcPr>
            <w:tcW w:type="dxa" w:w="1474"/>
          </w:tcPr>
          <w:p>
            <w:pPr>
              <w:spacing w:after="20"/>
            </w:pPr>
            <w:r>
              <w:rPr>
                <w:b/>
                <w:sz w:val="17"/>
              </w:rPr>
              <w:t>L1 — Contact</w:t>
            </w:r>
          </w:p>
        </w:tc>
        <w:tc>
          <w:tcPr>
            <w:tcW w:type="dxa" w:w="2494"/>
          </w:tcPr>
          <w:p>
            <w:pPr>
              <w:spacing w:after="20"/>
            </w:pPr>
            <w:r>
              <w:rPr>
                <w:b w:val="0"/>
                <w:sz w:val="17"/>
              </w:rPr>
              <w:t>Can we reach you about future research opportunities?</w:t>
            </w:r>
          </w:p>
        </w:tc>
        <w:tc>
          <w:tcPr>
            <w:tcW w:type="dxa" w:w="3061"/>
          </w:tcPr>
          <w:p>
            <w:pPr>
              <w:spacing w:after="20"/>
            </w:pPr>
            <w:r>
              <w:rPr>
                <w:b w:val="0"/>
                <w:sz w:val="17"/>
              </w:rPr>
              <w:t>Contact method + frequency limit. POA holders upload an executed healthcare POA — human review, 3 business days, jurisdiction-flagged, annual re-verification (NP-PROC-POA-001).</w:t>
            </w:r>
          </w:p>
        </w:tc>
        <w:tc>
          <w:tcPr>
            <w:tcW w:type="dxa" w:w="2494"/>
          </w:tcPr>
          <w:p>
            <w:pPr>
              <w:spacing w:after="20"/>
            </w:pPr>
            <w:r>
              <w:rPr>
                <w:b w:val="0"/>
                <w:sz w:val="17"/>
              </w:rPr>
              <w:t>No contact. All features unchanged.</w:t>
            </w:r>
          </w:p>
        </w:tc>
      </w:tr>
      <w:tr>
        <w:tc>
          <w:tcPr>
            <w:tcW w:type="dxa" w:w="1474"/>
          </w:tcPr>
          <w:p>
            <w:pPr>
              <w:spacing w:after="20"/>
            </w:pPr>
            <w:r>
              <w:rPr>
                <w:b/>
                <w:sz w:val="17"/>
              </w:rPr>
              <w:t>L2 — Category</w:t>
            </w:r>
          </w:p>
        </w:tc>
        <w:tc>
          <w:tcPr>
            <w:tcW w:type="dxa" w:w="2494"/>
          </w:tcPr>
          <w:p>
            <w:pPr>
              <w:spacing w:after="20"/>
            </w:pPr>
            <w:r>
              <w:rPr>
                <w:b w:val="0"/>
                <w:sz w:val="17"/>
              </w:rPr>
              <w:t>Which research areas? (9: AD/dementia, depression, PTSD, TBI, sleep, attention, Parkinson's, healthy ageing, visual health)</w:t>
            </w:r>
          </w:p>
        </w:tc>
        <w:tc>
          <w:tcPr>
            <w:tcW w:type="dxa" w:w="3061"/>
          </w:tcPr>
          <w:p>
            <w:pPr>
              <w:spacing w:after="20"/>
            </w:pPr>
            <w:r>
              <w:rPr>
                <w:b w:val="0"/>
                <w:sz w:val="17"/>
              </w:rPr>
              <w:t>Per-project contact for selected categories only. Each project is a fresh decision.</w:t>
            </w:r>
          </w:p>
        </w:tc>
        <w:tc>
          <w:tcPr>
            <w:tcW w:type="dxa" w:w="2494"/>
          </w:tcPr>
          <w:p>
            <w:pPr>
              <w:spacing w:after="20"/>
            </w:pPr>
            <w:r>
              <w:rPr>
                <w:b w:val="0"/>
                <w:sz w:val="17"/>
              </w:rPr>
              <w:t>Not contacted for that category.</w:t>
            </w:r>
          </w:p>
        </w:tc>
      </w:tr>
      <w:tr>
        <w:tc>
          <w:tcPr>
            <w:tcW w:type="dxa" w:w="1474"/>
          </w:tcPr>
          <w:p>
            <w:pPr>
              <w:spacing w:after="20"/>
            </w:pPr>
            <w:r>
              <w:rPr>
                <w:b/>
                <w:sz w:val="17"/>
              </w:rPr>
              <w:t>L3 — Blanket</w:t>
            </w:r>
          </w:p>
        </w:tc>
        <w:tc>
          <w:tcPr>
            <w:tcW w:type="dxa" w:w="2494"/>
          </w:tcPr>
          <w:p>
            <w:pPr>
              <w:spacing w:after="20"/>
            </w:pPr>
            <w:r>
              <w:rPr>
                <w:b w:val="0"/>
                <w:sz w:val="17"/>
              </w:rPr>
              <w:t>Pre-approve all NeurOne-reviewed research?</w:t>
            </w:r>
          </w:p>
        </w:tc>
        <w:tc>
          <w:tcPr>
            <w:tcW w:type="dxa" w:w="3061"/>
          </w:tcPr>
          <w:p>
            <w:pPr>
              <w:spacing w:after="20"/>
            </w:pPr>
            <w:r>
              <w:rPr>
                <w:b w:val="0"/>
                <w:sz w:val="17"/>
              </w:rPr>
              <w:t>Data included in all studies; still receives per-study engagement notifications (not consent requests). Irreversibility notice displayed at this screen.</w:t>
            </w:r>
          </w:p>
        </w:tc>
        <w:tc>
          <w:tcPr>
            <w:tcW w:type="dxa" w:w="2494"/>
          </w:tcPr>
          <w:p>
            <w:pPr>
              <w:spacing w:after="20"/>
            </w:pPr>
            <w:r>
              <w:rPr>
                <w:b w:val="0"/>
                <w:sz w:val="17"/>
              </w:rPr>
              <w:t>Per-category and per-project process applies.</w:t>
            </w:r>
          </w:p>
        </w:tc>
      </w:tr>
      <w:tr>
        <w:tc>
          <w:tcPr>
            <w:tcW w:type="dxa" w:w="1474"/>
          </w:tcPr>
          <w:p>
            <w:pPr>
              <w:spacing w:after="20"/>
            </w:pPr>
            <w:r>
              <w:rPr>
                <w:b/>
                <w:sz w:val="17"/>
              </w:rPr>
              <w:t>L4 — Results</w:t>
            </w:r>
          </w:p>
        </w:tc>
        <w:tc>
          <w:tcPr>
            <w:tcW w:type="dxa" w:w="2494"/>
          </w:tcPr>
          <w:p>
            <w:pPr>
              <w:spacing w:after="20"/>
            </w:pPr>
            <w:r>
              <w:rPr>
                <w:b w:val="0"/>
                <w:sz w:val="17"/>
              </w:rPr>
              <w:t>Hear study results? Join the suggestion portal?</w:t>
            </w:r>
          </w:p>
        </w:tc>
        <w:tc>
          <w:tcPr>
            <w:tcW w:type="dxa" w:w="3061"/>
          </w:tcPr>
          <w:p>
            <w:pPr>
              <w:spacing w:after="20"/>
            </w:pPr>
            <w:r>
              <w:rPr>
                <w:b w:val="0"/>
                <w:sz w:val="17"/>
              </w:rPr>
              <w:t>Plain-language results notification per study including null results, plus paper link and access to the suggestion / voting / pledge portal.</w:t>
            </w:r>
          </w:p>
        </w:tc>
        <w:tc>
          <w:tcPr>
            <w:tcW w:type="dxa" w:w="2494"/>
          </w:tcPr>
          <w:p>
            <w:pPr>
              <w:spacing w:after="20"/>
            </w:pPr>
            <w:r>
              <w:rPr>
                <w:b w:val="0"/>
                <w:sz w:val="17"/>
              </w:rPr>
              <w:t>No results contact, no portal.</w:t>
            </w:r>
          </w:p>
        </w:tc>
      </w:tr>
    </w:tbl>
    <w:p>
      <w:pPr>
        <w:spacing w:after="40"/>
      </w:pPr>
    </w:p>
    <w:p>
      <w:pPr>
        <w:spacing w:after="100"/>
      </w:pPr>
      <w:r>
        <w:rPr>
          <w:b w:val="0"/>
          <w:i w:val="0"/>
          <w:sz w:val="19"/>
        </w:rPr>
        <w:t>The research suggestion portal has three functions: a patient research agenda (plain-language study ideas, community voting); a pre-identified subject pool (a "would participate" intent flag creating a pre-screened, device-familiar cohort — recruitment is 40–60% of trial cost and is solved before the grant is written); and a crowdfunding catalyst (pledges are intent, not charges; escrow released to the institution research account only when a researcher confirms pilot feasibility).</w:t>
      </w:r>
    </w:p>
    <w:p>
      <w:pPr>
        <w:pStyle w:val="Heading1"/>
        <w:spacing w:before="240" w:after="80"/>
      </w:pPr>
      <w:r>
        <w:t>4. Configurations + Pricing</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PRICING CAVEAT. </w:t>
            </w:r>
            <w:r>
              <w:rPr>
                <w:sz w:val="19"/>
              </w:rPr>
              <w:t>The BOM and COGS figures below were set before the hex-tile architecture. Two costed deltas are known and NOT yet netted into them: the cluster-controller tier at $114.12 per headset at n = 80 sockets plus roughly +$1.09 on the hub PCB itself (OI-HUB-C08 — the retired five-zone-module drive electronics already inside the $405 Home Standard BOM have not been subtracted), and the L1 electro-mechanical carrier assembly at an estimated +$125–216 per headset (OI-SHELL2-05, EE Lead confirmation required). Retail prices are unchanged and remain locked; the gross-margin column should be read as pre-hex and pending re-costing.</w:t>
            </w:r>
          </w:p>
        </w:tc>
      </w:tr>
    </w:tbl>
    <w:p>
      <w:pPr>
        <w:spacing w:after="40"/>
      </w:pP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color="auto" w:fill="D9E2F3"/>
          </w:tcPr>
          <w:p>
            <w:pPr>
              <w:spacing w:after="20"/>
            </w:pPr>
            <w:r>
              <w:rPr>
                <w:b/>
                <w:sz w:val="17"/>
              </w:rPr>
              <w:t>Config</w:t>
            </w:r>
          </w:p>
        </w:tc>
        <w:tc>
          <w:tcPr>
            <w:tcW w:type="dxa" w:w="1020"/>
            <w:shd w:val="clear" w:color="auto" w:fill="D9E2F3"/>
          </w:tcPr>
          <w:p>
            <w:pPr>
              <w:spacing w:after="20"/>
            </w:pPr>
            <w:r>
              <w:rPr>
                <w:b/>
                <w:sz w:val="17"/>
              </w:rPr>
              <w:t>BOM</w:t>
            </w:r>
          </w:p>
        </w:tc>
        <w:tc>
          <w:tcPr>
            <w:tcW w:type="dxa" w:w="1020"/>
            <w:shd w:val="clear" w:color="auto" w:fill="D9E2F3"/>
          </w:tcPr>
          <w:p>
            <w:pPr>
              <w:spacing w:after="20"/>
            </w:pPr>
            <w:r>
              <w:rPr>
                <w:b/>
                <w:sz w:val="17"/>
              </w:rPr>
              <w:t>COGS</w:t>
            </w:r>
          </w:p>
        </w:tc>
        <w:tc>
          <w:tcPr>
            <w:tcW w:type="dxa" w:w="1020"/>
            <w:shd w:val="clear" w:color="auto" w:fill="D9E2F3"/>
          </w:tcPr>
          <w:p>
            <w:pPr>
              <w:spacing w:after="20"/>
            </w:pPr>
            <w:r>
              <w:rPr>
                <w:b/>
                <w:sz w:val="17"/>
              </w:rPr>
              <w:t>Retail</w:t>
            </w:r>
          </w:p>
        </w:tc>
        <w:tc>
          <w:tcPr>
            <w:tcW w:type="dxa" w:w="680"/>
            <w:shd w:val="clear" w:color="auto" w:fill="D9E2F3"/>
          </w:tcPr>
          <w:p>
            <w:pPr>
              <w:spacing w:after="20"/>
            </w:pPr>
            <w:r>
              <w:rPr>
                <w:b/>
                <w:sz w:val="17"/>
              </w:rPr>
              <w:t>GM%</w:t>
            </w:r>
          </w:p>
        </w:tc>
        <w:tc>
          <w:tcPr>
            <w:tcW w:type="dxa" w:w="4309"/>
            <w:shd w:val="clear" w:color="auto" w:fill="D9E2F3"/>
          </w:tcPr>
          <w:p>
            <w:pPr>
              <w:spacing w:after="20"/>
            </w:pPr>
            <w:r>
              <w:rPr>
                <w:b/>
                <w:sz w:val="17"/>
              </w:rPr>
              <w:t>Modalities included</w:t>
            </w:r>
          </w:p>
        </w:tc>
      </w:tr>
      <w:tr>
        <w:tc>
          <w:tcPr>
            <w:tcW w:type="dxa" w:w="1474"/>
          </w:tcPr>
          <w:p>
            <w:pPr>
              <w:spacing w:after="20"/>
            </w:pPr>
            <w:r>
              <w:rPr>
                <w:b/>
                <w:sz w:val="17"/>
              </w:rPr>
              <w:t>Core — EEG only</w:t>
            </w:r>
          </w:p>
        </w:tc>
        <w:tc>
          <w:tcPr>
            <w:tcW w:type="dxa" w:w="1020"/>
          </w:tcPr>
          <w:p>
            <w:pPr>
              <w:spacing w:after="20"/>
            </w:pPr>
            <w:r>
              <w:rPr>
                <w:b w:val="0"/>
                <w:sz w:val="17"/>
              </w:rPr>
              <w:t>$168–169</w:t>
            </w:r>
          </w:p>
        </w:tc>
        <w:tc>
          <w:tcPr>
            <w:tcW w:type="dxa" w:w="1020"/>
          </w:tcPr>
          <w:p>
            <w:pPr>
              <w:spacing w:after="20"/>
            </w:pPr>
            <w:r>
              <w:rPr>
                <w:b w:val="0"/>
                <w:sz w:val="17"/>
              </w:rPr>
              <w:t>$258–260</w:t>
            </w:r>
          </w:p>
        </w:tc>
        <w:tc>
          <w:tcPr>
            <w:tcW w:type="dxa" w:w="1020"/>
          </w:tcPr>
          <w:p>
            <w:pPr>
              <w:spacing w:after="20"/>
            </w:pPr>
            <w:r>
              <w:rPr>
                <w:b w:val="0"/>
                <w:sz w:val="17"/>
              </w:rPr>
              <w:t>$449</w:t>
            </w:r>
          </w:p>
        </w:tc>
        <w:tc>
          <w:tcPr>
            <w:tcW w:type="dxa" w:w="680"/>
          </w:tcPr>
          <w:p>
            <w:pPr>
              <w:spacing w:after="20"/>
            </w:pPr>
            <w:r>
              <w:rPr>
                <w:b w:val="0"/>
                <w:sz w:val="17"/>
              </w:rPr>
              <w:t>42%</w:t>
            </w:r>
          </w:p>
        </w:tc>
        <w:tc>
          <w:tcPr>
            <w:tcW w:type="dxa" w:w="4309"/>
          </w:tcPr>
          <w:p>
            <w:pPr>
              <w:spacing w:after="20"/>
            </w:pPr>
            <w:r>
              <w:rPr>
                <w:b w:val="0"/>
                <w:sz w:val="17"/>
              </w:rPr>
              <w:t>4-ch EEG · all connectivity · EMF shielding · processor stack · 8GB eMMC · 15W charger</w:t>
            </w:r>
          </w:p>
        </w:tc>
      </w:tr>
      <w:tr>
        <w:tc>
          <w:tcPr>
            <w:tcW w:type="dxa" w:w="1474"/>
          </w:tcPr>
          <w:p>
            <w:pPr>
              <w:spacing w:after="20"/>
            </w:pPr>
            <w:r>
              <w:rPr>
                <w:b/>
                <w:sz w:val="17"/>
              </w:rPr>
              <w:t>Home Lite</w:t>
            </w:r>
          </w:p>
        </w:tc>
        <w:tc>
          <w:tcPr>
            <w:tcW w:type="dxa" w:w="1020"/>
          </w:tcPr>
          <w:p>
            <w:pPr>
              <w:spacing w:after="20"/>
            </w:pPr>
            <w:r>
              <w:rPr>
                <w:b w:val="0"/>
                <w:sz w:val="17"/>
              </w:rPr>
              <w:t>$265–266</w:t>
            </w:r>
          </w:p>
        </w:tc>
        <w:tc>
          <w:tcPr>
            <w:tcW w:type="dxa" w:w="1020"/>
          </w:tcPr>
          <w:p>
            <w:pPr>
              <w:spacing w:after="20"/>
            </w:pPr>
            <w:r>
              <w:rPr>
                <w:b w:val="0"/>
                <w:sz w:val="17"/>
              </w:rPr>
              <w:t>$370–372</w:t>
            </w:r>
          </w:p>
        </w:tc>
        <w:tc>
          <w:tcPr>
            <w:tcW w:type="dxa" w:w="1020"/>
          </w:tcPr>
          <w:p>
            <w:pPr>
              <w:spacing w:after="20"/>
            </w:pPr>
            <w:r>
              <w:rPr>
                <w:b w:val="0"/>
                <w:sz w:val="17"/>
              </w:rPr>
              <w:t>$599</w:t>
            </w:r>
          </w:p>
        </w:tc>
        <w:tc>
          <w:tcPr>
            <w:tcW w:type="dxa" w:w="680"/>
          </w:tcPr>
          <w:p>
            <w:pPr>
              <w:spacing w:after="20"/>
            </w:pPr>
            <w:r>
              <w:rPr>
                <w:b w:val="0"/>
                <w:sz w:val="17"/>
              </w:rPr>
              <w:t>38%</w:t>
            </w:r>
          </w:p>
        </w:tc>
        <w:tc>
          <w:tcPr>
            <w:tcW w:type="dxa" w:w="4309"/>
          </w:tcPr>
          <w:p>
            <w:pPr>
              <w:spacing w:after="20"/>
            </w:pPr>
            <w:r>
              <w:rPr>
                <w:b w:val="0"/>
                <w:sz w:val="17"/>
              </w:rPr>
              <w:t>Core + PBM tiles (660+810 nm) · 8-ch EEG · VNS+HRV clip · 30W GaN charger</w:t>
            </w:r>
          </w:p>
        </w:tc>
      </w:tr>
      <w:tr>
        <w:tc>
          <w:tcPr>
            <w:tcW w:type="dxa" w:w="1474"/>
          </w:tcPr>
          <w:p>
            <w:pPr>
              <w:spacing w:after="20"/>
            </w:pPr>
            <w:r>
              <w:rPr>
                <w:b/>
                <w:sz w:val="17"/>
              </w:rPr>
              <w:t>Home Standard ★</w:t>
            </w:r>
          </w:p>
        </w:tc>
        <w:tc>
          <w:tcPr>
            <w:tcW w:type="dxa" w:w="1020"/>
          </w:tcPr>
          <w:p>
            <w:pPr>
              <w:spacing w:after="20"/>
            </w:pPr>
            <w:r>
              <w:rPr>
                <w:b w:val="0"/>
                <w:sz w:val="17"/>
              </w:rPr>
              <w:t>$405</w:t>
            </w:r>
          </w:p>
        </w:tc>
        <w:tc>
          <w:tcPr>
            <w:tcW w:type="dxa" w:w="1020"/>
          </w:tcPr>
          <w:p>
            <w:pPr>
              <w:spacing w:after="20"/>
            </w:pPr>
            <w:r>
              <w:rPr>
                <w:b w:val="0"/>
                <w:sz w:val="17"/>
              </w:rPr>
              <w:t>$540</w:t>
            </w:r>
          </w:p>
        </w:tc>
        <w:tc>
          <w:tcPr>
            <w:tcW w:type="dxa" w:w="1020"/>
          </w:tcPr>
          <w:p>
            <w:pPr>
              <w:spacing w:after="20"/>
            </w:pPr>
            <w:r>
              <w:rPr>
                <w:b w:val="0"/>
                <w:sz w:val="17"/>
              </w:rPr>
              <w:t>$849</w:t>
            </w:r>
          </w:p>
        </w:tc>
        <w:tc>
          <w:tcPr>
            <w:tcW w:type="dxa" w:w="680"/>
          </w:tcPr>
          <w:p>
            <w:pPr>
              <w:spacing w:after="20"/>
            </w:pPr>
            <w:r>
              <w:rPr>
                <w:b w:val="0"/>
                <w:sz w:val="17"/>
              </w:rPr>
              <w:t>36%</w:t>
            </w:r>
          </w:p>
        </w:tc>
        <w:tc>
          <w:tcPr>
            <w:tcW w:type="dxa" w:w="4309"/>
          </w:tcPr>
          <w:p>
            <w:pPr>
              <w:spacing w:after="20"/>
            </w:pPr>
            <w:r>
              <w:rPr>
                <w:b w:val="0"/>
                <w:sz w:val="17"/>
              </w:rPr>
              <w:t>All T1 modalities · hard clamshell case · braided aramid USB-C cable (spare in box) · 45W NeurOne branded GaN charger · S1 opaque shade · interface covers (installed + spare set each type) · mesh cleaning brush · Boa replacement cable + hook tool · moisture-barrier electrode tip hydration caps · humidity indicator card · pre-impregnated cleaning cloth packets</w:t>
            </w:r>
          </w:p>
        </w:tc>
      </w:tr>
      <w:tr>
        <w:tc>
          <w:tcPr>
            <w:tcW w:type="dxa" w:w="1474"/>
          </w:tcPr>
          <w:p>
            <w:pPr>
              <w:spacing w:after="20"/>
            </w:pPr>
            <w:r>
              <w:rPr>
                <w:b/>
                <w:sz w:val="17"/>
              </w:rPr>
              <w:t>Home Premium</w:t>
            </w:r>
          </w:p>
        </w:tc>
        <w:tc>
          <w:tcPr>
            <w:tcW w:type="dxa" w:w="1020"/>
          </w:tcPr>
          <w:p>
            <w:pPr>
              <w:spacing w:after="20"/>
            </w:pPr>
            <w:r>
              <w:rPr>
                <w:b w:val="0"/>
                <w:sz w:val="17"/>
              </w:rPr>
              <w:t>$460</w:t>
            </w:r>
          </w:p>
        </w:tc>
        <w:tc>
          <w:tcPr>
            <w:tcW w:type="dxa" w:w="1020"/>
          </w:tcPr>
          <w:p>
            <w:pPr>
              <w:spacing w:after="20"/>
            </w:pPr>
            <w:r>
              <w:rPr>
                <w:b w:val="0"/>
                <w:sz w:val="17"/>
              </w:rPr>
              <w:t>$622</w:t>
            </w:r>
          </w:p>
        </w:tc>
        <w:tc>
          <w:tcPr>
            <w:tcW w:type="dxa" w:w="1020"/>
          </w:tcPr>
          <w:p>
            <w:pPr>
              <w:spacing w:after="20"/>
            </w:pPr>
            <w:r>
              <w:rPr>
                <w:b w:val="0"/>
                <w:sz w:val="17"/>
              </w:rPr>
              <w:t>$1,199</w:t>
            </w:r>
          </w:p>
        </w:tc>
        <w:tc>
          <w:tcPr>
            <w:tcW w:type="dxa" w:w="680"/>
          </w:tcPr>
          <w:p>
            <w:pPr>
              <w:spacing w:after="20"/>
            </w:pPr>
            <w:r>
              <w:rPr>
                <w:b w:val="0"/>
                <w:sz w:val="17"/>
              </w:rPr>
              <w:t>48%</w:t>
            </w:r>
          </w:p>
        </w:tc>
        <w:tc>
          <w:tcPr>
            <w:tcW w:type="dxa" w:w="4309"/>
          </w:tcPr>
          <w:p>
            <w:pPr>
              <w:spacing w:after="20"/>
            </w:pPr>
            <w:r>
              <w:rPr>
                <w:b w:val="0"/>
                <w:sz w:val="17"/>
              </w:rPr>
              <w:t>All T1 + EC lens (+$89 value) · 2 yr warranty · priority support · 45W branded GaN</w:t>
            </w:r>
          </w:p>
        </w:tc>
      </w:tr>
      <w:tr>
        <w:tc>
          <w:tcPr>
            <w:tcW w:type="dxa" w:w="1474"/>
          </w:tcPr>
          <w:p>
            <w:pPr>
              <w:spacing w:after="20"/>
            </w:pPr>
            <w:r>
              <w:rPr>
                <w:b/>
                <w:sz w:val="17"/>
              </w:rPr>
              <w:t>Pro Entry</w:t>
            </w:r>
          </w:p>
        </w:tc>
        <w:tc>
          <w:tcPr>
            <w:tcW w:type="dxa" w:w="1020"/>
          </w:tcPr>
          <w:p>
            <w:pPr>
              <w:spacing w:after="20"/>
            </w:pPr>
            <w:r>
              <w:rPr>
                <w:b w:val="0"/>
                <w:sz w:val="17"/>
              </w:rPr>
              <w:t>$833</w:t>
            </w:r>
          </w:p>
        </w:tc>
        <w:tc>
          <w:tcPr>
            <w:tcW w:type="dxa" w:w="1020"/>
          </w:tcPr>
          <w:p>
            <w:pPr>
              <w:spacing w:after="20"/>
            </w:pPr>
            <w:r>
              <w:rPr>
                <w:b w:val="0"/>
                <w:sz w:val="17"/>
              </w:rPr>
              <w:t>$1,365</w:t>
            </w:r>
          </w:p>
        </w:tc>
        <w:tc>
          <w:tcPr>
            <w:tcW w:type="dxa" w:w="1020"/>
          </w:tcPr>
          <w:p>
            <w:pPr>
              <w:spacing w:after="20"/>
            </w:pPr>
            <w:r>
              <w:rPr>
                <w:b w:val="0"/>
                <w:sz w:val="17"/>
              </w:rPr>
              <w:t>$4,999</w:t>
            </w:r>
          </w:p>
        </w:tc>
        <w:tc>
          <w:tcPr>
            <w:tcW w:type="dxa" w:w="680"/>
          </w:tcPr>
          <w:p>
            <w:pPr>
              <w:spacing w:after="20"/>
            </w:pPr>
            <w:r>
              <w:rPr>
                <w:b w:val="0"/>
                <w:sz w:val="17"/>
              </w:rPr>
              <w:t>73%</w:t>
            </w:r>
          </w:p>
        </w:tc>
        <w:tc>
          <w:tcPr>
            <w:tcW w:type="dxa" w:w="4309"/>
          </w:tcPr>
          <w:p>
            <w:pPr>
              <w:spacing w:after="20"/>
            </w:pPr>
            <w:r>
              <w:rPr>
                <w:b w:val="0"/>
                <w:sz w:val="17"/>
              </w:rPr>
              <w:t>All T1 + 21-ch qEEG · 1170 nm deep PBM · clinical tACS · HIPAA cloud · sLORETA · 65W branded GaN</w:t>
            </w:r>
          </w:p>
        </w:tc>
      </w:tr>
      <w:tr>
        <w:tc>
          <w:tcPr>
            <w:tcW w:type="dxa" w:w="1474"/>
          </w:tcPr>
          <w:p>
            <w:pPr>
              <w:spacing w:after="20"/>
            </w:pPr>
            <w:r>
              <w:rPr>
                <w:b/>
                <w:sz w:val="17"/>
              </w:rPr>
              <w:t>Pro Full</w:t>
            </w:r>
          </w:p>
        </w:tc>
        <w:tc>
          <w:tcPr>
            <w:tcW w:type="dxa" w:w="1020"/>
          </w:tcPr>
          <w:p>
            <w:pPr>
              <w:spacing w:after="20"/>
            </w:pPr>
            <w:r>
              <w:rPr>
                <w:b w:val="0"/>
                <w:sz w:val="17"/>
              </w:rPr>
              <w:t>$1,506</w:t>
            </w:r>
          </w:p>
        </w:tc>
        <w:tc>
          <w:tcPr>
            <w:tcW w:type="dxa" w:w="1020"/>
          </w:tcPr>
          <w:p>
            <w:pPr>
              <w:spacing w:after="20"/>
            </w:pPr>
            <w:r>
              <w:rPr>
                <w:b w:val="0"/>
                <w:sz w:val="17"/>
              </w:rPr>
              <w:t>$2,628</w:t>
            </w:r>
          </w:p>
        </w:tc>
        <w:tc>
          <w:tcPr>
            <w:tcW w:type="dxa" w:w="1020"/>
          </w:tcPr>
          <w:p>
            <w:pPr>
              <w:spacing w:after="20"/>
            </w:pPr>
            <w:r>
              <w:rPr>
                <w:b w:val="0"/>
                <w:sz w:val="17"/>
              </w:rPr>
              <w:t>$13,999</w:t>
            </w:r>
          </w:p>
        </w:tc>
        <w:tc>
          <w:tcPr>
            <w:tcW w:type="dxa" w:w="680"/>
          </w:tcPr>
          <w:p>
            <w:pPr>
              <w:spacing w:after="20"/>
            </w:pPr>
            <w:r>
              <w:rPr>
                <w:b w:val="0"/>
                <w:sz w:val="17"/>
              </w:rPr>
              <w:t>81%</w:t>
            </w:r>
          </w:p>
        </w:tc>
        <w:tc>
          <w:tcPr>
            <w:tcW w:type="dxa" w:w="4309"/>
          </w:tcPr>
          <w:p>
            <w:pPr>
              <w:spacing w:after="20"/>
            </w:pPr>
            <w:r>
              <w:rPr>
                <w:b w:val="0"/>
                <w:sz w:val="17"/>
              </w:rPr>
              <w:t>All T2 + TMS hub · multi-patient dashboard · scripting API · FHIR R4 · $1,800/yr service · 2× 65W GaN</w:t>
            </w:r>
          </w:p>
        </w:tc>
      </w:tr>
    </w:tbl>
    <w:p>
      <w:pPr>
        <w:spacing w:after="40"/>
      </w:pPr>
    </w:p>
    <w:p>
      <w:pPr>
        <w:spacing w:after="100"/>
      </w:pPr>
      <w:r>
        <w:rPr>
          <w:b w:val="0"/>
          <w:i w:val="0"/>
          <w:sz w:val="19"/>
        </w:rPr>
        <w:t>Charger policy (locked): charger scaled to the peak draw of the configuration, auto-included at every upgrade by serial-number tracking, with an upfront 65W upgrade option at $19 at-cost offered at checkout as an intent signal (30W → PBM intent, 45W → full T1 intent, 65W → T2 intent, triggering a human clinical sales call within 48 hours). EU note: chargers are branded recommendations, not proprietary requirements — any PD-compliant charger must work, and the app displays "power level: reduced" informatively, never blocking.</w:t>
      </w:r>
    </w:p>
    <w:p>
      <w:pPr>
        <w:spacing w:after="100"/>
      </w:pPr>
      <w:r>
        <w:rPr>
          <w:b/>
          <w:i w:val="0"/>
          <w:sz w:val="19"/>
        </w:rPr>
        <w:t>Consumables and recurring revenue: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2"/>
            <w:shd w:val="clear" w:color="auto" w:fill="D9E2F3"/>
          </w:tcPr>
          <w:p>
            <w:pPr>
              <w:spacing w:after="20"/>
            </w:pPr>
            <w:r>
              <w:rPr>
                <w:b/>
                <w:sz w:val="17"/>
              </w:rPr>
              <w:t>Item</w:t>
            </w:r>
          </w:p>
        </w:tc>
        <w:tc>
          <w:tcPr>
            <w:tcW w:type="dxa" w:w="2268"/>
            <w:shd w:val="clear" w:color="auto" w:fill="D9E2F3"/>
          </w:tcPr>
          <w:p>
            <w:pPr>
              <w:spacing w:after="20"/>
            </w:pPr>
            <w:r>
              <w:rPr>
                <w:b/>
                <w:sz w:val="17"/>
              </w:rPr>
              <w:t>Price</w:t>
            </w:r>
          </w:p>
        </w:tc>
        <w:tc>
          <w:tcPr>
            <w:tcW w:type="dxa" w:w="2041"/>
            <w:shd w:val="clear" w:color="auto" w:fill="D9E2F3"/>
          </w:tcPr>
          <w:p>
            <w:pPr>
              <w:spacing w:after="20"/>
            </w:pPr>
            <w:r>
              <w:rPr>
                <w:b/>
                <w:sz w:val="17"/>
              </w:rPr>
              <w:t>Interval</w:t>
            </w:r>
          </w:p>
        </w:tc>
        <w:tc>
          <w:tcPr>
            <w:tcW w:type="dxa" w:w="1361"/>
            <w:shd w:val="clear" w:color="auto" w:fill="D9E2F3"/>
          </w:tcPr>
          <w:p>
            <w:pPr>
              <w:spacing w:after="20"/>
            </w:pPr>
            <w:r>
              <w:rPr>
                <w:b/>
                <w:sz w:val="17"/>
              </w:rPr>
              <w:t>GM%</w:t>
            </w:r>
          </w:p>
        </w:tc>
      </w:tr>
      <w:tr>
        <w:tc>
          <w:tcPr>
            <w:tcW w:type="dxa" w:w="3402"/>
          </w:tcPr>
          <w:p>
            <w:pPr>
              <w:spacing w:after="20"/>
            </w:pPr>
            <w:r>
              <w:rPr>
                <w:b/>
                <w:sz w:val="17"/>
              </w:rPr>
              <w:t>Intranasal sleeves (30-pack)</w:t>
            </w:r>
          </w:p>
        </w:tc>
        <w:tc>
          <w:tcPr>
            <w:tcW w:type="dxa" w:w="2268"/>
          </w:tcPr>
          <w:p>
            <w:pPr>
              <w:spacing w:after="20"/>
            </w:pPr>
            <w:r>
              <w:rPr>
                <w:b w:val="0"/>
                <w:sz w:val="17"/>
              </w:rPr>
              <w:t>$19/pack or $19/mo</w:t>
            </w:r>
          </w:p>
        </w:tc>
        <w:tc>
          <w:tcPr>
            <w:tcW w:type="dxa" w:w="2041"/>
          </w:tcPr>
          <w:p>
            <w:pPr>
              <w:spacing w:after="20"/>
            </w:pPr>
            <w:r>
              <w:rPr>
                <w:b w:val="0"/>
                <w:sz w:val="17"/>
              </w:rPr>
              <w:t>Single use</w:t>
            </w:r>
          </w:p>
        </w:tc>
        <w:tc>
          <w:tcPr>
            <w:tcW w:type="dxa" w:w="1361"/>
          </w:tcPr>
          <w:p>
            <w:pPr>
              <w:spacing w:after="20"/>
            </w:pPr>
            <w:r>
              <w:rPr>
                <w:b w:val="0"/>
                <w:sz w:val="17"/>
              </w:rPr>
              <w:t>68–79%</w:t>
            </w:r>
          </w:p>
        </w:tc>
      </w:tr>
      <w:tr>
        <w:tc>
          <w:tcPr>
            <w:tcW w:type="dxa" w:w="3402"/>
          </w:tcPr>
          <w:p>
            <w:pPr>
              <w:spacing w:after="20"/>
            </w:pPr>
            <w:r>
              <w:rPr>
                <w:b/>
                <w:sz w:val="17"/>
              </w:rPr>
              <w:t>Electrode hydrogel tips (8-pack)</w:t>
            </w:r>
          </w:p>
        </w:tc>
        <w:tc>
          <w:tcPr>
            <w:tcW w:type="dxa" w:w="2268"/>
          </w:tcPr>
          <w:p>
            <w:pPr>
              <w:spacing w:after="20"/>
            </w:pPr>
            <w:r>
              <w:rPr>
                <w:b w:val="0"/>
                <w:sz w:val="17"/>
              </w:rPr>
              <w:t>$12–16 or $9.99/mo</w:t>
            </w:r>
          </w:p>
        </w:tc>
        <w:tc>
          <w:tcPr>
            <w:tcW w:type="dxa" w:w="2041"/>
          </w:tcPr>
          <w:p>
            <w:pPr>
              <w:spacing w:after="20"/>
            </w:pPr>
            <w:r>
              <w:rPr>
                <w:b w:val="0"/>
                <w:sz w:val="17"/>
              </w:rPr>
              <w:t>30–60 sessions</w:t>
            </w:r>
          </w:p>
        </w:tc>
        <w:tc>
          <w:tcPr>
            <w:tcW w:type="dxa" w:w="1361"/>
          </w:tcPr>
          <w:p>
            <w:pPr>
              <w:spacing w:after="20"/>
            </w:pPr>
            <w:r>
              <w:rPr>
                <w:b w:val="0"/>
                <w:sz w:val="17"/>
              </w:rPr>
              <w:t>60–72%</w:t>
            </w:r>
          </w:p>
        </w:tc>
      </w:tr>
      <w:tr>
        <w:tc>
          <w:tcPr>
            <w:tcW w:type="dxa" w:w="3402"/>
          </w:tcPr>
          <w:p>
            <w:pPr>
              <w:spacing w:after="20"/>
            </w:pPr>
            <w:r>
              <w:rPr>
                <w:b/>
                <w:sz w:val="17"/>
              </w:rPr>
              <w:t>VNS clip pads (2-pack)</w:t>
            </w:r>
          </w:p>
        </w:tc>
        <w:tc>
          <w:tcPr>
            <w:tcW w:type="dxa" w:w="2268"/>
          </w:tcPr>
          <w:p>
            <w:pPr>
              <w:spacing w:after="20"/>
            </w:pPr>
            <w:r>
              <w:rPr>
                <w:b w:val="0"/>
                <w:sz w:val="17"/>
              </w:rPr>
              <w:t>$8/pack</w:t>
            </w:r>
          </w:p>
        </w:tc>
        <w:tc>
          <w:tcPr>
            <w:tcW w:type="dxa" w:w="2041"/>
          </w:tcPr>
          <w:p>
            <w:pPr>
              <w:spacing w:after="20"/>
            </w:pPr>
            <w:r>
              <w:rPr>
                <w:b w:val="0"/>
                <w:sz w:val="17"/>
              </w:rPr>
              <w:t>20–40 sessions</w:t>
            </w:r>
          </w:p>
        </w:tc>
        <w:tc>
          <w:tcPr>
            <w:tcW w:type="dxa" w:w="1361"/>
          </w:tcPr>
          <w:p>
            <w:pPr>
              <w:spacing w:after="20"/>
            </w:pPr>
            <w:r>
              <w:rPr>
                <w:b w:val="0"/>
                <w:sz w:val="17"/>
              </w:rPr>
              <w:t>65%</w:t>
            </w:r>
          </w:p>
        </w:tc>
      </w:tr>
      <w:tr>
        <w:tc>
          <w:tcPr>
            <w:tcW w:type="dxa" w:w="3402"/>
          </w:tcPr>
          <w:p>
            <w:pPr>
              <w:spacing w:after="20"/>
            </w:pPr>
            <w:r>
              <w:rPr>
                <w:b/>
                <w:sz w:val="17"/>
              </w:rPr>
              <w:t>Audio cup foam (set)</w:t>
            </w:r>
          </w:p>
        </w:tc>
        <w:tc>
          <w:tcPr>
            <w:tcW w:type="dxa" w:w="2268"/>
          </w:tcPr>
          <w:p>
            <w:pPr>
              <w:spacing w:after="20"/>
            </w:pPr>
            <w:r>
              <w:rPr>
                <w:b w:val="0"/>
                <w:sz w:val="17"/>
              </w:rPr>
              <w:t>$24/set</w:t>
            </w:r>
          </w:p>
        </w:tc>
        <w:tc>
          <w:tcPr>
            <w:tcW w:type="dxa" w:w="2041"/>
          </w:tcPr>
          <w:p>
            <w:pPr>
              <w:spacing w:after="20"/>
            </w:pPr>
            <w:r>
              <w:rPr>
                <w:b w:val="0"/>
                <w:sz w:val="17"/>
              </w:rPr>
              <w:t>6–12 months</w:t>
            </w:r>
          </w:p>
        </w:tc>
        <w:tc>
          <w:tcPr>
            <w:tcW w:type="dxa" w:w="1361"/>
          </w:tcPr>
          <w:p>
            <w:pPr>
              <w:spacing w:after="20"/>
            </w:pPr>
            <w:r>
              <w:rPr>
                <w:b w:val="0"/>
                <w:sz w:val="17"/>
              </w:rPr>
              <w:t>58%</w:t>
            </w:r>
          </w:p>
        </w:tc>
      </w:tr>
      <w:tr>
        <w:tc>
          <w:tcPr>
            <w:tcW w:type="dxa" w:w="3402"/>
          </w:tcPr>
          <w:p>
            <w:pPr>
              <w:spacing w:after="20"/>
            </w:pPr>
            <w:r>
              <w:rPr>
                <w:b/>
                <w:sz w:val="17"/>
              </w:rPr>
              <w:t>Audio cup mesh frame (pair)</w:t>
            </w:r>
          </w:p>
        </w:tc>
        <w:tc>
          <w:tcPr>
            <w:tcW w:type="dxa" w:w="2268"/>
          </w:tcPr>
          <w:p>
            <w:pPr>
              <w:spacing w:after="20"/>
            </w:pPr>
            <w:r>
              <w:rPr>
                <w:b w:val="0"/>
                <w:sz w:val="17"/>
              </w:rPr>
              <w:t>$9.99/pair</w:t>
            </w:r>
          </w:p>
        </w:tc>
        <w:tc>
          <w:tcPr>
            <w:tcW w:type="dxa" w:w="2041"/>
          </w:tcPr>
          <w:p>
            <w:pPr>
              <w:spacing w:after="20"/>
            </w:pPr>
            <w:r>
              <w:rPr>
                <w:b w:val="0"/>
                <w:sz w:val="17"/>
              </w:rPr>
              <w:t>Annual</w:t>
            </w:r>
          </w:p>
        </w:tc>
        <w:tc>
          <w:tcPr>
            <w:tcW w:type="dxa" w:w="1361"/>
          </w:tcPr>
          <w:p>
            <w:pPr>
              <w:spacing w:after="20"/>
            </w:pPr>
            <w:r>
              <w:rPr>
                <w:b w:val="0"/>
                <w:sz w:val="17"/>
              </w:rPr>
              <w:t>62%</w:t>
            </w:r>
          </w:p>
        </w:tc>
      </w:tr>
      <w:tr>
        <w:tc>
          <w:tcPr>
            <w:tcW w:type="dxa" w:w="3402"/>
          </w:tcPr>
          <w:p>
            <w:pPr>
              <w:spacing w:after="20"/>
            </w:pPr>
            <w:r>
              <w:rPr>
                <w:b/>
                <w:sz w:val="17"/>
              </w:rPr>
              <w:t>Interface protection covers (kit)</w:t>
            </w:r>
          </w:p>
        </w:tc>
        <w:tc>
          <w:tcPr>
            <w:tcW w:type="dxa" w:w="2268"/>
          </w:tcPr>
          <w:p>
            <w:pPr>
              <w:spacing w:after="20"/>
            </w:pPr>
            <w:r>
              <w:rPr>
                <w:b w:val="0"/>
                <w:sz w:val="17"/>
              </w:rPr>
              <w:t>$22.99 or $19.99/yr</w:t>
            </w:r>
          </w:p>
        </w:tc>
        <w:tc>
          <w:tcPr>
            <w:tcW w:type="dxa" w:w="2041"/>
          </w:tcPr>
          <w:p>
            <w:pPr>
              <w:spacing w:after="20"/>
            </w:pPr>
            <w:r>
              <w:rPr>
                <w:b w:val="0"/>
                <w:sz w:val="17"/>
              </w:rPr>
              <w:t>Annual / as lost</w:t>
            </w:r>
          </w:p>
        </w:tc>
        <w:tc>
          <w:tcPr>
            <w:tcW w:type="dxa" w:w="1361"/>
          </w:tcPr>
          <w:p>
            <w:pPr>
              <w:spacing w:after="20"/>
            </w:pPr>
            <w:r>
              <w:rPr>
                <w:b w:val="0"/>
                <w:sz w:val="17"/>
              </w:rPr>
              <w:t>70%</w:t>
            </w:r>
          </w:p>
        </w:tc>
      </w:tr>
      <w:tr>
        <w:tc>
          <w:tcPr>
            <w:tcW w:type="dxa" w:w="3402"/>
          </w:tcPr>
          <w:p>
            <w:pPr>
              <w:spacing w:after="20"/>
            </w:pPr>
            <w:r>
              <w:rPr>
                <w:b/>
                <w:sz w:val="17"/>
              </w:rPr>
              <w:t>S3 prescription Rx insert</w:t>
            </w:r>
          </w:p>
        </w:tc>
        <w:tc>
          <w:tcPr>
            <w:tcW w:type="dxa" w:w="2268"/>
          </w:tcPr>
          <w:p>
            <w:pPr>
              <w:spacing w:after="20"/>
            </w:pPr>
            <w:r>
              <w:rPr>
                <w:b w:val="0"/>
                <w:sz w:val="17"/>
              </w:rPr>
              <w:t>$49–139</w:t>
            </w:r>
          </w:p>
        </w:tc>
        <w:tc>
          <w:tcPr>
            <w:tcW w:type="dxa" w:w="2041"/>
          </w:tcPr>
          <w:p>
            <w:pPr>
              <w:spacing w:after="20"/>
            </w:pPr>
            <w:r>
              <w:rPr>
                <w:b w:val="0"/>
                <w:sz w:val="17"/>
              </w:rPr>
              <w:t>12–24 months</w:t>
            </w:r>
          </w:p>
        </w:tc>
        <w:tc>
          <w:tcPr>
            <w:tcW w:type="dxa" w:w="1361"/>
          </w:tcPr>
          <w:p>
            <w:pPr>
              <w:spacing w:after="20"/>
            </w:pPr>
            <w:r>
              <w:rPr>
                <w:b w:val="0"/>
                <w:sz w:val="17"/>
              </w:rPr>
              <w:t>Variable</w:t>
            </w:r>
          </w:p>
        </w:tc>
      </w:tr>
      <w:tr>
        <w:tc>
          <w:tcPr>
            <w:tcW w:type="dxa" w:w="3402"/>
          </w:tcPr>
          <w:p>
            <w:pPr>
              <w:spacing w:after="20"/>
            </w:pPr>
            <w:r>
              <w:rPr>
                <w:b/>
                <w:sz w:val="17"/>
              </w:rPr>
              <w:t>T2 service contract</w:t>
            </w:r>
          </w:p>
        </w:tc>
        <w:tc>
          <w:tcPr>
            <w:tcW w:type="dxa" w:w="2268"/>
          </w:tcPr>
          <w:p>
            <w:pPr>
              <w:spacing w:after="20"/>
            </w:pPr>
            <w:r>
              <w:rPr>
                <w:b w:val="0"/>
                <w:sz w:val="17"/>
              </w:rPr>
              <w:t>$1,800/yr</w:t>
            </w:r>
          </w:p>
        </w:tc>
        <w:tc>
          <w:tcPr>
            <w:tcW w:type="dxa" w:w="2041"/>
          </w:tcPr>
          <w:p>
            <w:pPr>
              <w:spacing w:after="20"/>
            </w:pPr>
            <w:r>
              <w:rPr>
                <w:b w:val="0"/>
                <w:sz w:val="17"/>
              </w:rPr>
              <w:t>Annual</w:t>
            </w:r>
          </w:p>
        </w:tc>
        <w:tc>
          <w:tcPr>
            <w:tcW w:type="dxa" w:w="1361"/>
          </w:tcPr>
          <w:p>
            <w:pPr>
              <w:spacing w:after="20"/>
            </w:pPr>
            <w:r>
              <w:rPr>
                <w:b w:val="0"/>
                <w:sz w:val="17"/>
              </w:rPr>
              <w:t>~75%</w:t>
            </w:r>
          </w:p>
        </w:tc>
      </w:tr>
    </w:tbl>
    <w:p>
      <w:pPr>
        <w:spacing w:after="40"/>
      </w:pPr>
    </w:p>
    <w:p>
      <w:pPr>
        <w:spacing w:after="100"/>
      </w:pPr>
      <w:r>
        <w:rPr>
          <w:b w:val="0"/>
          <w:i w:val="0"/>
          <w:sz w:val="18"/>
        </w:rPr>
        <w:t>Intranasal sleeves remain the only authenticated consumable, and the primary MRR driver. Authentication is optical code plus pogo-pin resistive sleeve — no NFC anywhere in the platform.</w:t>
      </w:r>
    </w:p>
    <w:p>
      <w:pPr>
        <w:pStyle w:val="Heading1"/>
        <w:spacing w:before="240" w:after="80"/>
      </w:pPr>
      <w:r>
        <w:t>5. Hardware + Firmware Specifications</w:t>
      </w:r>
    </w:p>
    <w:p>
      <w:pPr>
        <w:pStyle w:val="Heading2"/>
        <w:spacing w:before="160" w:after="80"/>
      </w:pPr>
      <w:r>
        <w:t>5.1 Processor stack</w:t>
      </w:r>
    </w:p>
    <w:p>
      <w:pPr>
        <w:pStyle w:val="ListBullet"/>
        <w:spacing w:after="40"/>
      </w:pPr>
      <w:r>
        <w:rPr>
          <w:sz w:val="19"/>
        </w:rPr>
        <w:t>Main: NXP i.MX RT1062 · Cortex-M7 · 600 MHz · FPU+DSP+SIMD · 1 MB on-chip SRAM + 32 MB LPSDR4 · USB-HS OTG · FreeRTOS-Kernel V11.3.0 (LTS 202604.00, vendored at firmware/vendor/freertos/) · ~1.1% CPU at full load.</w:t>
      </w:r>
    </w:p>
    <w:p>
      <w:pPr>
        <w:pStyle w:val="ListBullet"/>
        <w:spacing w:after="40"/>
      </w:pPr>
      <w:r>
        <w:rPr>
          <w:sz w:val="19"/>
        </w:rPr>
        <w:t>Safety MCU: STM32G071 (NOT G031 — G031 has only 8 KB SRAM, insufficient for EMF firmware) · Cortex-M0+ · 64 MHz · 36 KB SRAM · 128 KB flash · bare-metal · owns all stimulation GPIO enable lines · +$0.45 BOM.</w:t>
      </w:r>
    </w:p>
    <w:p>
      <w:pPr>
        <w:pStyle w:val="ListBullet"/>
        <w:spacing w:after="40"/>
      </w:pPr>
      <w:r>
        <w:rPr>
          <w:sz w:val="19"/>
        </w:rPr>
        <w:t>Cluster controllers (new, Hub PCB Rev C): one STM32G071 per cluster on the inner bowl. Same part as the safety MCU deliberately — it reuses the toolchain, BSP, errata and IEC 62304 qualification lineage rather than saving roughly $7 on a second family. Cluster-controller firmware (firmware/cluster_ctrl/) is a new IEC 62304 Class B unit.</w:t>
      </w:r>
    </w:p>
    <w:p>
      <w:pPr>
        <w:pStyle w:val="ListBullet"/>
        <w:spacing w:after="40"/>
      </w:pPr>
      <w:r>
        <w:rPr>
          <w:sz w:val="19"/>
        </w:rPr>
        <w:t>Storage: 8 GB industrial eMMC (SLC cache, 30,000+ P/E cycles) · LittleFS · 9-partition GPT layout · separate UHDR and SHDR partitions from the first firmware line.</w:t>
      </w:r>
    </w:p>
    <w:p>
      <w:pPr>
        <w:pStyle w:val="ListBullet"/>
        <w:spacing w:after="40"/>
      </w:pPr>
      <w:r>
        <w:rPr>
          <w:sz w:val="19"/>
        </w:rPr>
        <w:t>Connectivity: USB-C 3.2 Gen1 (default, zero RF, &lt;1 ms) · BT 5.3 LE Audio · Wi-Fi 6 · antennas in the control hub, NOT the headset · single rear toggle.</w:t>
      </w:r>
    </w:p>
    <w:p>
      <w:pPr>
        <w:pStyle w:val="ListBullet"/>
        <w:spacing w:after="40"/>
      </w:pPr>
      <w:r>
        <w:rPr>
          <w:sz w:val="19"/>
        </w:rPr>
        <w:t>IEC 62304 classifications (NP-SW-001): Safety MCU = Class C · main processor = Class B · iOS/Android app = Class B · cluster controllers = Class B.</w:t>
      </w:r>
    </w:p>
    <w:p>
      <w:pPr>
        <w:pStyle w:val="Heading2"/>
        <w:spacing w:before="160" w:after="80"/>
      </w:pPr>
      <w:r>
        <w:t>5.2 Hex-tile socket lattice (NP-HEX-ZM-001 Rev 2)</w:t>
      </w:r>
    </w:p>
    <w:p>
      <w:pPr>
        <w:spacing w:after="100"/>
      </w:pPr>
      <w:r>
        <w:rPr>
          <w:b w:val="0"/>
          <w:i w:val="0"/>
          <w:sz w:val="19"/>
        </w:rPr>
        <w:t>One universal hexagonal module SKU tiles the helmet interior: one mold, one part number, one inventory line for NeurOne and for customers. This replaces position-unique zone modules entirely.</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val="clear" w:color="auto" w:fill="D9E2F3"/>
          </w:tcPr>
          <w:p>
            <w:pPr>
              <w:spacing w:after="20"/>
            </w:pPr>
            <w:r>
              <w:rPr>
                <w:b/>
                <w:sz w:val="17"/>
              </w:rPr>
              <w:t>Parameter</w:t>
            </w:r>
          </w:p>
        </w:tc>
        <w:tc>
          <w:tcPr>
            <w:tcW w:type="dxa" w:w="2721"/>
            <w:shd w:val="clear" w:color="auto" w:fill="D9E2F3"/>
          </w:tcPr>
          <w:p>
            <w:pPr>
              <w:spacing w:after="20"/>
            </w:pPr>
            <w:r>
              <w:rPr>
                <w:b/>
                <w:sz w:val="17"/>
              </w:rPr>
              <w:t>Value</w:t>
            </w:r>
          </w:p>
        </w:tc>
        <w:tc>
          <w:tcPr>
            <w:tcW w:type="dxa" w:w="4762"/>
            <w:shd w:val="clear" w:color="auto" w:fill="D9E2F3"/>
          </w:tcPr>
          <w:p>
            <w:pPr>
              <w:spacing w:after="20"/>
            </w:pPr>
            <w:r>
              <w:rPr>
                <w:b/>
                <w:sz w:val="17"/>
              </w:rPr>
              <w:t>Basis</w:t>
            </w:r>
          </w:p>
        </w:tc>
      </w:tr>
      <w:tr>
        <w:tc>
          <w:tcPr>
            <w:tcW w:type="dxa" w:w="2041"/>
          </w:tcPr>
          <w:p>
            <w:pPr>
              <w:spacing w:after="20"/>
            </w:pPr>
            <w:r>
              <w:rPr>
                <w:b/>
                <w:sz w:val="17"/>
              </w:rPr>
              <w:t>Tile width (flat-to-flat)</w:t>
            </w:r>
          </w:p>
        </w:tc>
        <w:tc>
          <w:tcPr>
            <w:tcW w:type="dxa" w:w="2721"/>
          </w:tcPr>
          <w:p>
            <w:pPr>
              <w:spacing w:after="20"/>
            </w:pPr>
            <w:r>
              <w:rPr>
                <w:b w:val="0"/>
                <w:sz w:val="17"/>
              </w:rPr>
              <w:t>40 mm</w:t>
            </w:r>
          </w:p>
        </w:tc>
        <w:tc>
          <w:tcPr>
            <w:tcW w:type="dxa" w:w="4762"/>
          </w:tcPr>
          <w:p>
            <w:pPr>
              <w:spacing w:after="20"/>
            </w:pPr>
            <w:r>
              <w:rPr>
                <w:b w:val="0"/>
                <w:sz w:val="17"/>
              </w:rPr>
              <w:t>Design point across a 34–46 mm sweep; balances coverage against curvature mismatch.</w:t>
            </w:r>
          </w:p>
        </w:tc>
      </w:tr>
      <w:tr>
        <w:tc>
          <w:tcPr>
            <w:tcW w:type="dxa" w:w="2041"/>
          </w:tcPr>
          <w:p>
            <w:pPr>
              <w:spacing w:after="20"/>
            </w:pPr>
            <w:r>
              <w:rPr>
                <w:b/>
                <w:sz w:val="17"/>
              </w:rPr>
              <w:t>Hex area</w:t>
            </w:r>
          </w:p>
        </w:tc>
        <w:tc>
          <w:tcPr>
            <w:tcW w:type="dxa" w:w="2721"/>
          </w:tcPr>
          <w:p>
            <w:pPr>
              <w:spacing w:after="20"/>
            </w:pPr>
            <w:r>
              <w:rPr>
                <w:b w:val="0"/>
                <w:sz w:val="17"/>
              </w:rPr>
              <w:t>13.86 cm²</w:t>
            </w:r>
          </w:p>
        </w:tc>
        <w:tc>
          <w:tcPr>
            <w:tcW w:type="dxa" w:w="4762"/>
          </w:tcPr>
          <w:p>
            <w:pPr>
              <w:spacing w:after="20"/>
            </w:pPr>
            <w:r>
              <w:rPr>
                <w:b w:val="0"/>
                <w:sz w:val="17"/>
              </w:rPr>
              <w:t>A = (√3/2)·W².</w:t>
            </w:r>
          </w:p>
        </w:tc>
      </w:tr>
      <w:tr>
        <w:tc>
          <w:tcPr>
            <w:tcW w:type="dxa" w:w="2041"/>
          </w:tcPr>
          <w:p>
            <w:pPr>
              <w:spacing w:after="20"/>
            </w:pPr>
            <w:r>
              <w:rPr>
                <w:b/>
                <w:sz w:val="17"/>
              </w:rPr>
              <w:t>Vertex span / dome depth</w:t>
            </w:r>
          </w:p>
        </w:tc>
        <w:tc>
          <w:tcPr>
            <w:tcW w:type="dxa" w:w="2721"/>
          </w:tcPr>
          <w:p>
            <w:pPr>
              <w:spacing w:after="20"/>
            </w:pPr>
            <w:r>
              <w:rPr>
                <w:b w:val="0"/>
                <w:sz w:val="17"/>
              </w:rPr>
              <w:t>46 mm / 3.1 mm</w:t>
            </w:r>
          </w:p>
        </w:tc>
        <w:tc>
          <w:tcPr>
            <w:tcW w:type="dxa" w:w="4762"/>
          </w:tcPr>
          <w:p>
            <w:pPr>
              <w:spacing w:after="20"/>
            </w:pPr>
            <w:r>
              <w:rPr>
                <w:b w:val="0"/>
                <w:sz w:val="17"/>
              </w:rPr>
              <w:t>NP-HEX-ZM-001 §3.1.</w:t>
            </w:r>
          </w:p>
        </w:tc>
      </w:tr>
      <w:tr>
        <w:tc>
          <w:tcPr>
            <w:tcW w:type="dxa" w:w="2041"/>
          </w:tcPr>
          <w:p>
            <w:pPr>
              <w:spacing w:after="20"/>
            </w:pPr>
            <w:r>
              <w:rPr>
                <w:b/>
                <w:sz w:val="17"/>
              </w:rPr>
              <w:t>Module curvature</w:t>
            </w:r>
          </w:p>
        </w:tc>
        <w:tc>
          <w:tcPr>
            <w:tcW w:type="dxa" w:w="2721"/>
          </w:tcPr>
          <w:p>
            <w:pPr>
              <w:spacing w:after="20"/>
            </w:pPr>
            <w:r>
              <w:rPr>
                <w:b w:val="0"/>
                <w:sz w:val="17"/>
              </w:rPr>
              <w:t>R_m = 87 mm (κ = 0.0115 mm⁻¹)</w:t>
            </w:r>
          </w:p>
        </w:tc>
        <w:tc>
          <w:tcPr>
            <w:tcW w:type="dxa" w:w="4762"/>
          </w:tcPr>
          <w:p>
            <w:pPr>
              <w:spacing w:after="20"/>
            </w:pPr>
            <w:r>
              <w:rPr>
                <w:b w:val="0"/>
                <w:sz w:val="17"/>
              </w:rPr>
              <w:t>Curvature median — symmetrizes worst-case mismatch between temples (~65 mm) and crown (~130 mm). Worst-case astigmatic Δκ ≈ 0.0039 mm⁻¹, peak mismatch 1.04 mm.</w:t>
            </w:r>
          </w:p>
        </w:tc>
      </w:tr>
      <w:tr>
        <w:tc>
          <w:tcPr>
            <w:tcW w:type="dxa" w:w="2041"/>
          </w:tcPr>
          <w:p>
            <w:pPr>
              <w:spacing w:after="20"/>
            </w:pPr>
            <w:r>
              <w:rPr>
                <w:b/>
                <w:sz w:val="17"/>
              </w:rPr>
              <w:t>Active coverage</w:t>
            </w:r>
          </w:p>
        </w:tc>
        <w:tc>
          <w:tcPr>
            <w:tcW w:type="dxa" w:w="2721"/>
          </w:tcPr>
          <w:p>
            <w:pPr>
              <w:spacing w:after="20"/>
            </w:pPr>
            <w:r>
              <w:rPr>
                <w:b w:val="0"/>
                <w:sz w:val="17"/>
              </w:rPr>
              <w:t>77% (2.5 mm bezel)</w:t>
            </w:r>
          </w:p>
        </w:tc>
        <w:tc>
          <w:tcPr>
            <w:tcW w:type="dxa" w:w="4762"/>
          </w:tcPr>
          <w:p>
            <w:pPr>
              <w:spacing w:after="20"/>
            </w:pPr>
            <w:r>
              <w:rPr>
                <w:b w:val="0"/>
                <w:sz w:val="17"/>
              </w:rPr>
              <w:t>NP-HEX-ZM-001 §3.1.</w:t>
            </w:r>
          </w:p>
        </w:tc>
      </w:tr>
      <w:tr>
        <w:tc>
          <w:tcPr>
            <w:tcW w:type="dxa" w:w="2041"/>
          </w:tcPr>
          <w:p>
            <w:pPr>
              <w:spacing w:after="20"/>
            </w:pPr>
            <w:r>
              <w:rPr>
                <w:b/>
                <w:sz w:val="17"/>
              </w:rPr>
              <w:t>Socket count</w:t>
            </w:r>
          </w:p>
        </w:tc>
        <w:tc>
          <w:tcPr>
            <w:tcW w:type="dxa" w:w="2721"/>
          </w:tcPr>
          <w:p>
            <w:pPr>
              <w:spacing w:after="20"/>
            </w:pPr>
            <w:r>
              <w:rPr>
                <w:b w:val="0"/>
                <w:sz w:val="17"/>
              </w:rPr>
              <w:t>~80 (shipped v1 lattice), PROVISIONAL</w:t>
            </w:r>
          </w:p>
        </w:tc>
        <w:tc>
          <w:tcPr>
            <w:tcW w:type="dxa" w:w="4762"/>
          </w:tcPr>
          <w:p>
            <w:pPr>
              <w:spacing w:after="20"/>
            </w:pPr>
            <w:r>
              <w:rPr>
                <w:b w:val="0"/>
                <w:sz w:val="17"/>
              </w:rPr>
              <w:t>Recovered from a direct 3D scan of the reference helmet interior (§3.4). Supersedes the earlier 30-socket skull-area model and 54-socket ellipsoid. Gated on REG-1 and ACT-1; re-cut by REGEN-1 on 2026-07-20 by explicit principal direction. Socket numbering is 1-based project-wide (NUMBER-1).</w:t>
            </w:r>
          </w:p>
        </w:tc>
      </w:tr>
      <w:tr>
        <w:tc>
          <w:tcPr>
            <w:tcW w:type="dxa" w:w="2041"/>
          </w:tcPr>
          <w:p>
            <w:pPr>
              <w:spacing w:after="20"/>
            </w:pPr>
            <w:r>
              <w:rPr>
                <w:b/>
                <w:sz w:val="17"/>
              </w:rPr>
              <w:t>Firmware addressing ceiling</w:t>
            </w:r>
          </w:p>
        </w:tc>
        <w:tc>
          <w:tcPr>
            <w:tcW w:type="dxa" w:w="2721"/>
          </w:tcPr>
          <w:p>
            <w:pPr>
              <w:spacing w:after="20"/>
            </w:pPr>
            <w:r>
              <w:rPr>
                <w:b w:val="0"/>
                <w:sz w:val="17"/>
              </w:rPr>
              <w:t>NP_HEXMAP_MAX_SOCKETS = 128 (7-bit)</w:t>
            </w:r>
          </w:p>
        </w:tc>
        <w:tc>
          <w:tcPr>
            <w:tcW w:type="dxa" w:w="4762"/>
          </w:tcPr>
          <w:p>
            <w:pPr>
              <w:spacing w:after="20"/>
            </w:pPr>
            <w:r>
              <w:rPr>
                <w:b w:val="0"/>
                <w:sz w:val="17"/>
              </w:rPr>
              <w:t>The two-level bus tree arithmetic (8 branches × ≤2 clusters × ≤8 sockets) lands exactly on 128, so the physical tree and the firmware ceiling agree with no arbitrary sub-ceiling.</w:t>
            </w:r>
          </w:p>
        </w:tc>
      </w:tr>
    </w:tbl>
    <w:p>
      <w:pPr>
        <w:spacing w:after="40"/>
      </w:pPr>
    </w:p>
    <w:p>
      <w:pPr>
        <w:spacing w:after="100"/>
      </w:pPr>
      <w:r>
        <w:rPr>
          <w:b/>
          <w:i w:val="0"/>
          <w:sz w:val="19"/>
        </w:rPr>
        <w:t>Module-type taxonomy — one size, one mechanical mold; a "type" differs only by element population on an identical footprint: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794"/>
            <w:shd w:val="clear" w:color="auto" w:fill="D9E2F3"/>
          </w:tcPr>
          <w:p>
            <w:pPr>
              <w:spacing w:after="20"/>
            </w:pPr>
            <w:r>
              <w:rPr>
                <w:b/>
                <w:sz w:val="17"/>
              </w:rPr>
              <w:t>ID</w:t>
            </w:r>
          </w:p>
        </w:tc>
        <w:tc>
          <w:tcPr>
            <w:tcW w:type="dxa" w:w="1701"/>
            <w:shd w:val="clear" w:color="auto" w:fill="D9E2F3"/>
          </w:tcPr>
          <w:p>
            <w:pPr>
              <w:spacing w:after="20"/>
            </w:pPr>
            <w:r>
              <w:rPr>
                <w:b/>
                <w:sz w:val="17"/>
              </w:rPr>
              <w:t>Type</w:t>
            </w:r>
          </w:p>
        </w:tc>
        <w:tc>
          <w:tcPr>
            <w:tcW w:type="dxa" w:w="3175"/>
            <w:shd w:val="clear" w:color="auto" w:fill="D9E2F3"/>
          </w:tcPr>
          <w:p>
            <w:pPr>
              <w:spacing w:after="20"/>
            </w:pPr>
            <w:r>
              <w:rPr>
                <w:b/>
                <w:sz w:val="17"/>
              </w:rPr>
              <w:t>Elements</w:t>
            </w:r>
          </w:p>
        </w:tc>
        <w:tc>
          <w:tcPr>
            <w:tcW w:type="dxa" w:w="680"/>
            <w:shd w:val="clear" w:color="auto" w:fill="D9E2F3"/>
          </w:tcPr>
          <w:p>
            <w:pPr>
              <w:spacing w:after="20"/>
            </w:pPr>
            <w:r>
              <w:rPr>
                <w:b/>
                <w:sz w:val="17"/>
              </w:rPr>
              <w:t>EEG</w:t>
            </w:r>
          </w:p>
        </w:tc>
        <w:tc>
          <w:tcPr>
            <w:tcW w:type="dxa" w:w="3175"/>
            <w:shd w:val="clear" w:color="auto" w:fill="D9E2F3"/>
          </w:tcPr>
          <w:p>
            <w:pPr>
              <w:spacing w:after="20"/>
            </w:pPr>
            <w:r>
              <w:rPr>
                <w:b/>
                <w:sz w:val="17"/>
              </w:rPr>
              <w:t>Covers</w:t>
            </w:r>
          </w:p>
        </w:tc>
      </w:tr>
      <w:tr>
        <w:tc>
          <w:tcPr>
            <w:tcW w:type="dxa" w:w="794"/>
          </w:tcPr>
          <w:p>
            <w:pPr>
              <w:spacing w:after="20"/>
            </w:pPr>
            <w:r>
              <w:rPr>
                <w:b/>
                <w:sz w:val="17"/>
              </w:rPr>
              <w:t>T1-A</w:t>
            </w:r>
          </w:p>
        </w:tc>
        <w:tc>
          <w:tcPr>
            <w:tcW w:type="dxa" w:w="1701"/>
          </w:tcPr>
          <w:p>
            <w:pPr>
              <w:spacing w:after="20"/>
            </w:pPr>
            <w:r>
              <w:rPr>
                <w:b w:val="0"/>
                <w:sz w:val="17"/>
              </w:rPr>
              <w:t>Base PBM</w:t>
            </w:r>
          </w:p>
        </w:tc>
        <w:tc>
          <w:tcPr>
            <w:tcW w:type="dxa" w:w="3175"/>
          </w:tcPr>
          <w:p>
            <w:pPr>
              <w:spacing w:after="20"/>
            </w:pPr>
            <w:r>
              <w:rPr>
                <w:b w:val="0"/>
                <w:sz w:val="17"/>
              </w:rPr>
              <w:t>660–670 + 808–830 nm LEDs + PD1/PD2 + NTC</w:t>
            </w:r>
          </w:p>
        </w:tc>
        <w:tc>
          <w:tcPr>
            <w:tcW w:type="dxa" w:w="680"/>
          </w:tcPr>
          <w:p>
            <w:pPr>
              <w:spacing w:after="20"/>
            </w:pPr>
            <w:r>
              <w:rPr>
                <w:b w:val="0"/>
                <w:sz w:val="17"/>
              </w:rPr>
              <w:t>no</w:t>
            </w:r>
          </w:p>
        </w:tc>
        <w:tc>
          <w:tcPr>
            <w:tcW w:type="dxa" w:w="3175"/>
          </w:tcPr>
          <w:p>
            <w:pPr>
              <w:spacing w:after="20"/>
            </w:pPr>
            <w:r>
              <w:rPr>
                <w:b w:val="0"/>
                <w:sz w:val="17"/>
              </w:rPr>
              <w:t>PBM transcranial — bulk scalp coverage; the majority of sockets</w:t>
            </w:r>
          </w:p>
        </w:tc>
      </w:tr>
      <w:tr>
        <w:tc>
          <w:tcPr>
            <w:tcW w:type="dxa" w:w="794"/>
          </w:tcPr>
          <w:p>
            <w:pPr>
              <w:spacing w:after="20"/>
            </w:pPr>
            <w:r>
              <w:rPr>
                <w:b/>
                <w:sz w:val="17"/>
              </w:rPr>
              <w:t>T1-B</w:t>
            </w:r>
          </w:p>
        </w:tc>
        <w:tc>
          <w:tcPr>
            <w:tcW w:type="dxa" w:w="1701"/>
          </w:tcPr>
          <w:p>
            <w:pPr>
              <w:spacing w:after="20"/>
            </w:pPr>
            <w:r>
              <w:rPr>
                <w:b w:val="0"/>
                <w:sz w:val="17"/>
              </w:rPr>
              <w:t>EEG / electrode</w:t>
            </w:r>
          </w:p>
        </w:tc>
        <w:tc>
          <w:tcPr>
            <w:tcW w:type="dxa" w:w="3175"/>
          </w:tcPr>
          <w:p>
            <w:pPr>
              <w:spacing w:after="20"/>
            </w:pPr>
            <w:r>
              <w:rPr>
                <w:b w:val="0"/>
                <w:sz w:val="17"/>
              </w:rPr>
              <w:t>Dual-rated Ag/AgCl electrode + 660/808 PBM (reduced count for pod clearance) + PD + NTC</w:t>
            </w:r>
          </w:p>
        </w:tc>
        <w:tc>
          <w:tcPr>
            <w:tcW w:type="dxa" w:w="680"/>
          </w:tcPr>
          <w:p>
            <w:pPr>
              <w:spacing w:after="20"/>
            </w:pPr>
            <w:r>
              <w:rPr>
                <w:b w:val="0"/>
                <w:sz w:val="17"/>
              </w:rPr>
              <w:t>yes</w:t>
            </w:r>
          </w:p>
        </w:tc>
        <w:tc>
          <w:tcPr>
            <w:tcW w:type="dxa" w:w="3175"/>
          </w:tcPr>
          <w:p>
            <w:pPr>
              <w:spacing w:after="20"/>
            </w:pPr>
            <w:r>
              <w:rPr>
                <w:b w:val="0"/>
                <w:sz w:val="17"/>
              </w:rPr>
              <w:t>EEG AND BES/tACS/tDCS on one electrode that both records and stimulates, plus PBM at electrode sites. Placed only at electrode positions — roughly 8–9 per build (the 8 T1 neurofeedback sites plus Oz when visual stimulation is used)</w:t>
            </w:r>
          </w:p>
        </w:tc>
      </w:tr>
      <w:tr>
        <w:tc>
          <w:tcPr>
            <w:tcW w:type="dxa" w:w="794"/>
          </w:tcPr>
          <w:p>
            <w:pPr>
              <w:spacing w:after="20"/>
            </w:pPr>
            <w:r>
              <w:rPr>
                <w:b/>
                <w:sz w:val="17"/>
              </w:rPr>
              <w:t>T1-C</w:t>
            </w:r>
          </w:p>
        </w:tc>
        <w:tc>
          <w:tcPr>
            <w:tcW w:type="dxa" w:w="1701"/>
          </w:tcPr>
          <w:p>
            <w:pPr>
              <w:spacing w:after="20"/>
            </w:pPr>
            <w:r>
              <w:rPr>
                <w:b w:val="0"/>
                <w:sz w:val="17"/>
              </w:rPr>
              <w:t>1064 smart PBM</w:t>
            </w:r>
          </w:p>
        </w:tc>
        <w:tc>
          <w:tcPr>
            <w:tcW w:type="dxa" w:w="3175"/>
          </w:tcPr>
          <w:p>
            <w:pPr>
              <w:spacing w:after="20"/>
            </w:pPr>
            <w:r>
              <w:rPr>
                <w:b w:val="0"/>
                <w:sz w:val="17"/>
              </w:rPr>
              <w:t>660/808/1064 nm LEDs + on-module driver (Microchip ATtiny402 I2C slave + 3× Infineon IRLML6344 N-FETs) + InGaAs PD1/PD2 (Hamamatsu G12180-010A) + NTC</w:t>
            </w:r>
          </w:p>
        </w:tc>
        <w:tc>
          <w:tcPr>
            <w:tcW w:type="dxa" w:w="680"/>
          </w:tcPr>
          <w:p>
            <w:pPr>
              <w:spacing w:after="20"/>
            </w:pPr>
            <w:r>
              <w:rPr>
                <w:b w:val="0"/>
                <w:sz w:val="17"/>
              </w:rPr>
              <w:t>no</w:t>
            </w:r>
          </w:p>
        </w:tc>
        <w:tc>
          <w:tcPr>
            <w:tcW w:type="dxa" w:w="3175"/>
          </w:tcPr>
          <w:p>
            <w:pPr>
              <w:spacing w:after="20"/>
            </w:pPr>
            <w:r>
              <w:rPr>
                <w:b w:val="0"/>
                <w:sz w:val="17"/>
              </w:rPr>
              <w:t>Premium deep PBM, three-tier depth stack; substituted at protocol-configured depth sockets, not capped at a fixed count</w:t>
            </w:r>
          </w:p>
        </w:tc>
      </w:tr>
    </w:tbl>
    <w:p>
      <w:pPr>
        <w:spacing w:after="40"/>
      </w:pPr>
    </w:p>
    <w:p>
      <w:pPr>
        <w:spacing w:after="100"/>
      </w:pPr>
      <w:r>
        <w:rPr>
          <w:b w:val="0"/>
          <w:i w:val="0"/>
          <w:sz w:val="18"/>
        </w:rPr>
        <w:t>Decisions baked in: T1-B keeps base 660/808 PBM so coverage stays continuous at electrode sites rather than leaving PBM dead spots; T1-C carries no EEG, so deep 1064 nm PBM at an electrode site would need a fourth type, deferred as a grow-to-4 option built only if the 1064 zones and EEG sites actually overlap. At 40 mm the Fp row holds a single tile, so Fp1/Fp2 share one socket — an open item against REG-1.</w:t>
      </w:r>
    </w:p>
    <w:p>
      <w:pPr>
        <w:spacing w:after="100"/>
      </w:pPr>
      <w:r>
        <w:rPr>
          <w:b w:val="0"/>
          <w:i w:val="0"/>
          <w:sz w:val="19"/>
        </w:rPr>
        <w:t>SMART-1 (2026-07-28): every socket is I2C/TIA-capable, not a subset. Full coverage was chosen over cheaper partial coverage because the research mission — SBIR trials, IRB-approved custom studies, the research suggestion portal — depends on placing any current or future smart module type at any socket for arbitrary montage design. Subset coverage would bake a placement constraint into shell and hub tooling permanently, for every smart module type this platform will ever ship.</w:t>
      </w:r>
    </w:p>
    <w:p>
      <w:pPr>
        <w:pStyle w:val="Heading2"/>
        <w:spacing w:before="160" w:after="80"/>
      </w:pPr>
      <w:r>
        <w:t>5.3 Cluster architecture</w:t>
      </w:r>
    </w:p>
    <w:p>
      <w:pPr>
        <w:spacing w:after="100"/>
      </w:pPr>
      <w:r>
        <w:rPr>
          <w:b w:val="0"/>
          <w:i w:val="0"/>
          <w:sz w:val="19"/>
        </w:rPr>
        <w:t>The cluster is simultaneously the mechanical clamp unit, the electrical aggregation boundary, the I2C bus segment, and the safety-cut domain. Three principal directions define it:</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D9E2F3"/>
          </w:tcPr>
          <w:p>
            <w:pPr>
              <w:spacing w:after="20"/>
            </w:pPr>
            <w:r>
              <w:rPr>
                <w:b/>
                <w:sz w:val="17"/>
              </w:rPr>
              <w:t>Direction</w:t>
            </w:r>
          </w:p>
        </w:tc>
        <w:tc>
          <w:tcPr>
            <w:tcW w:type="dxa" w:w="3628"/>
            <w:shd w:val="clear" w:color="auto" w:fill="D9E2F3"/>
          </w:tcPr>
          <w:p>
            <w:pPr>
              <w:spacing w:after="20"/>
            </w:pPr>
            <w:r>
              <w:rPr>
                <w:b/>
                <w:sz w:val="17"/>
              </w:rPr>
              <w:t>Rule</w:t>
            </w:r>
          </w:p>
        </w:tc>
        <w:tc>
          <w:tcPr>
            <w:tcW w:type="dxa" w:w="4195"/>
            <w:shd w:val="clear" w:color="auto" w:fill="D9E2F3"/>
          </w:tcPr>
          <w:p>
            <w:pPr>
              <w:spacing w:after="20"/>
            </w:pPr>
            <w:r>
              <w:rPr>
                <w:b/>
                <w:sz w:val="17"/>
              </w:rPr>
              <w:t>Reason</w:t>
            </w:r>
          </w:p>
        </w:tc>
      </w:tr>
      <w:tr>
        <w:tc>
          <w:tcPr>
            <w:tcW w:type="dxa" w:w="1701"/>
          </w:tcPr>
          <w:p>
            <w:pPr>
              <w:spacing w:after="20"/>
            </w:pPr>
            <w:r>
              <w:rPr>
                <w:b/>
                <w:sz w:val="17"/>
              </w:rPr>
              <w:t>CLUSTER-1 (2026-07-30)</w:t>
            </w:r>
          </w:p>
        </w:tc>
        <w:tc>
          <w:tcPr>
            <w:tcW w:type="dxa" w:w="3628"/>
          </w:tcPr>
          <w:p>
            <w:pPr>
              <w:spacing w:after="20"/>
            </w:pPr>
            <w:r>
              <w:rPr>
                <w:b w:val="0"/>
                <w:sz w:val="17"/>
              </w:rPr>
              <w:t>The 7-hex flower is the cluster unit. Where the lattice allows a full flower, use one; where it does not, use a partial flower — not a larger patch and not a 3-hex triad.</w:t>
            </w:r>
          </w:p>
        </w:tc>
        <w:tc>
          <w:tcPr>
            <w:tcW w:type="dxa" w:w="4195"/>
          </w:tcPr>
          <w:p>
            <w:pPr>
              <w:spacing w:after="20"/>
            </w:pPr>
            <w:r>
              <w:rPr>
                <w:b w:val="0"/>
                <w:sz w:val="17"/>
              </w:rPr>
              <w:t>Mechanical. The flower minimises the cluster's longest dimension, and both clamp-plate stress and stored curvature scale off it. An 8th tile must attach on the perimeter, forcing span 122.2 → 161.8 mm, bending stress ×1.75, plate deflection ×3.07, dome depth 25.1 → 55.0 mm.</w:t>
            </w:r>
          </w:p>
        </w:tc>
      </w:tr>
      <w:tr>
        <w:tc>
          <w:tcPr>
            <w:tcW w:type="dxa" w:w="1701"/>
          </w:tcPr>
          <w:p>
            <w:pPr>
              <w:spacing w:after="20"/>
            </w:pPr>
            <w:r>
              <w:rPr>
                <w:b/>
                <w:sz w:val="17"/>
              </w:rPr>
              <w:t>SYM-1 (2026-08-04)</w:t>
            </w:r>
          </w:p>
        </w:tc>
        <w:tc>
          <w:tcPr>
            <w:tcW w:type="dxa" w:w="3628"/>
          </w:tcPr>
          <w:p>
            <w:pPr>
              <w:spacing w:after="20"/>
            </w:pPr>
            <w:r>
              <w:rPr>
                <w:b w:val="0"/>
                <w:sz w:val="17"/>
              </w:rPr>
              <w:t>The cluster partition is mirror-symmetric about the sagittal midline. Every cluster is either self-symmetric (centred on a midline socket) or one of a left/right mirror pair.</w:t>
            </w:r>
          </w:p>
        </w:tc>
        <w:tc>
          <w:tcPr>
            <w:tcW w:type="dxa" w:w="4195"/>
          </w:tcPr>
          <w:p>
            <w:pPr>
              <w:spacing w:after="20"/>
            </w:pPr>
            <w:r>
              <w:rPr>
                <w:b w:val="0"/>
                <w:sz w:val="17"/>
              </w:rPr>
              <w:t>A cluster holding a midline socket must equal its own mirror image, so six midline clusters are forced, absorbing 30 sockets; the two residual lateral bands of 25 need 6 each. Cost: 6 extra clusters and about $38, accepted because the cluster is both the safety-cut domain and the I2C segment — an asymmetric partition would make a per-cluster safety cut asymmetric across hemispheres.</w:t>
            </w:r>
          </w:p>
        </w:tc>
      </w:tr>
      <w:tr>
        <w:tc>
          <w:tcPr>
            <w:tcW w:type="dxa" w:w="1701"/>
          </w:tcPr>
          <w:p>
            <w:pPr>
              <w:spacing w:after="20"/>
            </w:pPr>
            <w:r>
              <w:rPr>
                <w:b/>
                <w:sz w:val="17"/>
              </w:rPr>
              <w:t>CONTIG-1 (2026-08-04)</w:t>
            </w:r>
          </w:p>
        </w:tc>
        <w:tc>
          <w:tcPr>
            <w:tcW w:type="dxa" w:w="3628"/>
          </w:tcPr>
          <w:p>
            <w:pPr>
              <w:spacing w:after="20"/>
            </w:pPr>
            <w:r>
              <w:rPr>
                <w:b w:val="0"/>
                <w:sz w:val="17"/>
              </w:rPr>
              <w:t>A cluster's petals must form a contiguous arc — no pendant petal (one whose only in-cluster contact is the centre, with foreign sockets on both flanks).</w:t>
            </w:r>
          </w:p>
        </w:tc>
        <w:tc>
          <w:tcPr>
            <w:tcW w:type="dxa" w:w="4195"/>
          </w:tcPr>
          <w:p>
            <w:pPr>
              <w:spacing w:after="20"/>
            </w:pPr>
            <w:r>
              <w:rPr>
                <w:b w:val="0"/>
                <w:sz w:val="17"/>
              </w:rPr>
              <w:t>The clamp plate cannot bridge a gap, because the gap socket belongs to a differently-actuated cluster. It would need a 40 mm cantilever arm necked to 23.09 mm following 2.33 mm of dome — under-seating that plunger and creating a withdrawal snag path. Resolved at zero cost in cluster count by reassignment.</w:t>
            </w:r>
          </w:p>
        </w:tc>
      </w:tr>
    </w:tbl>
    <w:p>
      <w:pPr>
        <w:spacing w:after="40"/>
      </w:pPr>
    </w:p>
    <w:p>
      <w:pPr>
        <w:spacing w:after="100"/>
      </w:pPr>
      <w:r>
        <w:rPr>
          <w:b/>
          <w:i w:val="0"/>
          <w:sz w:val="19"/>
        </w:rPr>
        <w:t>Resulting count: 18 clusters at the shipped 80-socket lattice — provably minimal under CLUSTER-1 + SYM-1 + CONTIG-1, mirror-symmetric, maximum size 6, zero pendants. Derivation at NP-HW-HEXTILE-001 §8.2.1; verified by HT-DRC-21; diagram at docs/diagrams/np_hextile_cluster_map.svg.</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COUNT CONFLICT, OPEN. </w:t>
            </w:r>
            <w:r>
              <w:rPr>
                <w:sz w:val="19"/>
              </w:rPr>
              <w:t>The 18-cluster count post-dates NP-DRV-SHELL-002 Rev 2 and NP-HW-HUB-001 Rev 3, both of which were written against ~12. Consequences not yet corrected in those documents (OI-HEXTILE-14): cluster-tier BOM $76.08 → $114.12; analog front ends scale with 18, not 12; and 18 exceeds BOTH the 16 provisioned connector positions AND the 8 branches × ≤2 clusters I2C tree. Interconnect options and a recommendation are recorded at NP-HW-HEXTILE-001 §8.2.2. The five-network split, the cluster-carrier selection and the zero-dynamic-flex conclusion are unaffected — only the counts and the enable ownership.</w:t>
            </w:r>
          </w:p>
        </w:tc>
      </w:tr>
    </w:tbl>
    <w:p>
      <w:pPr>
        <w:spacing w:after="40"/>
      </w:pPr>
    </w:p>
    <w:p>
      <w:pPr>
        <w:pStyle w:val="Heading2"/>
        <w:spacing w:before="160" w:after="80"/>
      </w:pPr>
      <w:r>
        <w:t>5.4 Hub PCB Rev C — distributed cluster-controller tier</w:t>
      </w:r>
    </w:p>
    <w:p>
      <w:pPr>
        <w:spacing w:after="100"/>
      </w:pPr>
      <w:r>
        <w:rPr>
          <w:b w:val="0"/>
          <w:i w:val="0"/>
          <w:sz w:val="19"/>
        </w:rPr>
        <w:t>Key finding: the binding constraint is interconnect, not I2C mux count. Rev B is a star — every socket's analog and digital lines terminate at the hub — so scaling it to 80 sockets needs roughly 11 conductors × 80 ≈ 880 conductors through the single posterior blind-mate boss, 160 TIA channels and 160 ADC channels against about 32 available on the RT1062, plus 80 GAIN_SEL GPIO. A deeper PCA9546A mux tree — the obvious answer — fixes address collision and leaves all of that untouched, so it was rejected, along with per-socket address translation (LTC4316, roughly $200) and a hub-side scanning MCU. Both are still stars.</w:t>
      </w:r>
    </w:p>
    <w:p>
      <w:pPr>
        <w:spacing w:after="100"/>
      </w:pPr>
      <w:r>
        <w:rPr>
          <w:b/>
          <w:i w:val="0"/>
          <w:sz w:val="19"/>
        </w:rPr>
        <w:t>Each cluster board carries:</w:t>
      </w:r>
    </w:p>
    <w:p>
      <w:pPr>
        <w:pStyle w:val="ListBullet"/>
        <w:spacing w:after="40"/>
      </w:pPr>
      <w:r>
        <w:rPr>
          <w:sz w:val="19"/>
        </w:rPr>
        <w:t>One STM32G071 cluster controller.</w:t>
      </w:r>
    </w:p>
    <w:p>
      <w:pPr>
        <w:pStyle w:val="ListBullet"/>
        <w:spacing w:after="40"/>
      </w:pPr>
      <w:r>
        <w:rPr>
          <w:sz w:val="19"/>
        </w:rPr>
        <w:t>One NXP PCA9548A for I2C isolation — an exact 8-channel fit. Tier-1 controllers have unique strapped addresses, so no mux is needed there at all.</w:t>
      </w:r>
    </w:p>
    <w:p>
      <w:pPr>
        <w:pStyle w:val="ListBullet"/>
        <w:spacing w:after="40"/>
      </w:pPr>
      <w:r>
        <w:rPr>
          <w:sz w:val="19"/>
        </w:rPr>
        <w:t>One 16:1 low-leakage mux feeding PD1/PD2 currents into one shared switchable-gain TIA.</w:t>
      </w:r>
    </w:p>
    <w:p>
      <w:pPr>
        <w:pStyle w:val="ListBullet"/>
        <w:spacing w:after="40"/>
      </w:pPr>
      <w:r>
        <w:rPr>
          <w:sz w:val="19"/>
        </w:rPr>
        <w:t>The per-socket LED drive stage (still unwritten — the largest open item, OI-HUB-C01…C19).</w:t>
      </w:r>
    </w:p>
    <w:p>
      <w:pPr>
        <w:spacing w:after="100"/>
      </w:pPr>
      <w:r>
        <w:rPr>
          <w:b/>
          <w:i w:val="0"/>
          <w:sz w:val="19"/>
        </w:rPr>
        <w:t>Four consequences worth recording:</w:t>
      </w:r>
    </w:p>
    <w:p>
      <w:pPr>
        <w:pStyle w:val="ListBullet"/>
        <w:spacing w:after="40"/>
      </w:pPr>
      <w:r>
        <w:rPr>
          <w:sz w:val="19"/>
        </w:rPr>
        <w:t>The hub PCB no longer encodes the socket count at all — no per-socket footprint, net or n_sockets-derived constant — so REG-1 no longer blocks hub tooling, and the lattice can move anywhere in 30–128 sockets by re-tooling inner-bowl boards only.</w:t>
      </w:r>
    </w:p>
    <w:p>
      <w:pPr>
        <w:pStyle w:val="ListBullet"/>
        <w:spacing w:after="40"/>
      </w:pPr>
      <w:r>
        <w:rPr>
          <w:sz w:val="19"/>
        </w:rPr>
        <w:t>Zero GAIN_SEL GPIO. Gain is a cluster-MCU pin set per sample from live UID inventory inside the scan loop, which also removes Rev B's stale-gain-after-hot-swap hazard, with no shift register or GPIO expander.</w:t>
      </w:r>
    </w:p>
    <w:p>
      <w:pPr>
        <w:pStyle w:val="ListBullet"/>
        <w:spacing w:after="40"/>
      </w:pPr>
      <w:r>
        <w:rPr>
          <w:sz w:val="19"/>
        </w:rPr>
        <w:t>PD1/PD2 ratio accuracy improves. Both photodiodes now traverse the same mux, Rf, op-amp and ADC, so gain error is common-mode and cancels exactly in the ratio the fouling-versus-aging discriminant rests on — retiring Rev B's ≤0.5% per-slot matching requirement.</w:t>
      </w:r>
    </w:p>
    <w:p>
      <w:pPr>
        <w:pStyle w:val="ListBullet"/>
        <w:spacing w:after="40"/>
      </w:pPr>
      <w:r>
        <w:rPr>
          <w:sz w:val="19"/>
        </w:rPr>
        <w:t>Calibration coefficients K_PD1 / K_PD2 / K_ratio_nom must be keyed to MODULE UID in the existing UID-keyed np_module_map NVRAM record, never re-indexed by socket — a swappable module re-indexed by socket would silently apply the wrong calibration while cal_source still read NP_CAL_FACTORY (OI-HUB-C06).</w:t>
      </w:r>
    </w:p>
    <w:p>
      <w:pPr>
        <w:spacing w:after="100"/>
      </w:pPr>
      <w:r>
        <w:rPr>
          <w:b w:val="0"/>
          <w:i w:val="0"/>
          <w:sz w:val="19"/>
        </w:rPr>
        <w:t>Hub ↔ inner bowl is one differential I2C bus (PCA9615-class) plus an ATTN line, with a firmware bus-quiet window in the ADS1299 inter-conversion gaps. Differential was chosen chiefly because a single-ended 400 kHz open-drain bus running past µV EEG leads would repeat the mistake NP-HEX-ZM-001 §5.3.1 rejects for the Helmholtz coil. BOM: $6.34 per cluster board, roughly +$1.09 net on the hub PCB itself. Status: DRAFT — the socket count and every part number are explicitly open; none of the hub-side fan-out is implemented yet.</w:t>
      </w:r>
    </w:p>
    <w:p>
      <w:pPr>
        <w:pStyle w:val="Heading2"/>
        <w:spacing w:before="160" w:after="80"/>
      </w:pPr>
      <w:r>
        <w:t>5.5 Shell socket interconnect (NP-DRV-SHELL-002 Rev 2, DRAFT)</w:t>
      </w:r>
    </w:p>
    <w:p>
      <w:pPr>
        <w:spacing w:after="100"/>
      </w:pPr>
      <w:r>
        <w:rPr>
          <w:b w:val="0"/>
          <w:i w:val="0"/>
          <w:sz w:val="19"/>
        </w:rPr>
        <w:t>The inherited assumption that was retired: "the Hub PCB is where module signals are conditioned." Retiring it is what collapses the SMART-1 residual — analog front ends now scale with cluster count, the same order as the five they replace, rather than with socket count. Rejected alternatives, with reasons: per-socket tails (80 ZIF receptacles need about 960 mm of hub connector edge and put 1,600 conductors on one board — rejected on arithmetic); a monolithic L1 backplane (makes the socket layer a single non-repairable part, fights the compound curvature, and maximises conductive mass on the one layer constrained to non-magnetic / low-eddy because the fluxgates mount there).</w:t>
      </w:r>
    </w:p>
    <w:p>
      <w:pPr>
        <w:spacing w:after="100"/>
      </w:pPr>
      <w:r>
        <w:rPr>
          <w:b/>
          <w:i w:val="0"/>
          <w:sz w:val="19"/>
        </w:rPr>
        <w:t>Five networks split by physics: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D9E2F3"/>
          </w:tcPr>
          <w:p>
            <w:pPr>
              <w:spacing w:after="20"/>
            </w:pPr>
            <w:r>
              <w:rPr>
                <w:b/>
                <w:sz w:val="17"/>
              </w:rPr>
              <w:t>Network</w:t>
            </w:r>
          </w:p>
        </w:tc>
        <w:tc>
          <w:tcPr>
            <w:tcW w:type="dxa" w:w="2608"/>
            <w:shd w:val="clear" w:color="auto" w:fill="D9E2F3"/>
          </w:tcPr>
          <w:p>
            <w:pPr>
              <w:spacing w:after="20"/>
            </w:pPr>
            <w:r>
              <w:rPr>
                <w:b/>
                <w:sz w:val="17"/>
              </w:rPr>
              <w:t>Carries</w:t>
            </w:r>
          </w:p>
        </w:tc>
        <w:tc>
          <w:tcPr>
            <w:tcW w:type="dxa" w:w="5216"/>
            <w:shd w:val="clear" w:color="auto" w:fill="D9E2F3"/>
          </w:tcPr>
          <w:p>
            <w:pPr>
              <w:spacing w:after="20"/>
            </w:pPr>
            <w:r>
              <w:rPr>
                <w:b/>
                <w:sz w:val="17"/>
              </w:rPr>
              <w:t>Constraint</w:t>
            </w:r>
          </w:p>
        </w:tc>
      </w:tr>
      <w:tr>
        <w:tc>
          <w:tcPr>
            <w:tcW w:type="dxa" w:w="1701"/>
          </w:tcPr>
          <w:p>
            <w:pPr>
              <w:spacing w:after="20"/>
            </w:pPr>
            <w:r>
              <w:rPr>
                <w:b/>
                <w:sz w:val="17"/>
              </w:rPr>
              <w:t>N1 — power</w:t>
            </w:r>
          </w:p>
        </w:tc>
        <w:tc>
          <w:tcPr>
            <w:tcW w:type="dxa" w:w="2608"/>
          </w:tcPr>
          <w:p>
            <w:pPr>
              <w:spacing w:after="20"/>
            </w:pPr>
            <w:r>
              <w:rPr>
                <w:b w:val="0"/>
                <w:sz w:val="17"/>
              </w:rPr>
              <w:t>LED and stimulation rails</w:t>
            </w:r>
          </w:p>
        </w:tc>
        <w:tc>
          <w:tcPr>
            <w:tcW w:type="dxa" w:w="5216"/>
          </w:tcPr>
          <w:p>
            <w:pPr>
              <w:spacing w:after="20"/>
            </w:pPr>
            <w:r>
              <w:rPr>
                <w:b w:val="0"/>
                <w:sz w:val="17"/>
              </w:rPr>
              <w:t>Broadside VLED+/PGND tree; ≤25 mm² loop area per cluster feed. May not form a closed ring on L1 (bowl-scale loop antenna).</w:t>
            </w:r>
          </w:p>
        </w:tc>
      </w:tr>
      <w:tr>
        <w:tc>
          <w:tcPr>
            <w:tcW w:type="dxa" w:w="1701"/>
          </w:tcPr>
          <w:p>
            <w:pPr>
              <w:spacing w:after="20"/>
            </w:pPr>
            <w:r>
              <w:rPr>
                <w:b/>
                <w:sz w:val="17"/>
              </w:rPr>
              <w:t>N2 — control</w:t>
            </w:r>
          </w:p>
        </w:tc>
        <w:tc>
          <w:tcPr>
            <w:tcW w:type="dxa" w:w="2608"/>
          </w:tcPr>
          <w:p>
            <w:pPr>
              <w:spacing w:after="20"/>
            </w:pPr>
            <w:r>
              <w:rPr>
                <w:b w:val="0"/>
                <w:sz w:val="17"/>
              </w:rPr>
              <w:t>I2C</w:t>
            </w:r>
          </w:p>
        </w:tc>
        <w:tc>
          <w:tcPr>
            <w:tcW w:type="dxa" w:w="5216"/>
          </w:tcPr>
          <w:p>
            <w:pPr>
              <w:spacing w:after="20"/>
            </w:pPr>
            <w:r>
              <w:rPr>
                <w:b w:val="0"/>
                <w:sz w:val="17"/>
              </w:rPr>
              <w:t>Two-level tree: 8 branches × ≤2 clusters × ≤8 sockets = 128.</w:t>
            </w:r>
          </w:p>
        </w:tc>
      </w:tr>
      <w:tr>
        <w:tc>
          <w:tcPr>
            <w:tcW w:type="dxa" w:w="1701"/>
          </w:tcPr>
          <w:p>
            <w:pPr>
              <w:spacing w:after="20"/>
            </w:pPr>
            <w:r>
              <w:rPr>
                <w:b/>
                <w:sz w:val="17"/>
              </w:rPr>
              <w:t>N3 — local sense</w:t>
            </w:r>
          </w:p>
        </w:tc>
        <w:tc>
          <w:tcPr>
            <w:tcW w:type="dxa" w:w="2608"/>
          </w:tcPr>
          <w:p>
            <w:pPr>
              <w:spacing w:after="20"/>
            </w:pPr>
            <w:r>
              <w:rPr>
                <w:b w:val="0"/>
                <w:sz w:val="17"/>
              </w:rPr>
              <w:t>PD1/PD2 at 14–72 µA; EEG at sub-µV</w:t>
            </w:r>
          </w:p>
        </w:tc>
        <w:tc>
          <w:tcPr>
            <w:tcW w:type="dxa" w:w="5216"/>
          </w:tcPr>
          <w:p>
            <w:pPr>
              <w:spacing w:after="20"/>
            </w:pPr>
            <w:r>
              <w:rPr>
                <w:b w:val="0"/>
                <w:sz w:val="17"/>
              </w:rPr>
              <w:t>≤50 mm, never leaves its own cluster carrier. High-impedance analog cannot travel; the cluster is the nearest conversion point that already exists.</w:t>
            </w:r>
          </w:p>
        </w:tc>
      </w:tr>
      <w:tr>
        <w:tc>
          <w:tcPr>
            <w:tcW w:type="dxa" w:w="1701"/>
          </w:tcPr>
          <w:p>
            <w:pPr>
              <w:spacing w:after="20"/>
            </w:pPr>
            <w:r>
              <w:rPr>
                <w:b/>
                <w:sz w:val="17"/>
              </w:rPr>
              <w:t>N4 — electrode</w:t>
            </w:r>
          </w:p>
        </w:tc>
        <w:tc>
          <w:tcPr>
            <w:tcW w:type="dxa" w:w="2608"/>
          </w:tcPr>
          <w:p>
            <w:pPr>
              <w:spacing w:after="20"/>
            </w:pPr>
            <w:r>
              <w:rPr>
                <w:b w:val="0"/>
                <w:sz w:val="17"/>
              </w:rPr>
              <w:t>EEG / tES conductors</w:t>
            </w:r>
          </w:p>
        </w:tc>
        <w:tc>
          <w:tcPr>
            <w:tcW w:type="dxa" w:w="5216"/>
          </w:tcPr>
          <w:p>
            <w:pPr>
              <w:spacing w:after="20"/>
            </w:pPr>
            <w:r>
              <w:rPr>
                <w:b w:val="0"/>
                <w:sz w:val="17"/>
              </w:rPr>
              <w:t>Sized by channel count (8 or 21), not socket count.</w:t>
            </w:r>
          </w:p>
        </w:tc>
      </w:tr>
      <w:tr>
        <w:tc>
          <w:tcPr>
            <w:tcW w:type="dxa" w:w="1701"/>
          </w:tcPr>
          <w:p>
            <w:pPr>
              <w:spacing w:after="20"/>
            </w:pPr>
            <w:r>
              <w:rPr>
                <w:b/>
                <w:sz w:val="17"/>
              </w:rPr>
              <w:t>N5 — safety</w:t>
            </w:r>
          </w:p>
        </w:tc>
        <w:tc>
          <w:tcPr>
            <w:tcW w:type="dxa" w:w="2608"/>
          </w:tcPr>
          <w:p>
            <w:pPr>
              <w:spacing w:after="20"/>
            </w:pPr>
            <w:r>
              <w:rPr>
                <w:b w:val="0"/>
                <w:sz w:val="17"/>
              </w:rPr>
              <w:t>Per-cluster hardware enable</w:t>
            </w:r>
          </w:p>
        </w:tc>
        <w:tc>
          <w:tcPr>
            <w:tcW w:type="dxa" w:w="5216"/>
          </w:tcPr>
          <w:p>
            <w:pPr>
              <w:spacing w:after="20"/>
            </w:pPr>
            <w:r>
              <w:rPr>
                <w:b w:val="0"/>
                <w:sz w:val="17"/>
              </w:rPr>
              <w:t>SAFE_EN_n gates each cluster's high-side load switch, so no module firmware state, stuck I2C transaction or main-processor hang can produce emission from a de-energized cluster. CONTESTED against the single-bit cranial enable — see below.</w:t>
            </w:r>
          </w:p>
        </w:tc>
      </w:tr>
    </w:tbl>
    <w:p>
      <w:pPr>
        <w:spacing w:after="40"/>
      </w:pPr>
    </w:p>
    <w:p>
      <w:pPr>
        <w:spacing w:after="100"/>
      </w:pPr>
      <w:r>
        <w:rPr>
          <w:b/>
          <w:i w:val="0"/>
          <w:sz w:val="19"/>
        </w:rPr>
        <w:t>Three EMI prohibitions locked:</w:t>
      </w:r>
    </w:p>
    <w:p>
      <w:pPr>
        <w:pStyle w:val="ListBullet"/>
        <w:spacing w:after="40"/>
      </w:pPr>
      <w:r>
        <w:rPr>
          <w:sz w:val="19"/>
        </w:rPr>
        <w:t>The shell, shield stack, mu-metal and any DRL-driven structure may NOT carry LED or tES return current (REQ-EMI-08). The shell is a driven EEG shield, so returning therapeutic-band current through it injects that current into the EEG reference.</w:t>
      </w:r>
    </w:p>
    <w:p>
      <w:pPr>
        <w:pStyle w:val="ListBullet"/>
        <w:spacing w:after="40"/>
      </w:pPr>
      <w:r>
        <w:rPr>
          <w:sz w:val="19"/>
        </w:rPr>
        <w:t>N1 may NOT form a closed ring on L1 (REQ-EMI-09).</w:t>
      </w:r>
    </w:p>
    <w:p>
      <w:pPr>
        <w:pStyle w:val="ListBullet"/>
        <w:spacing w:after="40"/>
      </w:pPr>
      <w:r>
        <w:rPr>
          <w:sz w:val="19"/>
        </w:rPr>
        <w:t>Spread-spectrum / dithered PWM is PROHIBITED (REQ-EMI-03/04) — inverting standard EMC practice. Dither smears bus energy into broadband noise across the EEG band that neither the notch nor subtraction can remove, whereas a deterministic phase-locked artifact is a known, subtractable line.</w:t>
      </w:r>
    </w:p>
    <w:p>
      <w:pPr>
        <w:spacing w:after="100"/>
      </w:pPr>
      <w:r>
        <w:rPr>
          <w:b w:val="0"/>
          <w:i w:val="0"/>
          <w:sz w:val="19"/>
        </w:rPr>
        <w:t>The therapeutic band cannot be filtered off the bus, and this is arithmetic rather than opinion: holding a 40 Hz / 25% pulse at 0.25 A within 100 mV needs 15.6 mF per tile, while the PWM carrier needs about 62 µF and the edges about 10 µF. On-tile decoupling therefore kills the carrier and the edges and cannot touch the 0.5–100 Hz envelope — which IS the therapy, and sits in exactly the EEG band and the ELF band the Helmholtz loop cancels. It must be handled geometrically and computationally, never by filtering.</w:t>
      </w:r>
    </w:p>
    <w:p>
      <w:pPr>
        <w:spacing w:after="100"/>
      </w:pPr>
      <w:r>
        <w:rPr>
          <w:b w:val="0"/>
          <w:i w:val="0"/>
          <w:sz w:val="19"/>
        </w:rPr>
        <w:t>Modules lose their tail. A hex tile presents an 18-contact back-face pad array seated by the cluster clamp plunger, so the module interconnect has zero dynamic-flex paths — the retired architecture's dominant failure mode (fatigue cracking at a stiffener edge over 1,000 swap cycles) is designed out rather than mitigated. Non-obvious coupling recorded: contact count drives clamp-plate load (roughly 38–63 N at 18 contacts per 7-tile cluster), so contact count is a RISK-22 accessibility variable.</w:t>
      </w:r>
    </w:p>
    <w:p>
      <w:pPr>
        <w:spacing w:after="100"/>
      </w:pPr>
      <w:r>
        <w:rPr>
          <w:b w:val="0"/>
          <w:i w:val="0"/>
          <w:sz w:val="19"/>
        </w:rPr>
        <w:t>Conductor count, stated honestly: 144 conductors at the hub PCB (EEG included) versus 110 for the retired design and 1,600 for per-socket tails. That is about 1.3× the retired count for 16× the sockets — not a reduction, and the document does not claim one. Cancellation calibration is now configuration-dependent, because any tile type may occupy any socket: recalibration fires on np_module_map rebuild, and feed-forward self-field subtraction must bind to measured PD/dose telemetry, not commanded current, since LED aging, PD-metered compensation and the 62 °C throttle all make actual current diverge from commanded.</w:t>
      </w:r>
    </w:p>
    <w:p>
      <w:pPr>
        <w:pStyle w:val="Heading2"/>
        <w:spacing w:before="160" w:after="80"/>
      </w:pPr>
      <w:r>
        <w:t>5.6 Safety architecture</w:t>
      </w:r>
    </w:p>
    <w:p>
      <w:pPr>
        <w:pStyle w:val="ListBullet"/>
        <w:spacing w:after="40"/>
      </w:pPr>
      <w:r>
        <w:rPr>
          <w:sz w:val="19"/>
        </w:rPr>
        <w:t>The safety MCU physically owns all stimulation enable GPIO — an app crash cannot cause unsafe stimulation.</w:t>
      </w:r>
    </w:p>
    <w:p>
      <w:pPr>
        <w:pStyle w:val="ListBullet"/>
        <w:spacing w:after="40"/>
      </w:pPr>
      <w:r>
        <w:rPr>
          <w:sz w:val="19"/>
        </w:rPr>
        <w:t>SPI heartbeat from the main processor every 200 ms; 1.5 s watchdog → all-stimulation cutoff &lt;50 ms.</w:t>
      </w:r>
    </w:p>
    <w:p>
      <w:pPr>
        <w:pStyle w:val="ListBullet"/>
        <w:spacing w:after="40"/>
      </w:pPr>
      <w:r>
        <w:rPr>
          <w:sz w:val="19"/>
        </w:rPr>
        <w:t>Dual-processor isolation: IEC 62304 Class C (safety MCU, bare-metal — ~1,600 physical lines across 9 modules as of 2026-08; wc -l firmware/safety_mcu/src/*.c is the source of truth) and Class B (main processor) separately certified. The safety-MCU enable gates each cluster's LED rail UPSTREAM of the cluster MCU (HUB-REQ-C02), preserving dual-processor isolation across the new tier.</w:t>
      </w:r>
    </w:p>
    <w:p>
      <w:pPr>
        <w:pStyle w:val="ListBullet"/>
        <w:spacing w:after="40"/>
      </w:pPr>
      <w:r>
        <w:rPr>
          <w:sz w:val="19"/>
        </w:rPr>
        <w:t>Session protocols are cryptographically signed by the app; the headset rejects unsigned or corrupted protocols.</w:t>
      </w:r>
    </w:p>
    <w:p>
      <w:pPr>
        <w:pStyle w:val="ListBullet"/>
        <w:spacing w:after="40"/>
      </w:pPr>
      <w:r>
        <w:rPr>
          <w:sz w:val="19"/>
        </w:rPr>
        <w:t>Enable word: bit 0 is NP_SAFETY_EN_PBM_CRANIAL; bits 1–4 are reserved holes EXCLUDED from NP_SAFETY_EN_ALL_MASK (0x3FFF → 0x3FE1), so a hub still setting a retired zone bit has it stripped in np_spi_watchdog_tick rather than enabling something else. The bit position is deliberately NOT compacted: enable-bit position ≡ current_ua[] slot ≡ charge-accumulator index is a three-way Class C identity that the 40 µC/cm² limit rests on.</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SAFETY GRANULARITY, OPEN. </w:t>
            </w:r>
            <w:r>
              <w:rPr>
                <w:sz w:val="19"/>
              </w:rPr>
              <w:t>Whether the safety layer can cut ONE cluster or only the whole cranial lattice is open. NP-DRV-SHELL-002 specifies per-cluster SAFE_EN_n (18 GPIO); NP-HW-HUB-001 Rev 3 §7.2 specifies a single cranial bit (1 GPIO, all-or-nothing). Per-cluster policy bits would need the enable word widened to uint32_t (18 cluster + 9 modality = 27 &gt; 16). Tracked as OI-HUB-C07 / OI-HEXTILE-13; proposed resolution at NP-HW-HEXTILE-001 §8.4.1 — split the enable by IEC 62304 class, with Class B per-cluster gates for availability and one Class C bit in series as the hard interlock.</w:t>
            </w:r>
          </w:p>
        </w:tc>
      </w:tr>
    </w:tbl>
    <w:p>
      <w:pPr>
        <w:spacing w:after="40"/>
      </w:pPr>
    </w:p>
    <w:p>
      <w:pPr>
        <w:spacing w:after="100"/>
      </w:pPr>
      <w:r>
        <w:rPr>
          <w:b/>
          <w:i w:val="0"/>
          <w:sz w:val="19"/>
        </w:rPr>
        <w:t>Modality-specific interlocks:</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color="auto" w:fill="D9E2F3"/>
          </w:tcPr>
          <w:p>
            <w:pPr>
              <w:spacing w:after="20"/>
            </w:pPr>
            <w:r>
              <w:rPr>
                <w:b/>
                <w:sz w:val="17"/>
              </w:rPr>
              <w:t>Modality</w:t>
            </w:r>
          </w:p>
        </w:tc>
        <w:tc>
          <w:tcPr>
            <w:tcW w:type="dxa" w:w="2494"/>
            <w:shd w:val="clear" w:color="auto" w:fill="D9E2F3"/>
          </w:tcPr>
          <w:p>
            <w:pPr>
              <w:spacing w:after="20"/>
            </w:pPr>
            <w:r>
              <w:rPr>
                <w:b/>
                <w:sz w:val="17"/>
              </w:rPr>
              <w:t>Interlock</w:t>
            </w:r>
          </w:p>
        </w:tc>
        <w:tc>
          <w:tcPr>
            <w:tcW w:type="dxa" w:w="5216"/>
            <w:shd w:val="clear" w:color="auto" w:fill="D9E2F3"/>
          </w:tcPr>
          <w:p>
            <w:pPr>
              <w:spacing w:after="20"/>
            </w:pPr>
            <w:r>
              <w:rPr>
                <w:b/>
                <w:sz w:val="17"/>
              </w:rPr>
              <w:t>Implementation</w:t>
            </w:r>
          </w:p>
        </w:tc>
      </w:tr>
      <w:tr>
        <w:tc>
          <w:tcPr>
            <w:tcW w:type="dxa" w:w="1814"/>
          </w:tcPr>
          <w:p>
            <w:pPr>
              <w:spacing w:after="20"/>
            </w:pPr>
            <w:r>
              <w:rPr>
                <w:b/>
                <w:sz w:val="17"/>
              </w:rPr>
              <w:t>EEG + visual</w:t>
            </w:r>
          </w:p>
        </w:tc>
        <w:tc>
          <w:tcPr>
            <w:tcW w:type="dxa" w:w="2494"/>
          </w:tcPr>
          <w:p>
            <w:pPr>
              <w:spacing w:after="20"/>
            </w:pPr>
            <w:r>
              <w:rPr>
                <w:b w:val="0"/>
                <w:sz w:val="17"/>
              </w:rPr>
              <w:t>Photoparoxysmal detection → goggle halt</w:t>
            </w:r>
          </w:p>
        </w:tc>
        <w:tc>
          <w:tcPr>
            <w:tcW w:type="dxa" w:w="5216"/>
          </w:tcPr>
          <w:p>
            <w:pPr>
              <w:spacing w:after="20"/>
            </w:pPr>
            <w:r>
              <w:rPr>
                <w:b w:val="0"/>
                <w:sz w:val="17"/>
              </w:rPr>
              <w:t>Oz electrode, &lt;200 ms, clinician-unlock required for 3–30 Hz</w:t>
            </w:r>
          </w:p>
        </w:tc>
      </w:tr>
      <w:tr>
        <w:tc>
          <w:tcPr>
            <w:tcW w:type="dxa" w:w="1814"/>
          </w:tcPr>
          <w:p>
            <w:pPr>
              <w:spacing w:after="20"/>
            </w:pPr>
            <w:r>
              <w:rPr>
                <w:b/>
                <w:sz w:val="17"/>
              </w:rPr>
              <w:t>BES / tDCS</w:t>
            </w:r>
          </w:p>
        </w:tc>
        <w:tc>
          <w:tcPr>
            <w:tcW w:type="dxa" w:w="2494"/>
          </w:tcPr>
          <w:p>
            <w:pPr>
              <w:spacing w:after="20"/>
            </w:pPr>
            <w:r>
              <w:rPr>
                <w:b w:val="0"/>
                <w:sz w:val="17"/>
              </w:rPr>
              <w:t>40 µC/cm² charge density limit</w:t>
            </w:r>
          </w:p>
        </w:tc>
        <w:tc>
          <w:tcPr>
            <w:tcW w:type="dxa" w:w="5216"/>
          </w:tcPr>
          <w:p>
            <w:pPr>
              <w:spacing w:after="20"/>
            </w:pPr>
            <w:r>
              <w:rPr>
                <w:b w:val="0"/>
                <w:sz w:val="17"/>
              </w:rPr>
              <w:t>Safety MCU hardware — the app cannot override</w:t>
            </w:r>
          </w:p>
        </w:tc>
      </w:tr>
      <w:tr>
        <w:tc>
          <w:tcPr>
            <w:tcW w:type="dxa" w:w="1814"/>
          </w:tcPr>
          <w:p>
            <w:pPr>
              <w:spacing w:after="20"/>
            </w:pPr>
            <w:r>
              <w:rPr>
                <w:b/>
                <w:sz w:val="17"/>
              </w:rPr>
              <w:t>Visual / retinal</w:t>
            </w:r>
          </w:p>
        </w:tc>
        <w:tc>
          <w:tcPr>
            <w:tcW w:type="dxa" w:w="2494"/>
          </w:tcPr>
          <w:p>
            <w:pPr>
              <w:spacing w:after="20"/>
            </w:pPr>
            <w:r>
              <w:rPr>
                <w:b w:val="0"/>
                <w:sz w:val="17"/>
              </w:rPr>
              <w:t>IEC 62471 MPE ceiling</w:t>
            </w:r>
          </w:p>
        </w:tc>
        <w:tc>
          <w:tcPr>
            <w:tcW w:type="dxa" w:w="5216"/>
          </w:tcPr>
          <w:p>
            <w:pPr>
              <w:spacing w:after="20"/>
            </w:pPr>
            <w:r>
              <w:rPr>
                <w:b w:val="0"/>
                <w:sz w:val="17"/>
              </w:rPr>
              <w:t>IR proximity + Hall sensor + hardware current limit (3 independent layers)</w:t>
            </w:r>
          </w:p>
        </w:tc>
      </w:tr>
      <w:tr>
        <w:tc>
          <w:tcPr>
            <w:tcW w:type="dxa" w:w="1814"/>
          </w:tcPr>
          <w:p>
            <w:pPr>
              <w:spacing w:after="20"/>
            </w:pPr>
            <w:r>
              <w:rPr>
                <w:b/>
                <w:sz w:val="17"/>
              </w:rPr>
              <w:t>PBM scalp</w:t>
            </w:r>
          </w:p>
        </w:tc>
        <w:tc>
          <w:tcPr>
            <w:tcW w:type="dxa" w:w="2494"/>
          </w:tcPr>
          <w:p>
            <w:pPr>
              <w:spacing w:after="20"/>
            </w:pPr>
            <w:r>
              <w:rPr>
                <w:b w:val="0"/>
                <w:sz w:val="17"/>
              </w:rPr>
              <w:t>IEC 60601 42 °C applied-part limit</w:t>
            </w:r>
          </w:p>
        </w:tc>
        <w:tc>
          <w:tcPr>
            <w:tcW w:type="dxa" w:w="5216"/>
          </w:tcPr>
          <w:p>
            <w:pPr>
              <w:spacing w:after="20"/>
            </w:pPr>
            <w:r>
              <w:rPr>
                <w:b w:val="0"/>
                <w:sz w:val="17"/>
              </w:rPr>
              <w:t>NTC per sense domain → hardware current throttle at 62 °C junction</w:t>
            </w:r>
          </w:p>
        </w:tc>
      </w:tr>
      <w:tr>
        <w:tc>
          <w:tcPr>
            <w:tcW w:type="dxa" w:w="1814"/>
          </w:tcPr>
          <w:p>
            <w:pPr>
              <w:spacing w:after="20"/>
            </w:pPr>
            <w:r>
              <w:rPr>
                <w:b/>
                <w:sz w:val="17"/>
              </w:rPr>
              <w:t>PBM scalp — fan loss</w:t>
            </w:r>
          </w:p>
        </w:tc>
        <w:tc>
          <w:tcPr>
            <w:tcW w:type="dxa" w:w="2494"/>
          </w:tcPr>
          <w:p>
            <w:pPr>
              <w:spacing w:after="20"/>
            </w:pPr>
            <w:r>
              <w:rPr>
                <w:b w:val="0"/>
                <w:sz w:val="17"/>
              </w:rPr>
              <w:t>Scalp-facing NTC (RISK-26, Path B1)</w:t>
            </w:r>
          </w:p>
        </w:tc>
        <w:tc>
          <w:tcPr>
            <w:tcW w:type="dxa" w:w="5216"/>
          </w:tcPr>
          <w:p>
            <w:pPr>
              <w:spacing w:after="20"/>
            </w:pPr>
            <w:r>
              <w:rPr>
                <w:b w:val="0"/>
                <w:sz w:val="17"/>
              </w:rPr>
              <w:t>NTC co-located with PD2 (NP-REQ-FANHEALTH-001 §4a); halt or trickle PBM on fan loss</w:t>
            </w:r>
          </w:p>
        </w:tc>
      </w:tr>
      <w:tr>
        <w:tc>
          <w:tcPr>
            <w:tcW w:type="dxa" w:w="1814"/>
          </w:tcPr>
          <w:p>
            <w:pPr>
              <w:spacing w:after="20"/>
            </w:pPr>
            <w:r>
              <w:rPr>
                <w:b/>
                <w:sz w:val="17"/>
              </w:rPr>
              <w:t>TMS</w:t>
            </w:r>
          </w:p>
        </w:tc>
        <w:tc>
          <w:tcPr>
            <w:tcW w:type="dxa" w:w="2494"/>
          </w:tcPr>
          <w:p>
            <w:pPr>
              <w:spacing w:after="20"/>
            </w:pPr>
            <w:r>
              <w:rPr>
                <w:b w:val="0"/>
                <w:sz w:val="17"/>
              </w:rPr>
              <w:t>Coil protection</w:t>
            </w:r>
          </w:p>
        </w:tc>
        <w:tc>
          <w:tcPr>
            <w:tcW w:type="dxa" w:w="5216"/>
          </w:tcPr>
          <w:p>
            <w:pPr>
              <w:spacing w:after="20"/>
            </w:pPr>
            <w:r>
              <w:rPr>
                <w:b w:val="0"/>
                <w:sz w:val="17"/>
              </w:rPr>
              <w:t>EMF cancellation gated off 5 ms before pulse, 50 ms hold</w:t>
            </w:r>
          </w:p>
        </w:tc>
      </w:tr>
      <w:tr>
        <w:tc>
          <w:tcPr>
            <w:tcW w:type="dxa" w:w="1814"/>
          </w:tcPr>
          <w:p>
            <w:pPr>
              <w:spacing w:after="20"/>
            </w:pPr>
            <w:r>
              <w:rPr>
                <w:b/>
                <w:sz w:val="17"/>
              </w:rPr>
              <w:t>Auricular VNS</w:t>
            </w:r>
          </w:p>
        </w:tc>
        <w:tc>
          <w:tcPr>
            <w:tcW w:type="dxa" w:w="2494"/>
          </w:tcPr>
          <w:p>
            <w:pPr>
              <w:spacing w:after="20"/>
            </w:pPr>
            <w:r>
              <w:rPr>
                <w:b w:val="0"/>
                <w:sz w:val="17"/>
              </w:rPr>
              <w:t>Contact confirmation</w:t>
            </w:r>
          </w:p>
        </w:tc>
        <w:tc>
          <w:tcPr>
            <w:tcW w:type="dxa" w:w="5216"/>
          </w:tcPr>
          <w:p>
            <w:pPr>
              <w:spacing w:after="20"/>
            </w:pPr>
            <w:r>
              <w:rPr>
                <w:b w:val="0"/>
                <w:sz w:val="17"/>
              </w:rPr>
              <w:t>Safety MCU reads impedance; holds if contacts are not confirmed</w:t>
            </w:r>
          </w:p>
        </w:tc>
      </w:tr>
      <w:tr>
        <w:tc>
          <w:tcPr>
            <w:tcW w:type="dxa" w:w="1814"/>
          </w:tcPr>
          <w:p>
            <w:pPr>
              <w:spacing w:after="20"/>
            </w:pPr>
            <w:r>
              <w:rPr>
                <w:b/>
                <w:sz w:val="17"/>
              </w:rPr>
              <w:t>Cervical VNS (T2)</w:t>
            </w:r>
          </w:p>
        </w:tc>
        <w:tc>
          <w:tcPr>
            <w:tcW w:type="dxa" w:w="2494"/>
          </w:tcPr>
          <w:p>
            <w:pPr>
              <w:spacing w:after="20"/>
            </w:pPr>
            <w:r>
              <w:rPr>
                <w:b w:val="0"/>
                <w:sz w:val="17"/>
              </w:rPr>
              <w:t>Cardiac rhythm interlock</w:t>
            </w:r>
          </w:p>
        </w:tc>
        <w:tc>
          <w:tcPr>
            <w:tcW w:type="dxa" w:w="5216"/>
          </w:tcPr>
          <w:p>
            <w:pPr>
              <w:spacing w:after="20"/>
            </w:pPr>
            <w:r>
              <w:rPr>
                <w:b w:val="0"/>
                <w:sz w:val="17"/>
              </w:rPr>
              <w:t>Safety MCU owns the enable GPIO and monitors the R-peak GPIO. HR change &gt;15 BPM within a rolling 5 s window → GPIO LOW within &lt;5.1 ms worst-case (spec &lt;100 ms). 30 s re-enable lockout + app confirm + repeat impedance. Additionally, per-electrode impedance is cross-validated hub-versus-MCU (OI-CVNS-HUB-11), fail-closed beyond 1.0 kΩ divergence.</w:t>
            </w:r>
          </w:p>
        </w:tc>
      </w:tr>
    </w:tbl>
    <w:p>
      <w:pPr>
        <w:spacing w:after="40"/>
      </w:pPr>
    </w:p>
    <w:p>
      <w:pPr>
        <w:pStyle w:val="Heading2"/>
        <w:spacing w:before="160" w:after="80"/>
      </w:pPr>
      <w:r>
        <w:t>5.7 EMF shielding (5-layer passive + active)</w:t>
      </w:r>
    </w:p>
    <w:p>
      <w:pPr>
        <w:pStyle w:val="ListBullet"/>
        <w:spacing w:after="40"/>
      </w:pPr>
      <w:r>
        <w:rPr>
          <w:sz w:val="19"/>
        </w:rPr>
        <w:t>Layer 1: CFRP outer (30–50 dB RF).</w:t>
      </w:r>
    </w:p>
    <w:p>
      <w:pPr>
        <w:pStyle w:val="ListBullet"/>
        <w:spacing w:after="40"/>
      </w:pPr>
      <w:r>
        <w:rPr>
          <w:sz w:val="19"/>
        </w:rPr>
        <w:t>Layer 2: 0.2 mm mu-metal liner (15–25 dB ELF magnetic), PETG laminate encapsulation, silicone RTV sealant at all cutout edges.</w:t>
      </w:r>
    </w:p>
    <w:p>
      <w:pPr>
        <w:pStyle w:val="ListBullet"/>
        <w:spacing w:after="40"/>
      </w:pPr>
      <w:r>
        <w:rPr>
          <w:sz w:val="19"/>
        </w:rPr>
        <w:t>Layer 3: palladium-coated polyester inner liner (40–60 dB RF) — replaces silver, which tarnishes in 12–18 months. Palladium is tarnish-immune for device lifetime, making the shielding claim permanent and verifiable by fleet SHDR attenuation monitoring.</w:t>
      </w:r>
    </w:p>
    <w:p>
      <w:pPr>
        <w:pStyle w:val="ListBullet"/>
        <w:spacing w:after="40"/>
      </w:pPr>
      <w:r>
        <w:rPr>
          <w:sz w:val="19"/>
        </w:rPr>
        <w:t>Layer 4: carbon-loaded EMI absorber foam (cavity resonance suppression).</w:t>
      </w:r>
    </w:p>
    <w:p>
      <w:pPr>
        <w:pStyle w:val="ListBullet"/>
        <w:spacing w:after="40"/>
      </w:pPr>
      <w:r>
        <w:rPr>
          <w:sz w:val="19"/>
        </w:rPr>
        <w:t>Layer 5: USB-C and accessory port filters (30–50 dB).</w:t>
      </w:r>
    </w:p>
    <w:p>
      <w:pPr>
        <w:pStyle w:val="ListBullet"/>
        <w:spacing w:after="40"/>
      </w:pPr>
      <w:r>
        <w:rPr>
          <w:sz w:val="19"/>
        </w:rPr>
        <w:t>Active: 3-axis fluxgate magnetometers + Helmholtz coil pairs. Combined 35–45 dB ELF magnetic, 40–60 dB RF. Shell bonded to the EEG DRL output as an active EEG shield. Non-conductive CFRP window at the TMS coil site.</w:t>
      </w:r>
    </w:p>
    <w:p>
      <w:pPr>
        <w:pStyle w:val="Heading2"/>
        <w:spacing w:before="160" w:after="80"/>
      </w:pPr>
      <w:r>
        <w:t>5.8 Thermal architecture</w:t>
      </w:r>
    </w:p>
    <w:p>
      <w:pPr>
        <w:spacing w:after="100"/>
      </w:pPr>
      <w:r>
        <w:rPr>
          <w:b w:val="0"/>
          <w:i w:val="0"/>
          <w:sz w:val="19"/>
        </w:rPr>
        <w:t>BN-boss conductive thermal export is the adopted base thermal design (NP-THERM-CFD-R1-001, 2026-07-22). Module heat is exported from the boron-nitride thermal boss through a solid conductive via to an EXTERNAL fan-cooled heatsink, with the inter-bowl cavity left STAGNANT — the shielded, sealed interior is never ventilated. THERM-1a first-pass analysis (perfect-sink bound) shows this carries about 90% of module heat and holds the LED junction throttle-free at 54 °C against the 62 °C throttle at full T2-peak flux. Cavity ventilation was rejected on shield integrity (apertures through mu-metal and RF liners), ingress and hygiene, optics fouling, acoustic and EEG noise, power and MTBF, and safety-case inversion. Formalized as NP-DT-001 DI-SAFE-13.</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RISK-26 — fan/heatsink-loss scalp overheat. </w:t>
            </w:r>
            <w:r>
              <w:rPr>
                <w:sz w:val="19"/>
              </w:rPr>
              <w:t>The conductive via is a HEALTHY-STATE junction-cooling strategy only. It gives zero benefit under heatsink or fan loss — the fault face reaches 60.3 °C with or without it — so it does NOT replace the fan-health interlock. THERM-1a rejected Path A: the 62 °C junction throttle leaves the scalp-facing face at about 60 °C and scalp skin at 52–55 °C in the worst fault (fan off, 43.3 °C ambient, low perfusion), which is 14–21 °C over the IEC 60601 42 °C applied-part limit, with the 1D and 2D models in agreement. Path B1 (scalp-facing NTC co-located with PD2) is committed. Provisional constants: SR-FAN-03 natural-convection-safe ceiling ≈ 4.5 mW/cm² at 43.3 °C ambient, tending to zero as ambient approaches 42 °C; SR-FAN-04 τ_face ≈ 35–45 min. The steady ceiling, not response speed, governs. All constants are provisional pending verification-grade 2D CFD and the THERM-1b bench; path selection is firm. Tracked as RISK-26 / FMEA-G07-01, OPEN pending SW01-M04 implementation.</w:t>
            </w:r>
          </w:p>
        </w:tc>
      </w:tr>
    </w:tbl>
    <w:p>
      <w:pPr>
        <w:spacing w:after="40"/>
      </w:pPr>
    </w:p>
    <w:p>
      <w:pPr>
        <w:pStyle w:val="Heading2"/>
        <w:spacing w:before="160" w:after="80"/>
      </w:pPr>
      <w:r>
        <w:t>5.9 eMMC partition architecture and storage encryption</w:t>
      </w:r>
    </w:p>
    <w:p>
      <w:pPr>
        <w:pStyle w:val="ListBullet"/>
        <w:spacing w:after="40"/>
      </w:pPr>
      <w:r>
        <w:rPr>
          <w:sz w:val="19"/>
        </w:rPr>
        <w:t>9-partition GPT layout across an 8,192 MiB user area: Firmware Bank A (128 MiB, write-protected in production) · Firmware Bank B (128 MiB, OTA target) · Safety MCU FW staging (4 MiB) · Config/Calibration (16 MiB) · SHDR (512 MiB) · UHDR (6,903 MiB, about 84% of the user area) · Scratch (500 MiB, zeroed on boot).</w:t>
      </w:r>
    </w:p>
    <w:p>
      <w:pPr>
        <w:pStyle w:val="ListBullet"/>
        <w:spacing w:after="40"/>
      </w:pPr>
      <w:r>
        <w:rPr>
          <w:sz w:val="19"/>
        </w:rPr>
        <w:t>UHDR: AES-256-XTS under a two-layer key scheme — UKMD (32-byte TRNG master key) held in the Config partition encrypted by WKMD (Argon2id from biometric/PIN). A biometric change re-encrypts only the 32-byte wrapper; UHDR ciphertext is unchanged. NeurOne never holds the key. Implemented via PHC phc-winner-argon2 vendored as an SPM C target.</w:t>
      </w:r>
    </w:p>
    <w:p>
      <w:pPr>
        <w:pStyle w:val="ListBullet"/>
        <w:spacing w:after="40"/>
      </w:pPr>
      <w:r>
        <w:rPr>
          <w:sz w:val="19"/>
        </w:rPr>
        <w:t>SHDR: AES-256-XTS, HKDF-SHA256 from the manufacturing root key + eMMC CID hash under SNVS OTPMK. NeurOne can decrypt for warranty and fleet analytics.</w:t>
      </w:r>
    </w:p>
    <w:p>
      <w:pPr>
        <w:pStyle w:val="ListBullet"/>
        <w:spacing w:after="40"/>
      </w:pPr>
      <w:r>
        <w:rPr>
          <w:sz w:val="19"/>
        </w:rPr>
        <w:t>Scratch partition encryption for research anonymization: per-task AES-256-CTR key, SRAM-only, memset_explicit on completion, eMMC SANITIZE post-run (NP-FW-EMMC-002 §D).</w:t>
      </w:r>
    </w:p>
    <w:p>
      <w:pPr>
        <w:pStyle w:val="ListBullet"/>
        <w:spacing w:after="40"/>
      </w:pPr>
      <w:r>
        <w:rPr>
          <w:sz w:val="19"/>
        </w:rPr>
        <w:t>Dual-bank OTA: Ed25519 signature verification on all images before boot; SNVS_LPGPR0 boot bank flag; automatic revert after 3 failed boot attempts; USB-C DFU recovery always available. The manufacturing root public key is a placeholder and must be replaced at a secure build step before any production image is signed.</w:t>
      </w:r>
    </w:p>
    <w:p>
      <w:pPr>
        <w:pStyle w:val="ListBullet"/>
        <w:spacing w:after="40"/>
      </w:pPr>
      <w:r>
        <w:rPr>
          <w:sz w:val="19"/>
        </w:rPr>
        <w:t>Safety MCU firmware is NEVER updated by automated OTA — explicit user confirmation plus page-by-page SPI flash with readback is required.</w:t>
      </w:r>
    </w:p>
    <w:p>
      <w:pPr>
        <w:pStyle w:val="ListBullet"/>
        <w:spacing w:after="40"/>
      </w:pPr>
      <w:r>
        <w:rPr>
          <w:sz w:val="19"/>
        </w:rPr>
        <w:t>Device factory reset: eMMC SANITIZE on UHDR + zero SHDR + clear Config + new TRNG salt + new warranty token, power-loss resilient via a reset_in_progress flag in SNVS_LPGPR1.</w:t>
      </w:r>
    </w:p>
    <w:p>
      <w:pPr>
        <w:pStyle w:val="ListBullet"/>
        <w:spacing w:after="40"/>
      </w:pPr>
      <w:r>
        <w:rPr>
          <w:sz w:val="19"/>
        </w:rPr>
        <w:t>Session data classification table now spans 32 elements (extended from 27 by the fault-latch tick_ms and count entries).</w:t>
      </w:r>
    </w:p>
    <w:p>
      <w:pPr>
        <w:pStyle w:val="Heading2"/>
        <w:spacing w:before="160" w:after="80"/>
      </w:pPr>
      <w:r>
        <w:t>5.10 T2 clinical firmware</w:t>
      </w:r>
    </w:p>
    <w:p>
      <w:pPr>
        <w:spacing w:after="100"/>
      </w:pPr>
      <w:r>
        <w:rPr>
          <w:b/>
          <w:i w:val="0"/>
          <w:sz w:val="19"/>
        </w:rPr>
        <w:t>sLORETA-guided HD-tDCS (NP-FW-HD-001):</w:t>
      </w:r>
    </w:p>
    <w:p>
      <w:pPr>
        <w:pStyle w:val="ListBullet"/>
        <w:spacing w:after="40"/>
      </w:pPr>
      <w:r>
        <w:rPr>
          <w:sz w:val="19"/>
        </w:rPr>
        <w:t>Scalar sLORETA weight matrix W (2,447 voxels × 21 channels, 7 mm MNI grid, about 205 KB) precomputed offline and loaded into LPSDR4 at session start. On-device: 64-epoch covariance accumulation → per-voxel source power map → peak detection → MNI-to-10-20 electrode mapping (Jurcak 2007 atlas).</w:t>
      </w:r>
    </w:p>
    <w:p>
      <w:pPr>
        <w:pStyle w:val="ListBullet"/>
        <w:spacing w:after="40"/>
      </w:pPr>
      <w:r>
        <w:rPr>
          <w:sz w:val="19"/>
        </w:rPr>
        <w:t>4×1 ring montage: nearest-electrode anode plus 4 cathodes at −I/4 each, with a ≥2 quadrant angular spread constraint and driver-channel distinctness enforced during ring selection. Bilateral 4×1 enforces electrode distinctness across both rings. 30 s ramp up and down, 100 ms tick.</w:t>
      </w:r>
    </w:p>
    <w:p>
      <w:pPr>
        <w:pStyle w:val="ListBullet"/>
        <w:spacing w:after="40"/>
      </w:pPr>
      <w:r>
        <w:rPr>
          <w:sz w:val="19"/>
        </w:rPr>
        <w:t>Driver: 21 channels, one per cap electrode — no sharing, no aliasing. Constraint of record if cost ever reintroduces sharing: never alias two electrodes within one ring radius (~60 mm). NP-HW-TCAP-001 still requires authoring to become the controlled hardware source of truth; the firmware table is the interim authority, and the BOM delta for 5 additional precision current sources is not yet costed.</w:t>
      </w:r>
    </w:p>
    <w:p>
      <w:pPr>
        <w:pStyle w:val="ListBullet"/>
        <w:spacing w:after="40"/>
      </w:pPr>
      <w:r>
        <w:rPr>
          <w:sz w:val="19"/>
        </w:rPr>
        <w:t>Safety: 40 µC/cm² charge density enforced by the safety MCU; software monitor aborts at 95% of the limit; ≤2 mA per electrode. Concurrent EEG uses 200 µs blanking on current step edges against a ≥20 dB SNR spec.</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HD-tDCS DEPTH CLASSIFICATION. </w:t>
            </w:r>
            <w:r>
              <w:rPr>
                <w:sz w:val="19"/>
              </w:rPr>
              <w:t>Localization is not reachability. sLORETA resolves deep sources, but a 4×1 ring is focal only for cortical-surface targets (about 1.5 cm FWHM at 10 mm depth). ACC sits 47.1 mm from its nearest scalp electrode (Fz), with 2nd/3rd nearest at 49.1 mm and no 10-10 position closer than about 37.9 mm (Fpz) — the ≤35 mm criterion is unsatisfiable for ACC by ANY electrode placement. Targets therefore carry NP_HD_TARGET_DEPTH_SURFACE or _DEEP. ACC stays selectable and keeps its anxiety indication, but a 4×1 there is indirect network modulation, and callers must never present it as focal stimulation of the structure. The FAI criterion is checked in BOTH directions — surface ≤35 mm, deep &gt;35 mm — so reclassifying ACC to SURFACE to silence the test fails instead of passing vacuously. Deliberately NOT resolved by raising the 35 mm threshold, which would have made the FAI assert focal reach the physics does not support. OPEN: the app must surface the DEEP classification when a clinician selects ACC — the firmware exposes the class but nothing consumes it yet.</w:t>
            </w:r>
          </w:p>
        </w:tc>
      </w:tr>
    </w:tbl>
    <w:p>
      <w:pPr>
        <w:spacing w:after="40"/>
      </w:pPr>
    </w:p>
    <w:p>
      <w:pPr>
        <w:spacing w:after="100"/>
      </w:pPr>
      <w:r>
        <w:rPr>
          <w:b/>
          <w:i w:val="0"/>
          <w:sz w:val="19"/>
        </w:rPr>
        <w:t>Cervical VNS (NP-FW-CVNS-001 Rev 2):</w:t>
      </w:r>
    </w:p>
    <w:p>
      <w:pPr>
        <w:pStyle w:val="ListBullet"/>
        <w:spacing w:after="40"/>
      </w:pPr>
      <w:r>
        <w:rPr>
          <w:sz w:val="19"/>
        </w:rPr>
        <w:t>Safety MCU owns the CVNS enable GPIO independently of the main processor. R-peak from main-processor PPG detection drives an RPEAK_IN GPIO pulse; the MCU measures R-R via TIM2 and runs a TIM6 ISR at 200 Hz.</w:t>
      </w:r>
    </w:p>
    <w:p>
      <w:pPr>
        <w:pStyle w:val="ListBullet"/>
        <w:spacing w:after="40"/>
      </w:pPr>
      <w:r>
        <w:rPr>
          <w:sz w:val="19"/>
        </w:rPr>
        <w:t>Baseline cross-validation: main-processor PPG-derived HR and safety-MCU GPIO-timer HR must agree within 5 BPM before enable is granted. The cardiac baseline is mandatory and cannot be waived by the session descriptor.</w:t>
      </w:r>
    </w:p>
    <w:p>
      <w:pPr>
        <w:pStyle w:val="ListBullet"/>
        <w:spacing w:after="40"/>
      </w:pPr>
      <w:r>
        <w:rPr>
          <w:sz w:val="19"/>
        </w:rPr>
        <w:t>Rev 2 reconciled §5 with the Class C firmware: §5 had documented the safety MCU using the MAIN PROCESSOR's constants. The two sides are meant to be independent implementations that cross-validate, so attributing one side's constants to the other was an error independent of which values are correct. No number in either the document or the firmware was changed to make the other side agree, and no firmware behaviour changed. Four open items were raised rather than papered over: OI-CVNS-08 (pin map, settled only by the G1 layout package), OI-CVNS-09 (single versus dual enable — a clinical/regulatory question against the gammaCore predicate), OI-CVNS-10 (baseline window 8 on the MCU versus 5 on the main processor — explicitly do not harmonise by editing one number), OI-CVNS-11 (the MCU applies no R-R validity filter).</w:t>
      </w:r>
    </w:p>
    <w:p>
      <w:pPr>
        <w:pStyle w:val="ListBullet"/>
        <w:spacing w:after="40"/>
      </w:pPr>
      <w:r>
        <w:rPr>
          <w:sz w:val="19"/>
        </w:rPr>
        <w:t>RPEAK_IN on PB0 remains the one pin-map row that cannot work in either reading, PB0 still being NP_EN_BES_PIN — a cardiac input on a stimulation output.</w:t>
      </w:r>
    </w:p>
    <w:p>
      <w:pPr>
        <w:pStyle w:val="ListBullet"/>
        <w:spacing w:after="40"/>
      </w:pPr>
      <w:r>
        <w:rPr>
          <w:sz w:val="19"/>
        </w:rPr>
        <w:t>First host coverage of the Class C cardiac interlock now exists (np_cardiac_interlock_tests, 35 assertions), falsified against four deliberately-broken variants before acceptance.</w:t>
      </w:r>
    </w:p>
    <w:p>
      <w:pPr>
        <w:pStyle w:val="Heading2"/>
        <w:spacing w:before="160" w:after="80"/>
      </w:pPr>
      <w:r>
        <w:t>5.11 Software supply chain and CI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D9E2F3"/>
          </w:tcPr>
          <w:p>
            <w:pPr>
              <w:spacing w:after="20"/>
            </w:pPr>
            <w:r>
              <w:rPr>
                <w:b/>
                <w:sz w:val="17"/>
              </w:rPr>
              <w:t>Component</w:t>
            </w:r>
          </w:p>
        </w:tc>
        <w:tc>
          <w:tcPr>
            <w:tcW w:type="dxa" w:w="2381"/>
            <w:shd w:val="clear" w:color="auto" w:fill="D9E2F3"/>
          </w:tcPr>
          <w:p>
            <w:pPr>
              <w:spacing w:after="20"/>
            </w:pPr>
            <w:r>
              <w:rPr>
                <w:b/>
                <w:sz w:val="17"/>
              </w:rPr>
              <w:t>Version</w:t>
            </w:r>
          </w:p>
        </w:tc>
        <w:tc>
          <w:tcPr>
            <w:tcW w:type="dxa" w:w="1587"/>
            <w:shd w:val="clear" w:color="auto" w:fill="D9E2F3"/>
          </w:tcPr>
          <w:p>
            <w:pPr>
              <w:spacing w:after="20"/>
            </w:pPr>
            <w:r>
              <w:rPr>
                <w:b/>
                <w:sz w:val="17"/>
              </w:rPr>
              <w:t>IEC 62304 class</w:t>
            </w:r>
          </w:p>
        </w:tc>
        <w:tc>
          <w:tcPr>
            <w:tcW w:type="dxa" w:w="3628"/>
            <w:shd w:val="clear" w:color="auto" w:fill="D9E2F3"/>
          </w:tcPr>
          <w:p>
            <w:pPr>
              <w:spacing w:after="20"/>
            </w:pPr>
            <w:r>
              <w:rPr>
                <w:b/>
                <w:sz w:val="17"/>
              </w:rPr>
              <w:t>Notes</w:t>
            </w:r>
          </w:p>
        </w:tc>
      </w:tr>
      <w:tr>
        <w:tc>
          <w:tcPr>
            <w:tcW w:type="dxa" w:w="1928"/>
          </w:tcPr>
          <w:p>
            <w:pPr>
              <w:spacing w:after="20"/>
            </w:pPr>
            <w:r>
              <w:rPr>
                <w:b/>
                <w:sz w:val="17"/>
              </w:rPr>
              <w:t>FreeRTOS-Kernel</w:t>
            </w:r>
          </w:p>
        </w:tc>
        <w:tc>
          <w:tcPr>
            <w:tcW w:type="dxa" w:w="2381"/>
          </w:tcPr>
          <w:p>
            <w:pPr>
              <w:spacing w:after="20"/>
            </w:pPr>
            <w:r>
              <w:rPr>
                <w:b w:val="0"/>
                <w:sz w:val="17"/>
              </w:rPr>
              <w:t>V11.3.0 (FreeRTOS-LTS 202604.00)</w:t>
            </w:r>
          </w:p>
        </w:tc>
        <w:tc>
          <w:tcPr>
            <w:tcW w:type="dxa" w:w="1587"/>
          </w:tcPr>
          <w:p>
            <w:pPr>
              <w:spacing w:after="20"/>
            </w:pPr>
            <w:r>
              <w:rPr>
                <w:b w:val="0"/>
                <w:sz w:val="17"/>
              </w:rPr>
              <w:t>Class B SOUP</w:t>
            </w:r>
          </w:p>
        </w:tc>
        <w:tc>
          <w:tcPr>
            <w:tcW w:type="dxa" w:w="3628"/>
          </w:tcPr>
          <w:p>
            <w:pPr>
              <w:spacing w:after="20"/>
            </w:pPr>
            <w:r>
              <w:rPr>
                <w:b w:val="0"/>
                <w:sz w:val="17"/>
              </w:rPr>
              <w:t>Byte-exact subset vendored 2026-07-11. croutine.c and all non-CM7 ports excluded. Config and hooks are first-party in firmware/hub_control/.</w:t>
            </w:r>
          </w:p>
        </w:tc>
      </w:tr>
      <w:tr>
        <w:tc>
          <w:tcPr>
            <w:tcW w:type="dxa" w:w="1928"/>
          </w:tcPr>
          <w:p>
            <w:pPr>
              <w:spacing w:after="20"/>
            </w:pPr>
            <w:r>
              <w:rPr>
                <w:b/>
                <w:sz w:val="17"/>
              </w:rPr>
              <w:t>ARM CMSIS-Core(M)</w:t>
            </w:r>
          </w:p>
        </w:tc>
        <w:tc>
          <w:tcPr>
            <w:tcW w:type="dxa" w:w="2381"/>
          </w:tcPr>
          <w:p>
            <w:pPr>
              <w:spacing w:after="20"/>
            </w:pPr>
            <w:r>
              <w:rPr>
                <w:b w:val="0"/>
                <w:sz w:val="17"/>
              </w:rPr>
              <w:t>5.6.0 (from CMSIS_5 tag 5.9.0)</w:t>
            </w:r>
          </w:p>
        </w:tc>
        <w:tc>
          <w:tcPr>
            <w:tcW w:type="dxa" w:w="1587"/>
          </w:tcPr>
          <w:p>
            <w:pPr>
              <w:spacing w:after="20"/>
            </w:pPr>
            <w:r>
              <w:rPr>
                <w:b w:val="0"/>
                <w:sz w:val="17"/>
              </w:rPr>
              <w:t>Class C SOUP</w:t>
            </w:r>
          </w:p>
        </w:tc>
        <w:tc>
          <w:tcPr>
            <w:tcW w:type="dxa" w:w="3628"/>
          </w:tcPr>
          <w:p>
            <w:pPr>
              <w:spacing w:after="20"/>
            </w:pPr>
            <w:r>
              <w:rPr>
                <w:b w:val="0"/>
                <w:sz w:val="17"/>
              </w:rPr>
              <w:t>Five headers, no translation unit, vendored 2026-08-09. Present because stm32g071xx.h includes core_cm0plus.h unconditionally. Tag 5.9.0 chosen as the terminal 5.x release so its anomaly list is closed.</w:t>
            </w:r>
          </w:p>
        </w:tc>
      </w:tr>
      <w:tr>
        <w:tc>
          <w:tcPr>
            <w:tcW w:type="dxa" w:w="1928"/>
          </w:tcPr>
          <w:p>
            <w:pPr>
              <w:spacing w:after="20"/>
            </w:pPr>
            <w:r>
              <w:rPr>
                <w:b/>
                <w:sz w:val="17"/>
              </w:rPr>
              <w:t>ST CMSIS-Device STM32G0</w:t>
            </w:r>
          </w:p>
        </w:tc>
        <w:tc>
          <w:tcPr>
            <w:tcW w:type="dxa" w:w="2381"/>
          </w:tcPr>
          <w:p>
            <w:pPr>
              <w:spacing w:after="20"/>
            </w:pPr>
            <w:r>
              <w:rPr>
                <w:b w:val="0"/>
                <w:sz w:val="17"/>
              </w:rPr>
              <w:t>v1.4.5</w:t>
            </w:r>
          </w:p>
        </w:tc>
        <w:tc>
          <w:tcPr>
            <w:tcW w:type="dxa" w:w="1587"/>
          </w:tcPr>
          <w:p>
            <w:pPr>
              <w:spacing w:after="20"/>
            </w:pPr>
            <w:r>
              <w:rPr>
                <w:b w:val="0"/>
                <w:sz w:val="17"/>
              </w:rPr>
              <w:t>Class C SOUP</w:t>
            </w:r>
          </w:p>
        </w:tc>
        <w:tc>
          <w:tcPr>
            <w:tcW w:type="dxa" w:w="3628"/>
          </w:tcPr>
          <w:p>
            <w:pPr>
              <w:spacing w:after="20"/>
            </w:pPr>
            <w:r>
              <w:rPr>
                <w:b w:val="0"/>
                <w:sz w:val="17"/>
              </w:rPr>
              <w:t>Three headers, no translation unit. The ST HAL and LL drivers are deliberately NOT vendored — SW-01 makes zero HAL_* and zero LL_* calls, and the HAL would add tens of thousands of lines of third-party logic to the Class C surface for no benefit.</w:t>
            </w:r>
          </w:p>
        </w:tc>
      </w:tr>
      <w:tr>
        <w:tc>
          <w:tcPr>
            <w:tcW w:type="dxa" w:w="1928"/>
          </w:tcPr>
          <w:p>
            <w:pPr>
              <w:spacing w:after="20"/>
            </w:pPr>
            <w:r>
              <w:rPr>
                <w:b/>
                <w:sz w:val="17"/>
              </w:rPr>
              <w:t>Monocypher</w:t>
            </w:r>
          </w:p>
        </w:tc>
        <w:tc>
          <w:tcPr>
            <w:tcW w:type="dxa" w:w="2381"/>
          </w:tcPr>
          <w:p>
            <w:pPr>
              <w:spacing w:after="20"/>
            </w:pPr>
            <w:r>
              <w:rPr>
                <w:b w:val="0"/>
                <w:sz w:val="17"/>
              </w:rPr>
              <w:t>4.0.2</w:t>
            </w:r>
          </w:p>
        </w:tc>
        <w:tc>
          <w:tcPr>
            <w:tcW w:type="dxa" w:w="1587"/>
          </w:tcPr>
          <w:p>
            <w:pPr>
              <w:spacing w:after="20"/>
            </w:pPr>
            <w:r>
              <w:rPr>
                <w:b w:val="0"/>
                <w:sz w:val="17"/>
              </w:rPr>
              <w:t>Class C + Class B</w:t>
            </w:r>
          </w:p>
        </w:tc>
        <w:tc>
          <w:tcPr>
            <w:tcW w:type="dxa" w:w="3628"/>
          </w:tcPr>
          <w:p>
            <w:pPr>
              <w:spacing w:after="20"/>
            </w:pPr>
            <w:r>
              <w:rPr>
                <w:b w:val="0"/>
                <w:sz w:val="17"/>
              </w:rPr>
              <w:t>Backs np_ed25519_verify in firmware/crypto/. Small-subgroup guard: an all-zero public key is rejected before crypto_ed25519_check.</w:t>
            </w:r>
          </w:p>
        </w:tc>
      </w:tr>
      <w:tr>
        <w:tc>
          <w:tcPr>
            <w:tcW w:type="dxa" w:w="1928"/>
          </w:tcPr>
          <w:p>
            <w:pPr>
              <w:spacing w:after="20"/>
            </w:pPr>
            <w:r>
              <w:rPr>
                <w:b/>
                <w:sz w:val="17"/>
              </w:rPr>
              <w:t>PHC phc-winner-argon2</w:t>
            </w:r>
          </w:p>
        </w:tc>
        <w:tc>
          <w:tcPr>
            <w:tcW w:type="dxa" w:w="2381"/>
          </w:tcPr>
          <w:p>
            <w:pPr>
              <w:spacing w:after="20"/>
            </w:pPr>
            <w:r>
              <w:rPr>
                <w:b w:val="0"/>
                <w:sz w:val="17"/>
              </w:rPr>
              <w:t>(vendored SPM C target)</w:t>
            </w:r>
          </w:p>
        </w:tc>
        <w:tc>
          <w:tcPr>
            <w:tcW w:type="dxa" w:w="1587"/>
          </w:tcPr>
          <w:p>
            <w:pPr>
              <w:spacing w:after="20"/>
            </w:pPr>
            <w:r>
              <w:rPr>
                <w:b w:val="0"/>
                <w:sz w:val="17"/>
              </w:rPr>
              <w:t>App (Class B)</w:t>
            </w:r>
          </w:p>
        </w:tc>
        <w:tc>
          <w:tcPr>
            <w:tcW w:type="dxa" w:w="3628"/>
          </w:tcPr>
          <w:p>
            <w:pPr>
              <w:spacing w:after="20"/>
            </w:pPr>
            <w:r>
              <w:rPr>
                <w:b w:val="0"/>
                <w:sz w:val="17"/>
              </w:rPr>
              <w:t>Backs UHDRKeyManager. Replaced a PBKDF2 placeholder entirely.</w:t>
            </w:r>
          </w:p>
        </w:tc>
      </w:tr>
    </w:tbl>
    <w:p>
      <w:pPr>
        <w:spacing w:after="40"/>
      </w:pPr>
    </w:p>
    <w:p>
      <w:pPr>
        <w:spacing w:after="100"/>
      </w:pPr>
      <w:r>
        <w:rPr>
          <w:b w:val="0"/>
          <w:i w:val="0"/>
          <w:sz w:val="19"/>
        </w:rPr>
        <w:t>NP-SOUP-CMSIS-001 Rev 1 is the first IEC 62304 §7.1.2 anomaly evaluation performed for Class C software at NeurOne. Its principal finding is a scoping one: CMSIS_5 carried 188 open issues at review, essentially all in components not vendored (DSP, NN, RTOS, DAP, SVDConv, Pack) — that is the return on the narrow-vendoring decision. The evaluation is bound to the pinned tags; moving either tag voids it and requires a new revision. Stated limitations are recorded deliberately: a keyword-driven issue search is not exhaustive, and ARM publishes no numbered errata for CMSIS-Core.</w:t>
      </w:r>
    </w:p>
    <w:p>
      <w:pPr>
        <w:spacing w:after="100"/>
      </w:pPr>
      <w:r>
        <w:rPr>
          <w:b w:val="0"/>
          <w:i w:val="0"/>
          <w:sz w:val="19"/>
        </w:rPr>
        <w:t>NP-SW-CI-001 established firmware cross-compile CI as a phased program: the bootloader cross-build, the main-firmware leg and the Class C safety-MCU compile leg were each promoted from advisory to gating, and each promotion was demonstrated by a deliberately-broken probe that was then reverted in the same PR — rather than asserted from a green check. Defects A–D closed (missing device headers, freestanding memcpy/memset, linker-owned OCRAM staging, and the main-firmware gate).</w:t>
      </w:r>
    </w:p>
    <w:p>
      <w:pPr>
        <w:pStyle w:val="Heading1"/>
        <w:spacing w:before="240" w:after="80"/>
      </w:pPr>
      <w:r>
        <w:t>6. Durability + Maintenance Engineering</w:t>
      </w:r>
    </w:p>
    <w:p>
      <w:pPr>
        <w:spacing w:after="100"/>
      </w:pPr>
      <w:r>
        <w:rPr>
          <w:b/>
          <w:i w:val="0"/>
          <w:sz w:val="19"/>
        </w:rPr>
        <w:t>Pre-tooling critical items, current status: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D9E2F3"/>
          </w:tcPr>
          <w:p>
            <w:pPr>
              <w:spacing w:after="20"/>
            </w:pPr>
            <w:r>
              <w:rPr>
                <w:b/>
                <w:sz w:val="17"/>
              </w:rPr>
              <w:t>Change</w:t>
            </w:r>
          </w:p>
        </w:tc>
        <w:tc>
          <w:tcPr>
            <w:tcW w:type="dxa" w:w="1701"/>
            <w:shd w:val="clear" w:color="auto" w:fill="D9E2F3"/>
          </w:tcPr>
          <w:p>
            <w:pPr>
              <w:spacing w:after="20"/>
            </w:pPr>
            <w:r>
              <w:rPr>
                <w:b/>
                <w:sz w:val="17"/>
              </w:rPr>
              <w:t>Status</w:t>
            </w:r>
          </w:p>
        </w:tc>
        <w:tc>
          <w:tcPr>
            <w:tcW w:type="dxa" w:w="1474"/>
            <w:shd w:val="clear" w:color="auto" w:fill="D9E2F3"/>
          </w:tcPr>
          <w:p>
            <w:pPr>
              <w:spacing w:after="20"/>
            </w:pPr>
            <w:r>
              <w:rPr>
                <w:b/>
                <w:sz w:val="17"/>
              </w:rPr>
              <w:t>BOM delta</w:t>
            </w:r>
          </w:p>
        </w:tc>
        <w:tc>
          <w:tcPr>
            <w:tcW w:type="dxa" w:w="4082"/>
            <w:shd w:val="clear" w:color="auto" w:fill="D9E2F3"/>
          </w:tcPr>
          <w:p>
            <w:pPr>
              <w:spacing w:after="20"/>
            </w:pPr>
            <w:r>
              <w:rPr>
                <w:b/>
                <w:sz w:val="17"/>
              </w:rPr>
              <w:t>Notes</w:t>
            </w:r>
          </w:p>
        </w:tc>
      </w:tr>
      <w:tr>
        <w:tc>
          <w:tcPr>
            <w:tcW w:type="dxa" w:w="2268"/>
          </w:tcPr>
          <w:p>
            <w:pPr>
              <w:spacing w:after="20"/>
            </w:pPr>
            <w:r>
              <w:rPr>
                <w:b/>
                <w:sz w:val="17"/>
              </w:rPr>
              <w:t>ITO → AgNW conductive lens coating</w:t>
            </w:r>
          </w:p>
        </w:tc>
        <w:tc>
          <w:tcPr>
            <w:tcW w:type="dxa" w:w="1701"/>
          </w:tcPr>
          <w:p>
            <w:pPr>
              <w:spacing w:after="20"/>
            </w:pPr>
            <w:r>
              <w:rPr>
                <w:b w:val="0"/>
                <w:sz w:val="17"/>
              </w:rPr>
              <w:t>PRE-TOOLING CRITICAL</w:t>
            </w:r>
          </w:p>
        </w:tc>
        <w:tc>
          <w:tcPr>
            <w:tcW w:type="dxa" w:w="1474"/>
          </w:tcPr>
          <w:p>
            <w:pPr>
              <w:spacing w:after="20"/>
            </w:pPr>
            <w:r>
              <w:rPr>
                <w:b w:val="0"/>
                <w:sz w:val="17"/>
              </w:rPr>
              <w:t>+$8–12/lens</w:t>
            </w:r>
          </w:p>
        </w:tc>
        <w:tc>
          <w:tcPr>
            <w:tcW w:type="dxa" w:w="4082"/>
          </w:tcPr>
          <w:p>
            <w:pPr>
              <w:spacing w:after="20"/>
            </w:pPr>
            <w:r>
              <w:rPr>
                <w:b w:val="0"/>
                <w:sz w:val="17"/>
              </w:rPr>
              <w:t>ITO has 0.5% strain-to-failure and cracks on any flex or point impact; AgNW tolerates 5–10%. Supplier qualification is BLOCKING before lens tooling release (NP-TOOL-LENS-001 Rev 2 P-01).</w:t>
            </w:r>
          </w:p>
        </w:tc>
      </w:tr>
      <w:tr>
        <w:tc>
          <w:tcPr>
            <w:tcW w:type="dxa" w:w="2268"/>
          </w:tcPr>
          <w:p>
            <w:pPr>
              <w:spacing w:after="20"/>
            </w:pPr>
            <w:r>
              <w:rPr>
                <w:b/>
                <w:sz w:val="17"/>
              </w:rPr>
              <w:t>PDMS–PI SiO₂ interlayer bonding</w:t>
            </w:r>
          </w:p>
        </w:tc>
        <w:tc>
          <w:tcPr>
            <w:tcW w:type="dxa" w:w="1701"/>
          </w:tcPr>
          <w:p>
            <w:pPr>
              <w:spacing w:after="20"/>
            </w:pPr>
            <w:r>
              <w:rPr>
                <w:b w:val="0"/>
                <w:sz w:val="17"/>
              </w:rPr>
              <w:t>PRE-TOOLING CRITICAL (BLOCKING)</w:t>
            </w:r>
          </w:p>
        </w:tc>
        <w:tc>
          <w:tcPr>
            <w:tcW w:type="dxa" w:w="1474"/>
          </w:tcPr>
          <w:p>
            <w:pPr>
              <w:spacing w:after="20"/>
            </w:pPr>
            <w:r>
              <w:rPr>
                <w:b w:val="0"/>
                <w:sz w:val="17"/>
              </w:rPr>
              <w:t>Process cost (CAT-C supplier)</w:t>
            </w:r>
          </w:p>
        </w:tc>
        <w:tc>
          <w:tcPr>
            <w:tcW w:type="dxa" w:w="4082"/>
          </w:tcPr>
          <w:p>
            <w:pPr>
              <w:spacing w:after="20"/>
            </w:pPr>
            <w:r>
              <w:rPr>
                <w:b w:val="0"/>
                <w:sz w:val="17"/>
              </w:rPr>
              <w:t>75 nm RF magnetron sputtered SiO₂ on PI coverlay + O₂ plasma activation, achieving 174–860 N/m peel force. 200-cycle IEC 60068-2-14 thermal cycling qualification (FAI-TC02) is BLOCKING before any production FPC. CAT-C supplier not yet selected (RISK-04 OPEN); 8-week lead time from selection.</w:t>
            </w:r>
          </w:p>
        </w:tc>
      </w:tr>
      <w:tr>
        <w:tc>
          <w:tcPr>
            <w:tcW w:type="dxa" w:w="2268"/>
          </w:tcPr>
          <w:p>
            <w:pPr>
              <w:spacing w:after="20"/>
            </w:pPr>
            <w:r>
              <w:rPr>
                <w:b/>
                <w:sz w:val="17"/>
              </w:rPr>
              <w:t>CFRP shell slot rim Ra ≤ 1.6 µm</w:t>
            </w:r>
          </w:p>
        </w:tc>
        <w:tc>
          <w:tcPr>
            <w:tcW w:type="dxa" w:w="1701"/>
          </w:tcPr>
          <w:p>
            <w:pPr>
              <w:spacing w:after="20"/>
            </w:pPr>
            <w:r>
              <w:rPr>
                <w:b w:val="0"/>
                <w:sz w:val="17"/>
              </w:rPr>
              <w:t>OPEN — BLOCKING</w:t>
            </w:r>
          </w:p>
        </w:tc>
        <w:tc>
          <w:tcPr>
            <w:tcW w:type="dxa" w:w="1474"/>
          </w:tcPr>
          <w:p>
            <w:pPr>
              <w:spacing w:after="20"/>
            </w:pPr>
            <w:r>
              <w:rPr>
                <w:b w:val="0"/>
                <w:sz w:val="17"/>
              </w:rPr>
              <w:t>$0 (supplier engagement)</w:t>
            </w:r>
          </w:p>
        </w:tc>
        <w:tc>
          <w:tcPr>
            <w:tcW w:type="dxa" w:w="4082"/>
          </w:tcPr>
          <w:p>
            <w:pPr>
              <w:spacing w:after="20"/>
            </w:pPr>
            <w:r>
              <w:rPr>
                <w:b w:val="0"/>
                <w:sz w:val="17"/>
              </w:rPr>
              <w:t>Written confirmation required from the CFRP tooling supplier — letter plus Ra measurement from a representative coupon. Supplier qualification item SUP-M-07. If Ra &gt; 1.6 µm is unavoidable, escalate to ME + EE; gasket or shell geometry must be revised. RISK-20.</w:t>
            </w:r>
          </w:p>
        </w:tc>
      </w:tr>
      <w:tr>
        <w:tc>
          <w:tcPr>
            <w:tcW w:type="dxa" w:w="2268"/>
          </w:tcPr>
          <w:p>
            <w:pPr>
              <w:spacing w:after="20"/>
            </w:pPr>
            <w:r>
              <w:rPr>
                <w:b/>
                <w:sz w:val="17"/>
              </w:rPr>
              <w:t>Dual photodiode per module (RISK-14 Option B)</w:t>
            </w:r>
          </w:p>
        </w:tc>
        <w:tc>
          <w:tcPr>
            <w:tcW w:type="dxa" w:w="1701"/>
          </w:tcPr>
          <w:p>
            <w:pPr>
              <w:spacing w:after="20"/>
            </w:pPr>
            <w:r>
              <w:rPr>
                <w:b w:val="0"/>
                <w:sz w:val="17"/>
              </w:rPr>
              <w:t>CARRIED FORWARD</w:t>
            </w:r>
          </w:p>
        </w:tc>
        <w:tc>
          <w:tcPr>
            <w:tcW w:type="dxa" w:w="1474"/>
          </w:tcPr>
          <w:p>
            <w:pPr>
              <w:spacing w:after="20"/>
            </w:pPr>
            <w:r>
              <w:rPr>
                <w:b w:val="0"/>
                <w:sz w:val="17"/>
              </w:rPr>
              <w:t>+$0.75–1.50/headset</w:t>
            </w:r>
          </w:p>
        </w:tc>
        <w:tc>
          <w:tcPr>
            <w:tcW w:type="dxa" w:w="4082"/>
          </w:tcPr>
          <w:p>
            <w:pPr>
              <w:spacing w:after="20"/>
            </w:pPr>
            <w:r>
              <w:rPr>
                <w:b w:val="0"/>
                <w:sz w:val="17"/>
              </w:rPr>
              <w:t>PD1 behind the PDMS window measures forward emission; PD2 on the scalp-facing surface measures backscattered tissue power. The PD1/PD2 ratio separates PDMS fouling (PD1 falls, PD2 stable) from LED aging (both fall). Ratio accuracy improves under Rev C because both photodiodes now share one signal chain. PD2 is now also the co-location point for the RISK-26 scalp-facing NTC.</w:t>
            </w:r>
          </w:p>
        </w:tc>
      </w:tr>
      <w:tr>
        <w:tc>
          <w:tcPr>
            <w:tcW w:type="dxa" w:w="2268"/>
          </w:tcPr>
          <w:p>
            <w:pPr>
              <w:spacing w:after="20"/>
            </w:pPr>
            <w:r>
              <w:rPr>
                <w:b/>
                <w:sz w:val="17"/>
              </w:rPr>
              <w:t>Self-sealing co-molded silicone gasket (RISK-16 Option A)</w:t>
            </w:r>
          </w:p>
        </w:tc>
        <w:tc>
          <w:tcPr>
            <w:tcW w:type="dxa" w:w="1701"/>
          </w:tcPr>
          <w:p>
            <w:pPr>
              <w:spacing w:after="20"/>
            </w:pPr>
            <w:r>
              <w:rPr>
                <w:b w:val="0"/>
                <w:sz w:val="17"/>
              </w:rPr>
              <w:t>CARRIED FORWARD</w:t>
            </w:r>
          </w:p>
        </w:tc>
        <w:tc>
          <w:tcPr>
            <w:tcW w:type="dxa" w:w="1474"/>
          </w:tcPr>
          <w:p>
            <w:pPr>
              <w:spacing w:after="20"/>
            </w:pPr>
            <w:r>
              <w:rPr>
                <w:b w:val="0"/>
                <w:sz w:val="17"/>
              </w:rPr>
              <w:t>+$0.30–0.60/module</w:t>
            </w:r>
          </w:p>
        </w:tc>
        <w:tc>
          <w:tcPr>
            <w:tcW w:type="dxa" w:w="4082"/>
          </w:tcPr>
          <w:p>
            <w:pPr>
              <w:spacing w:after="20"/>
            </w:pPr>
            <w:r>
              <w:rPr>
                <w:b w:val="0"/>
                <w:sz w:val="17"/>
              </w:rPr>
              <w:t>Shore 40–50A medical silicone, D-section, 20% compression when seated. No user RTV. IPX4 compliant after 10 field swap cycles (FAI-IPX-02 BLOCKING).</w:t>
            </w:r>
          </w:p>
        </w:tc>
      </w:tr>
      <w:tr>
        <w:tc>
          <w:tcPr>
            <w:tcW w:type="dxa" w:w="2268"/>
          </w:tcPr>
          <w:p>
            <w:pPr>
              <w:spacing w:after="20"/>
            </w:pPr>
            <w:r>
              <w:rPr>
                <w:b/>
                <w:sz w:val="17"/>
              </w:rPr>
              <w:t>Module extraction accessibility (RISK-22)</w:t>
            </w:r>
          </w:p>
        </w:tc>
        <w:tc>
          <w:tcPr>
            <w:tcW w:type="dxa" w:w="1701"/>
          </w:tcPr>
          <w:p>
            <w:pPr>
              <w:spacing w:after="20"/>
            </w:pPr>
            <w:r>
              <w:rPr>
                <w:b w:val="0"/>
                <w:sz w:val="17"/>
              </w:rPr>
              <w:t>REDESIGNED</w:t>
            </w:r>
          </w:p>
        </w:tc>
        <w:tc>
          <w:tcPr>
            <w:tcW w:type="dxa" w:w="1474"/>
          </w:tcPr>
          <w:p>
            <w:pPr>
              <w:spacing w:after="20"/>
            </w:pPr>
            <w:r>
              <w:rPr>
                <w:b w:val="0"/>
                <w:sz w:val="17"/>
              </w:rPr>
              <w:t>Included in cluster clamp</w:t>
            </w:r>
          </w:p>
        </w:tc>
        <w:tc>
          <w:tcPr>
            <w:tcW w:type="dxa" w:w="4082"/>
          </w:tcPr>
          <w:p>
            <w:pPr>
              <w:spacing w:after="20"/>
            </w:pPr>
            <w:r>
              <w:rPr>
                <w:b w:val="0"/>
                <w:sz w:val="17"/>
              </w:rPr>
              <w:t>The retired per-module sliding eject lever is superseded by the cluster clamp — one actuator per cluster instead of a lever per module. Contact count drives clamp-plate load (roughly 38–63 N at 18 contacts per 7-tile cluster), so contact count is now an accessibility variable, closed jointly with MECH-2 (OI-SHELL2-03). The Parkinson's Hoehn &amp; Yahr II–III accessibility target is unchanged; the HFE formative study with 5 subjects remains outstanding.</w:t>
            </w:r>
          </w:p>
        </w:tc>
      </w:tr>
      <w:tr>
        <w:tc>
          <w:tcPr>
            <w:tcW w:type="dxa" w:w="2268"/>
          </w:tcPr>
          <w:p>
            <w:pPr>
              <w:spacing w:after="20"/>
            </w:pPr>
            <w:r>
              <w:rPr>
                <w:b/>
                <w:sz w:val="17"/>
              </w:rPr>
              <w:t>Hard clamshell case; intranasal probe hub dock</w:t>
            </w:r>
          </w:p>
        </w:tc>
        <w:tc>
          <w:tcPr>
            <w:tcW w:type="dxa" w:w="1701"/>
          </w:tcPr>
          <w:p>
            <w:pPr>
              <w:spacing w:after="20"/>
            </w:pPr>
            <w:r>
              <w:rPr>
                <w:b w:val="0"/>
                <w:sz w:val="17"/>
              </w:rPr>
              <w:t>CARRIED FORWARD</w:t>
            </w:r>
          </w:p>
        </w:tc>
        <w:tc>
          <w:tcPr>
            <w:tcW w:type="dxa" w:w="1474"/>
          </w:tcPr>
          <w:p>
            <w:pPr>
              <w:spacing w:after="20"/>
            </w:pPr>
            <w:r>
              <w:rPr>
                <w:b w:val="0"/>
                <w:sz w:val="17"/>
              </w:rPr>
              <w:t>+$8–14</w:t>
            </w:r>
          </w:p>
        </w:tc>
        <w:tc>
          <w:tcPr>
            <w:tcW w:type="dxa" w:w="4082"/>
          </w:tcPr>
          <w:p>
            <w:pPr>
              <w:spacing w:after="20"/>
            </w:pPr>
            <w:r>
              <w:rPr>
                <w:b w:val="0"/>
                <w:sz w:val="17"/>
              </w:rPr>
              <w:t>Lens scratching from bag contents is certain within the first month without a hard case; the case doubles as the shipping container. The Y-probe dock is molded into the hub from day one (NP-TOOL-HUB-001 Rev 1 F-01) because a dropped probe fractures the Y-junction and this cannot be retrofitted.</w:t>
            </w:r>
          </w:p>
        </w:tc>
      </w:tr>
      <w:tr>
        <w:tc>
          <w:tcPr>
            <w:tcW w:type="dxa" w:w="2268"/>
          </w:tcPr>
          <w:p>
            <w:pPr>
              <w:spacing w:after="20"/>
            </w:pPr>
            <w:r>
              <w:rPr>
                <w:b/>
                <w:sz w:val="17"/>
              </w:rPr>
              <w:t>Hub enclosure tooling (NP-TOOL-HUB-001 Rev 1)</w:t>
            </w:r>
          </w:p>
        </w:tc>
        <w:tc>
          <w:tcPr>
            <w:tcW w:type="dxa" w:w="1701"/>
          </w:tcPr>
          <w:p>
            <w:pPr>
              <w:spacing w:after="20"/>
            </w:pPr>
            <w:r>
              <w:rPr>
                <w:b w:val="0"/>
                <w:sz w:val="17"/>
              </w:rPr>
              <w:t>ISSUED 2026-07-27</w:t>
            </w:r>
          </w:p>
        </w:tc>
        <w:tc>
          <w:tcPr>
            <w:tcW w:type="dxa" w:w="1474"/>
          </w:tcPr>
          <w:p>
            <w:pPr>
              <w:spacing w:after="20"/>
            </w:pPr>
            <w:r>
              <w:rPr>
                <w:b w:val="0"/>
                <w:sz w:val="17"/>
              </w:rPr>
              <w:t>Tooling</w:t>
            </w:r>
          </w:p>
        </w:tc>
        <w:tc>
          <w:tcPr>
            <w:tcW w:type="dxa" w:w="4082"/>
          </w:tcPr>
          <w:p>
            <w:pPr>
              <w:spacing w:after="20"/>
            </w:pPr>
            <w:r>
              <w:rPr>
                <w:b w:val="0"/>
                <w:sz w:val="17"/>
              </w:rPr>
              <w:t>Four molded features on a single hub housing tool: F-01 intranasal probe dock; F-02 tethered anchor posts bounded so a detached cover geometrically cannot reach the fan intake grille; F-03 large-radius Boa cable channel; F-04 tool-free fan/heatsink service door with two diagonally-opposed quarter-turn captive fasteners, giving the user a way to act on the SR-FAN-05 predictive-maintenance alert before the safety derate engages. Hub placement (occipital arch, external to the shielded shell) is INFERRED from three already-locked facts, not newly asserted; the hub-to-shell mechanical interface remains open (OI-HTOOL-01).</w:t>
            </w:r>
          </w:p>
        </w:tc>
      </w:tr>
      <w:tr>
        <w:tc>
          <w:tcPr>
            <w:tcW w:type="dxa" w:w="2268"/>
          </w:tcPr>
          <w:p>
            <w:pPr>
              <w:spacing w:after="20"/>
            </w:pPr>
            <w:r>
              <w:rPr>
                <w:b/>
                <w:sz w:val="17"/>
              </w:rPr>
              <w:t>Palladium-coated EMF shielding fabric</w:t>
            </w:r>
          </w:p>
        </w:tc>
        <w:tc>
          <w:tcPr>
            <w:tcW w:type="dxa" w:w="1701"/>
          </w:tcPr>
          <w:p>
            <w:pPr>
              <w:spacing w:after="20"/>
            </w:pPr>
            <w:r>
              <w:rPr>
                <w:b w:val="0"/>
                <w:sz w:val="17"/>
              </w:rPr>
              <w:t>DECIDED</w:t>
            </w:r>
          </w:p>
        </w:tc>
        <w:tc>
          <w:tcPr>
            <w:tcW w:type="dxa" w:w="1474"/>
          </w:tcPr>
          <w:p>
            <w:pPr>
              <w:spacing w:after="20"/>
            </w:pPr>
            <w:r>
              <w:rPr>
                <w:b w:val="0"/>
                <w:sz w:val="17"/>
              </w:rPr>
              <w:t>+$6/headset</w:t>
            </w:r>
          </w:p>
        </w:tc>
        <w:tc>
          <w:tcPr>
            <w:tcW w:type="dxa" w:w="4082"/>
          </w:tcPr>
          <w:p>
            <w:pPr>
              <w:spacing w:after="20"/>
            </w:pPr>
            <w:r>
              <w:rPr>
                <w:b w:val="0"/>
                <w:sz w:val="17"/>
              </w:rPr>
              <w:t>Silver tarnishes in 12–18 months; palladium is tarnish-immune for device lifetime, and fleet SHDR verifies stable attenuation — a permanent, marketable claim.</w:t>
            </w:r>
          </w:p>
        </w:tc>
      </w:tr>
      <w:tr>
        <w:tc>
          <w:tcPr>
            <w:tcW w:type="dxa" w:w="2268"/>
          </w:tcPr>
          <w:p>
            <w:pPr>
              <w:spacing w:after="20"/>
            </w:pPr>
            <w:r>
              <w:rPr>
                <w:b/>
                <w:sz w:val="17"/>
              </w:rPr>
              <w:t>Interface protection covers, all tethered</w:t>
            </w:r>
          </w:p>
        </w:tc>
        <w:tc>
          <w:tcPr>
            <w:tcW w:type="dxa" w:w="1701"/>
          </w:tcPr>
          <w:p>
            <w:pPr>
              <w:spacing w:after="20"/>
            </w:pPr>
            <w:r>
              <w:rPr>
                <w:b w:val="0"/>
                <w:sz w:val="17"/>
              </w:rPr>
              <w:t>PRE-TOOLING CRITICAL</w:t>
            </w:r>
          </w:p>
        </w:tc>
        <w:tc>
          <w:tcPr>
            <w:tcW w:type="dxa" w:w="1474"/>
          </w:tcPr>
          <w:p>
            <w:pPr>
              <w:spacing w:after="20"/>
            </w:pPr>
            <w:r>
              <w:rPr>
                <w:b w:val="0"/>
                <w:sz w:val="17"/>
              </w:rPr>
              <w:t>+$8–9 total</w:t>
            </w:r>
          </w:p>
        </w:tc>
        <w:tc>
          <w:tcPr>
            <w:tcW w:type="dxa" w:w="4082"/>
          </w:tcPr>
          <w:p>
            <w:pPr>
              <w:spacing w:after="20"/>
            </w:pPr>
            <w:r>
              <w:rPr>
                <w:b w:val="0"/>
                <w:sz w:val="17"/>
              </w:rPr>
              <w:t>Anchor posts mold into the shell at zero cost if specified before first cut. Loss prevention by design — covers cannot be permanently lost without deliberate cutting.</w:t>
            </w:r>
          </w:p>
        </w:tc>
      </w:tr>
      <w:tr>
        <w:tc>
          <w:tcPr>
            <w:tcW w:type="dxa" w:w="2268"/>
          </w:tcPr>
          <w:p>
            <w:pPr>
              <w:spacing w:after="20"/>
            </w:pPr>
            <w:r>
              <w:rPr>
                <w:b/>
                <w:sz w:val="17"/>
              </w:rPr>
              <w:t>Sliding rail lens mount</w:t>
            </w:r>
          </w:p>
        </w:tc>
        <w:tc>
          <w:tcPr>
            <w:tcW w:type="dxa" w:w="1701"/>
          </w:tcPr>
          <w:p>
            <w:pPr>
              <w:spacing w:after="20"/>
            </w:pPr>
            <w:r>
              <w:rPr>
                <w:b w:val="0"/>
                <w:sz w:val="17"/>
              </w:rPr>
              <w:t>DECIDED</w:t>
            </w:r>
          </w:p>
        </w:tc>
        <w:tc>
          <w:tcPr>
            <w:tcW w:type="dxa" w:w="1474"/>
          </w:tcPr>
          <w:p>
            <w:pPr>
              <w:spacing w:after="20"/>
            </w:pPr>
            <w:r>
              <w:rPr>
                <w:b w:val="0"/>
                <w:sz w:val="17"/>
              </w:rPr>
              <w:t>+$1.20</w:t>
            </w:r>
          </w:p>
        </w:tc>
        <w:tc>
          <w:tcPr>
            <w:tcW w:type="dxa" w:w="4082"/>
          </w:tcPr>
          <w:p>
            <w:pPr>
              <w:spacing w:after="20"/>
            </w:pPr>
            <w:r>
              <w:rPr>
                <w:b w:val="0"/>
                <w:sz w:val="17"/>
              </w:rPr>
              <w:t>T-slot groove in the lens rim plus a tongue in the goggle arm; ≤5 N extraction, 500-cycle rated. Eliminates the Tier A alignment jig; user self-install.</w:t>
            </w:r>
          </w:p>
        </w:tc>
      </w:tr>
    </w:tbl>
    <w:p>
      <w:pPr>
        <w:spacing w:after="40"/>
      </w:pPr>
    </w:p>
    <w:p>
      <w:pPr>
        <w:spacing w:after="100"/>
      </w:pPr>
      <w:r>
        <w:rPr>
          <w:b w:val="0"/>
          <w:i w:val="0"/>
          <w:sz w:val="19"/>
        </w:rPr>
        <w:t>Retired from the durability program: the per-zone molded FPC channels (REQ-ST-01..07) are deleted from shell tooling, with complexity moving into L1 lamination; L1 becomes an electro-mechanical assembly requiring a new rigid-flex-into-molded-carrier supplier category in NP-PROC-SUP-001 (OI-SHELL2-04). Cluster-level rework replaces bowl scrap.</w:t>
      </w:r>
    </w:p>
    <w:p>
      <w:pPr>
        <w:spacing w:after="100"/>
      </w:pPr>
      <w:r>
        <w:rPr>
          <w:b w:val="0"/>
          <w:i w:val="0"/>
          <w:sz w:val="19"/>
        </w:rPr>
        <w:t>Predictive maintenance runs on SHDR fleet telemetry in three phases: population-average survival analysis (0–1,000 devices, Year 1), a fleet-trained LSTM on sensor trajectories (1,000–10,000 devices, Year 2), and Bayesian personalization with continuously revised RUL predictions (10,000+ devices, Year 3+). Models are version-stamped by hardware revision and deployed back to devices by OTA, so the moat grows automatically with fleet size. All reminders are measurement-triggered, never calendar-triggered; safety-critical reminders cannot be dismissed and block session start.</w:t>
      </w:r>
    </w:p>
    <w:p>
      <w:pPr>
        <w:pStyle w:val="Heading1"/>
        <w:spacing w:before="240" w:after="80"/>
      </w:pPr>
      <w:r>
        <w:t>7. Service Network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D9E2F3"/>
          </w:tcPr>
          <w:p>
            <w:pPr>
              <w:spacing w:after="20"/>
            </w:pPr>
            <w:r>
              <w:rPr>
                <w:b/>
                <w:sz w:val="17"/>
              </w:rPr>
              <w:t>Tier</w:t>
            </w:r>
          </w:p>
        </w:tc>
        <w:tc>
          <w:tcPr>
            <w:tcW w:type="dxa" w:w="1814"/>
            <w:shd w:val="clear" w:color="auto" w:fill="D9E2F3"/>
          </w:tcPr>
          <w:p>
            <w:pPr>
              <w:spacing w:after="20"/>
            </w:pPr>
            <w:r>
              <w:rPr>
                <w:b/>
                <w:sz w:val="17"/>
              </w:rPr>
              <w:t>Examples</w:t>
            </w:r>
          </w:p>
        </w:tc>
        <w:tc>
          <w:tcPr>
            <w:tcW w:type="dxa" w:w="2721"/>
            <w:shd w:val="clear" w:color="auto" w:fill="D9E2F3"/>
          </w:tcPr>
          <w:p>
            <w:pPr>
              <w:spacing w:after="20"/>
            </w:pPr>
            <w:r>
              <w:rPr>
                <w:b/>
                <w:sz w:val="17"/>
              </w:rPr>
              <w:t>Service tasks</w:t>
            </w:r>
          </w:p>
        </w:tc>
        <w:tc>
          <w:tcPr>
            <w:tcW w:type="dxa" w:w="1587"/>
            <w:shd w:val="clear" w:color="auto" w:fill="D9E2F3"/>
          </w:tcPr>
          <w:p>
            <w:pPr>
              <w:spacing w:after="20"/>
            </w:pPr>
            <w:r>
              <w:rPr>
                <w:b/>
                <w:sz w:val="17"/>
              </w:rPr>
              <w:t>Certification</w:t>
            </w:r>
          </w:p>
        </w:tc>
        <w:tc>
          <w:tcPr>
            <w:tcW w:type="dxa" w:w="1134"/>
            <w:shd w:val="clear" w:color="auto" w:fill="D9E2F3"/>
          </w:tcPr>
          <w:p>
            <w:pPr>
              <w:spacing w:after="20"/>
            </w:pPr>
            <w:r>
              <w:rPr>
                <w:b/>
                <w:sz w:val="17"/>
              </w:rPr>
              <w:t>Revenue/yr</w:t>
            </w:r>
          </w:p>
        </w:tc>
        <w:tc>
          <w:tcPr>
            <w:tcW w:type="dxa" w:w="1020"/>
            <w:shd w:val="clear" w:color="auto" w:fill="D9E2F3"/>
          </w:tcPr>
          <w:p>
            <w:pPr>
              <w:spacing w:after="20"/>
            </w:pPr>
            <w:r>
              <w:rPr>
                <w:b/>
                <w:sz w:val="17"/>
              </w:rPr>
              <w:t>Launch</w:t>
            </w:r>
          </w:p>
        </w:tc>
      </w:tr>
      <w:tr>
        <w:tc>
          <w:tcPr>
            <w:tcW w:type="dxa" w:w="1701"/>
          </w:tcPr>
          <w:p>
            <w:pPr>
              <w:spacing w:after="20"/>
            </w:pPr>
            <w:r>
              <w:rPr>
                <w:b/>
                <w:sz w:val="17"/>
              </w:rPr>
              <w:t>A — Optical centers</w:t>
            </w:r>
          </w:p>
        </w:tc>
        <w:tc>
          <w:tcPr>
            <w:tcW w:type="dxa" w:w="1814"/>
          </w:tcPr>
          <w:p>
            <w:pPr>
              <w:spacing w:after="20"/>
            </w:pPr>
            <w:r>
              <w:rPr>
                <w:b w:val="0"/>
                <w:sz w:val="17"/>
              </w:rPr>
              <w:t>LensCrafters, Pearle Vision, independent opticians</w:t>
            </w:r>
          </w:p>
        </w:tc>
        <w:tc>
          <w:tcPr>
            <w:tcW w:type="dxa" w:w="2721"/>
          </w:tcPr>
          <w:p>
            <w:pPr>
              <w:spacing w:after="20"/>
            </w:pPr>
            <w:r>
              <w:rPr>
                <w:b w:val="0"/>
                <w:sz w:val="17"/>
              </w:rPr>
              <w:t>S3 Rx clip manufacture and fitting (primary); lens replacement; calibration (secondary)</w:t>
            </w:r>
          </w:p>
        </w:tc>
        <w:tc>
          <w:tcPr>
            <w:tcW w:type="dxa" w:w="1587"/>
          </w:tcPr>
          <w:p>
            <w:pPr>
              <w:spacing w:after="20"/>
            </w:pPr>
            <w:r>
              <w:rPr>
                <w:b w:val="0"/>
                <w:sz w:val="17"/>
              </w:rPr>
              <w:t>4 hr initial, 1 hr annual online</w:t>
            </w:r>
          </w:p>
        </w:tc>
        <w:tc>
          <w:tcPr>
            <w:tcW w:type="dxa" w:w="1134"/>
          </w:tcPr>
          <w:p>
            <w:pPr>
              <w:spacing w:after="20"/>
            </w:pPr>
            <w:r>
              <w:rPr>
                <w:b w:val="0"/>
                <w:sz w:val="17"/>
              </w:rPr>
              <w:t>$8K–35K</w:t>
            </w:r>
          </w:p>
        </w:tc>
        <w:tc>
          <w:tcPr>
            <w:tcW w:type="dxa" w:w="1020"/>
          </w:tcPr>
          <w:p>
            <w:pPr>
              <w:spacing w:after="20"/>
            </w:pPr>
            <w:r>
              <w:rPr>
                <w:b w:val="0"/>
                <w:sz w:val="17"/>
              </w:rPr>
              <w:t>Year 1</w:t>
            </w:r>
          </w:p>
        </w:tc>
      </w:tr>
      <w:tr>
        <w:tc>
          <w:tcPr>
            <w:tcW w:type="dxa" w:w="1701"/>
          </w:tcPr>
          <w:p>
            <w:pPr>
              <w:spacing w:after="20"/>
            </w:pPr>
            <w:r>
              <w:rPr>
                <w:b/>
                <w:sz w:val="17"/>
              </w:rPr>
              <w:t>B — Electronics repair</w:t>
            </w:r>
          </w:p>
        </w:tc>
        <w:tc>
          <w:tcPr>
            <w:tcW w:type="dxa" w:w="1814"/>
          </w:tcPr>
          <w:p>
            <w:pPr>
              <w:spacing w:after="20"/>
            </w:pPr>
            <w:r>
              <w:rPr>
                <w:b w:val="0"/>
                <w:sz w:val="17"/>
              </w:rPr>
              <w:t>uBreakiFix/Asurion, iFixit partners</w:t>
            </w:r>
          </w:p>
        </w:tc>
        <w:tc>
          <w:tcPr>
            <w:tcW w:type="dxa" w:w="2721"/>
          </w:tcPr>
          <w:p>
            <w:pPr>
              <w:spacing w:after="20"/>
            </w:pPr>
            <w:r>
              <w:rPr>
                <w:b w:val="0"/>
                <w:sz w:val="17"/>
              </w:rPr>
              <w:t>Cluster carrier and module swap; DFU recovery; eMMC data recovery; impact inspection; fluxgate calibration</w:t>
            </w:r>
          </w:p>
        </w:tc>
        <w:tc>
          <w:tcPr>
            <w:tcW w:type="dxa" w:w="1587"/>
          </w:tcPr>
          <w:p>
            <w:pPr>
              <w:spacing w:after="20"/>
            </w:pPr>
            <w:r>
              <w:rPr>
                <w:b w:val="0"/>
                <w:sz w:val="17"/>
              </w:rPr>
              <w:t>6 hr initial, 2 hr annual practical</w:t>
            </w:r>
          </w:p>
        </w:tc>
        <w:tc>
          <w:tcPr>
            <w:tcW w:type="dxa" w:w="1134"/>
          </w:tcPr>
          <w:p>
            <w:pPr>
              <w:spacing w:after="20"/>
            </w:pPr>
            <w:r>
              <w:rPr>
                <w:b w:val="0"/>
                <w:sz w:val="17"/>
              </w:rPr>
              <w:t>$4K–18K</w:t>
            </w:r>
          </w:p>
        </w:tc>
        <w:tc>
          <w:tcPr>
            <w:tcW w:type="dxa" w:w="1020"/>
          </w:tcPr>
          <w:p>
            <w:pPr>
              <w:spacing w:after="20"/>
            </w:pPr>
            <w:r>
              <w:rPr>
                <w:b w:val="0"/>
                <w:sz w:val="17"/>
              </w:rPr>
              <w:t>Year 2, major metros first</w:t>
            </w:r>
          </w:p>
        </w:tc>
      </w:tr>
      <w:tr>
        <w:tc>
          <w:tcPr>
            <w:tcW w:type="dxa" w:w="1701"/>
          </w:tcPr>
          <w:p>
            <w:pPr>
              <w:spacing w:after="20"/>
            </w:pPr>
            <w:r>
              <w:rPr>
                <w:b/>
                <w:sz w:val="17"/>
              </w:rPr>
              <w:t>C — Retail triage</w:t>
            </w:r>
          </w:p>
        </w:tc>
        <w:tc>
          <w:tcPr>
            <w:tcW w:type="dxa" w:w="1814"/>
          </w:tcPr>
          <w:p>
            <w:pPr>
              <w:spacing w:after="20"/>
            </w:pPr>
            <w:r>
              <w:rPr>
                <w:b w:val="0"/>
                <w:sz w:val="17"/>
              </w:rPr>
              <w:t>Best Buy Geek Squad, Apple Authorized Service</w:t>
            </w:r>
          </w:p>
        </w:tc>
        <w:tc>
          <w:tcPr>
            <w:tcW w:type="dxa" w:w="2721"/>
          </w:tcPr>
          <w:p>
            <w:pPr>
              <w:spacing w:after="20"/>
            </w:pPr>
            <w:r>
              <w:rPr>
                <w:b w:val="0"/>
                <w:sz w:val="17"/>
              </w:rPr>
              <w:t>Warranty intake and triage; routing to Tier A/B; consumable sales</w:t>
            </w:r>
          </w:p>
        </w:tc>
        <w:tc>
          <w:tcPr>
            <w:tcW w:type="dxa" w:w="1587"/>
          </w:tcPr>
          <w:p>
            <w:pPr>
              <w:spacing w:after="20"/>
            </w:pPr>
            <w:r>
              <w:rPr>
                <w:b w:val="0"/>
                <w:sz w:val="17"/>
              </w:rPr>
              <w:t>2 hr initial, 30 min annual online</w:t>
            </w:r>
          </w:p>
        </w:tc>
        <w:tc>
          <w:tcPr>
            <w:tcW w:type="dxa" w:w="1134"/>
          </w:tcPr>
          <w:p>
            <w:pPr>
              <w:spacing w:after="20"/>
            </w:pPr>
            <w:r>
              <w:rPr>
                <w:b w:val="0"/>
                <w:sz w:val="17"/>
              </w:rPr>
              <w:t>$1K–7K</w:t>
            </w:r>
          </w:p>
        </w:tc>
        <w:tc>
          <w:tcPr>
            <w:tcW w:type="dxa" w:w="1020"/>
          </w:tcPr>
          <w:p>
            <w:pPr>
              <w:spacing w:after="20"/>
            </w:pPr>
            <w:r>
              <w:rPr>
                <w:b w:val="0"/>
                <w:sz w:val="17"/>
              </w:rPr>
              <w:t>Year 1–2</w:t>
            </w:r>
          </w:p>
        </w:tc>
      </w:tr>
      <w:tr>
        <w:tc>
          <w:tcPr>
            <w:tcW w:type="dxa" w:w="1701"/>
          </w:tcPr>
          <w:p>
            <w:pPr>
              <w:spacing w:after="20"/>
            </w:pPr>
            <w:r>
              <w:rPr>
                <w:b/>
                <w:sz w:val="17"/>
              </w:rPr>
              <w:t>NeurOne Depot</w:t>
            </w:r>
          </w:p>
        </w:tc>
        <w:tc>
          <w:tcPr>
            <w:tcW w:type="dxa" w:w="1814"/>
          </w:tcPr>
          <w:p>
            <w:pPr>
              <w:spacing w:after="20"/>
            </w:pPr>
            <w:r>
              <w:rPr>
                <w:b w:val="0"/>
                <w:sz w:val="17"/>
              </w:rPr>
              <w:t>Mail-in backstop</w:t>
            </w:r>
          </w:p>
        </w:tc>
        <w:tc>
          <w:tcPr>
            <w:tcW w:type="dxa" w:w="2721"/>
          </w:tcPr>
          <w:p>
            <w:pPr>
              <w:spacing w:after="20"/>
            </w:pPr>
            <w:r>
              <w:rPr>
                <w:b w:val="0"/>
                <w:sz w:val="17"/>
              </w:rPr>
              <w:t>All tasks; T2 same-day loaner; precision fluxgate calibration; eMMC specialist recovery</w:t>
            </w:r>
          </w:p>
        </w:tc>
        <w:tc>
          <w:tcPr>
            <w:tcW w:type="dxa" w:w="1587"/>
          </w:tcPr>
          <w:p>
            <w:pPr>
              <w:spacing w:after="20"/>
            </w:pPr>
            <w:r>
              <w:rPr>
                <w:b w:val="0"/>
                <w:sz w:val="17"/>
              </w:rPr>
              <w:t>Full internal training</w:t>
            </w:r>
          </w:p>
        </w:tc>
        <w:tc>
          <w:tcPr>
            <w:tcW w:type="dxa" w:w="1134"/>
          </w:tcPr>
          <w:p>
            <w:pPr>
              <w:spacing w:after="20"/>
            </w:pPr>
            <w:r>
              <w:rPr>
                <w:b w:val="0"/>
                <w:sz w:val="17"/>
              </w:rPr>
              <w:t>Highest margin per task</w:t>
            </w:r>
          </w:p>
        </w:tc>
        <w:tc>
          <w:tcPr>
            <w:tcW w:type="dxa" w:w="1020"/>
          </w:tcPr>
          <w:p>
            <w:pPr>
              <w:spacing w:after="20"/>
            </w:pPr>
            <w:r>
              <w:rPr>
                <w:b w:val="0"/>
                <w:sz w:val="17"/>
              </w:rPr>
              <w:t>Day 1</w:t>
            </w:r>
          </w:p>
        </w:tc>
      </w:tr>
    </w:tbl>
    <w:p>
      <w:pPr>
        <w:spacing w:after="40"/>
      </w:pPr>
    </w:p>
    <w:p>
      <w:pPr>
        <w:spacing w:after="100"/>
      </w:pPr>
      <w:r>
        <w:rPr>
          <w:b w:val="0"/>
          <w:i w:val="0"/>
          <w:sz w:val="18"/>
        </w:rPr>
        <w:t>Structural, accepted and managed: fluxgate calibration requires a Tier B visit every 3–5 years — geomagnetic field magnitude comparison detects severe drift, and fleet SHDR predicts the need with months of lead time, so the Tier B network is established before first visits are needed. iOS/Android OS update dependency is managed by developer beta participation, a 7-day OS compatibility SLA, and autonomous Mode 3 as the structural fallback.</w:t>
      </w:r>
    </w:p>
    <w:p>
      <w:pPr>
        <w:pStyle w:val="Heading1"/>
        <w:spacing w:before="240" w:after="80"/>
      </w:pPr>
      <w:r>
        <w:t>8. Risk Register + Open Blocking Items</w:t>
      </w:r>
    </w:p>
    <w:p>
      <w:pPr>
        <w:spacing w:after="100"/>
      </w:pPr>
      <w:r>
        <w:rPr>
          <w:b/>
          <w:i w:val="0"/>
          <w:sz w:val="19"/>
        </w:rPr>
        <w:t>Risk register: the RISK-01…RISK-26 sequence is closed and append-only, under ISO 14971 change control per NP-RM-001 Rev 1. The register itself was re-baselined on 2026-08-11: NP-RISK-001 is retired and split by artifact into NP-RISK-002 (index and disposition), NP-RISK-003 (hex-tile module) and NP-RISK-004 (shell, socket, interconnect, hub). Of the 26, twenty are CARRIED into the successors; three remain OPEN or unmitigated at the new numbers — RISK-03 (regulatory opinion, never commissioned, externally blocked since 2026-05-06 — OI-RISK2-04), RISK-16 (IPX4 after field replacement; the only risk whose exposure the architecture change INCREASED, no seam-length budget for ~30 seals) and RISK-20 (CFRP rim finish). RISK-26 (fan/heatsink airflow loss) is CARRIED to NP-RISK-004 at HIGH / ALARP. RISK-25 (cervical VNS cardiac reflex) is MITIGATED pending the FAI-CV02 hardware bench. New hazards raised against the hex architecture take artifact-prefixed IDs rather than RISK-NN — for example RISK-SHELL-02, the continuous dissipation of 18 cluster controllers behind the dominant outward thermal resistance, which is unbudgeted.</w:t>
      </w:r>
    </w:p>
    <w:tbl>
      <w:tblPr>
        <w:tblStyle w:val="TableGrid"/>
        <w:tblW w:type="auto" w:w="0"/>
        <w:jc w:val="center"/>
        <w:tblLook w:firstColumn="1" w:firstRow="1" w:lastColumn="0" w:lastRow="0" w:noHBand="0" w:noVBand="1" w:val="04A0"/>
      </w:tblPr>
      <w:tblGrid>
        <w:gridCol w:w="3324"/>
        <w:gridCol w:w="3324"/>
        <w:gridCol w:w="3324"/>
      </w:tblGrid>
      <w:tr>
        <w:tc>
          <w:tcPr>
            <w:tcW w:type="dxa" w:w="1361"/>
            <w:shd w:val="clear" w:color="auto" w:fill="D9E2F3"/>
          </w:tcPr>
          <w:p>
            <w:pPr>
              <w:spacing w:after="20"/>
            </w:pPr>
            <w:r>
              <w:rPr>
                <w:b/>
                <w:sz w:val="17"/>
              </w:rPr>
              <w:t>Severity</w:t>
            </w:r>
          </w:p>
        </w:tc>
        <w:tc>
          <w:tcPr>
            <w:tcW w:type="dxa" w:w="2948"/>
            <w:shd w:val="clear" w:color="auto" w:fill="D9E2F3"/>
          </w:tcPr>
          <w:p>
            <w:pPr>
              <w:spacing w:after="20"/>
            </w:pPr>
            <w:r>
              <w:rPr>
                <w:b/>
                <w:sz w:val="17"/>
              </w:rPr>
              <w:t>Issue</w:t>
            </w:r>
          </w:p>
        </w:tc>
        <w:tc>
          <w:tcPr>
            <w:tcW w:type="dxa" w:w="5216"/>
            <w:shd w:val="clear" w:color="auto" w:fill="D9E2F3"/>
          </w:tcPr>
          <w:p>
            <w:pPr>
              <w:spacing w:after="20"/>
            </w:pPr>
            <w:r>
              <w:rPr>
                <w:b/>
                <w:sz w:val="17"/>
              </w:rPr>
              <w:t>Status and mitigation</w:t>
            </w:r>
          </w:p>
        </w:tc>
      </w:tr>
      <w:tr>
        <w:tc>
          <w:tcPr>
            <w:tcW w:type="dxa" w:w="1361"/>
          </w:tcPr>
          <w:p>
            <w:pPr>
              <w:spacing w:after="20"/>
            </w:pPr>
            <w:r>
              <w:rPr>
                <w:b/>
                <w:sz w:val="17"/>
              </w:rPr>
              <w:t>CRITICAL</w:t>
            </w:r>
          </w:p>
        </w:tc>
        <w:tc>
          <w:tcPr>
            <w:tcW w:type="dxa" w:w="2948"/>
          </w:tcPr>
          <w:p>
            <w:pPr>
              <w:spacing w:after="20"/>
            </w:pPr>
            <w:r>
              <w:rPr>
                <w:b w:val="0"/>
                <w:sz w:val="17"/>
              </w:rPr>
              <w:t>Zero published clinical trials — a 35-trial gap versus Vielight</w:t>
            </w:r>
          </w:p>
        </w:tc>
        <w:tc>
          <w:tcPr>
            <w:tcW w:type="dxa" w:w="5216"/>
          </w:tcPr>
          <w:p>
            <w:pPr>
              <w:spacing w:after="20"/>
            </w:pPr>
            <w:r>
              <w:rPr>
                <w:b w:val="0"/>
                <w:sz w:val="17"/>
              </w:rPr>
              <w:t>Every clinical adoption decision, investor meeting and regulatory filing needs clinical data. SBIR Phase I to be initiated at company formation. First contacts: Rashidi-Ranjbar → Jog → Naeser. 2–3 years to published data.</w:t>
            </w:r>
          </w:p>
        </w:tc>
      </w:tr>
      <w:tr>
        <w:tc>
          <w:tcPr>
            <w:tcW w:type="dxa" w:w="1361"/>
          </w:tcPr>
          <w:p>
            <w:pPr>
              <w:spacing w:after="20"/>
            </w:pPr>
            <w:r>
              <w:rPr>
                <w:b/>
                <w:sz w:val="17"/>
              </w:rPr>
              <w:t>CRITICAL</w:t>
            </w:r>
          </w:p>
        </w:tc>
        <w:tc>
          <w:tcPr>
            <w:tcW w:type="dxa" w:w="2948"/>
          </w:tcPr>
          <w:p>
            <w:pPr>
              <w:spacing w:after="20"/>
            </w:pPr>
            <w:r>
              <w:rPr>
                <w:b w:val="0"/>
                <w:sz w:val="17"/>
              </w:rPr>
              <w:t>RISK-03 — 400 mW/cm² regulatory opinion not obtained (BLOCKING)</w:t>
            </w:r>
          </w:p>
        </w:tc>
        <w:tc>
          <w:tcPr>
            <w:tcW w:type="dxa" w:w="5216"/>
          </w:tcPr>
          <w:p>
            <w:pPr>
              <w:spacing w:after="20"/>
            </w:pPr>
            <w:r>
              <w:rPr>
                <w:b w:val="0"/>
                <w:sz w:val="17"/>
              </w:rPr>
              <w:t>This number cannot appear in ANY public-facing material, investor deck or marketing copy until cleared. Outside regulatory counsel (PBM/digital health specialist), $8,000–15,000, 3–5 weeks. Scope expanded by NP-REG-PBM1064-001 to cover 1064 nm irradiance, the 600 mW/cm² aggregate ceiling (OI-PBM-05), T2 combined 1064+1170 nm, and the depth-tier penetration claim. A Q-13 addition covering Mode F cumulative retinal dose is still to be added. Note: a NIR wavelength change would likely require the opinion's scope to be re-checked rather than assumed to still cover it.</w:t>
            </w:r>
          </w:p>
        </w:tc>
      </w:tr>
      <w:tr>
        <w:tc>
          <w:tcPr>
            <w:tcW w:type="dxa" w:w="1361"/>
          </w:tcPr>
          <w:p>
            <w:pPr>
              <w:spacing w:after="20"/>
            </w:pPr>
            <w:r>
              <w:rPr>
                <w:b/>
                <w:sz w:val="17"/>
              </w:rPr>
              <w:t>CRITICAL</w:t>
            </w:r>
          </w:p>
        </w:tc>
        <w:tc>
          <w:tcPr>
            <w:tcW w:type="dxa" w:w="2948"/>
          </w:tcPr>
          <w:p>
            <w:pPr>
              <w:spacing w:after="20"/>
            </w:pPr>
            <w:r>
              <w:rPr>
                <w:b w:val="0"/>
                <w:sz w:val="17"/>
              </w:rPr>
              <w:t>"NeurOne" is an uncleared placeholder name</w:t>
            </w:r>
          </w:p>
        </w:tc>
        <w:tc>
          <w:tcPr>
            <w:tcW w:type="dxa" w:w="5216"/>
          </w:tcPr>
          <w:p>
            <w:pPr>
              <w:spacing w:after="20"/>
            </w:pPr>
            <w:r>
              <w:rPr>
                <w:b w:val="0"/>
                <w:sz w:val="17"/>
              </w:rPr>
              <w:t>Trademark search and clearance required for US, EU, Canada and Australia before ANY external conversation. $15,000–25,000.</w:t>
            </w:r>
          </w:p>
        </w:tc>
      </w:tr>
      <w:tr>
        <w:tc>
          <w:tcPr>
            <w:tcW w:type="dxa" w:w="1361"/>
          </w:tcPr>
          <w:p>
            <w:pPr>
              <w:spacing w:after="20"/>
            </w:pPr>
            <w:r>
              <w:rPr>
                <w:b/>
                <w:sz w:val="17"/>
              </w:rPr>
              <w:t>CRITICAL</w:t>
            </w:r>
          </w:p>
        </w:tc>
        <w:tc>
          <w:tcPr>
            <w:tcW w:type="dxa" w:w="2948"/>
          </w:tcPr>
          <w:p>
            <w:pPr>
              <w:spacing w:after="20"/>
            </w:pPr>
            <w:r>
              <w:rPr>
                <w:b w:val="0"/>
                <w:sz w:val="17"/>
              </w:rPr>
              <w:t>RISK-20 — CFRP shell slot rim Ra ≤ 1.6 µm unconfirmed (BLOCKING)</w:t>
            </w:r>
          </w:p>
        </w:tc>
        <w:tc>
          <w:tcPr>
            <w:tcW w:type="dxa" w:w="5216"/>
          </w:tcPr>
          <w:p>
            <w:pPr>
              <w:spacing w:after="20"/>
            </w:pPr>
            <w:r>
              <w:rPr>
                <w:b w:val="0"/>
                <w:sz w:val="17"/>
              </w:rPr>
              <w:t>Tooling cannot be released until written supplier confirmation with Ra measurement data is received. Supplier qualification item SUP-M-07.</w:t>
            </w:r>
          </w:p>
        </w:tc>
      </w:tr>
      <w:tr>
        <w:tc>
          <w:tcPr>
            <w:tcW w:type="dxa" w:w="1361"/>
          </w:tcPr>
          <w:p>
            <w:pPr>
              <w:spacing w:after="20"/>
            </w:pPr>
            <w:r>
              <w:rPr>
                <w:b/>
                <w:sz w:val="17"/>
              </w:rPr>
              <w:t>CRITICAL</w:t>
            </w:r>
          </w:p>
        </w:tc>
        <w:tc>
          <w:tcPr>
            <w:tcW w:type="dxa" w:w="2948"/>
          </w:tcPr>
          <w:p>
            <w:pPr>
              <w:spacing w:after="20"/>
            </w:pPr>
            <w:r>
              <w:rPr>
                <w:b w:val="0"/>
                <w:sz w:val="17"/>
              </w:rPr>
              <w:t>RISK-04 — PDMS CAT-C supplier not selected (BLOCKING)</w:t>
            </w:r>
          </w:p>
        </w:tc>
        <w:tc>
          <w:tcPr>
            <w:tcW w:type="dxa" w:w="5216"/>
          </w:tcPr>
          <w:p>
            <w:pPr>
              <w:spacing w:after="20"/>
            </w:pPr>
            <w:r>
              <w:rPr>
                <w:b w:val="0"/>
                <w:sz w:val="17"/>
              </w:rPr>
              <w:t>Production cannot start until the CAT-C supplier is selected and the 200-cycle IEC 60068-2-14 thermal cycling qualification (FAI-TC02) passes. 8-week lead time from selection.</w:t>
            </w:r>
          </w:p>
        </w:tc>
      </w:tr>
      <w:tr>
        <w:tc>
          <w:tcPr>
            <w:tcW w:type="dxa" w:w="1361"/>
          </w:tcPr>
          <w:p>
            <w:pPr>
              <w:spacing w:after="20"/>
            </w:pPr>
            <w:r>
              <w:rPr>
                <w:b/>
                <w:sz w:val="17"/>
              </w:rPr>
              <w:t>HIGH (OPEN)</w:t>
            </w:r>
          </w:p>
        </w:tc>
        <w:tc>
          <w:tcPr>
            <w:tcW w:type="dxa" w:w="2948"/>
          </w:tcPr>
          <w:p>
            <w:pPr>
              <w:spacing w:after="20"/>
            </w:pPr>
            <w:r>
              <w:rPr>
                <w:b w:val="0"/>
                <w:sz w:val="17"/>
              </w:rPr>
              <w:t>RISK-26 — fan/heatsink-loss scalp overheat (FMEA-G07-01)</w:t>
            </w:r>
          </w:p>
        </w:tc>
        <w:tc>
          <w:tcPr>
            <w:tcW w:type="dxa" w:w="5216"/>
          </w:tcPr>
          <w:p>
            <w:pPr>
              <w:spacing w:after="20"/>
            </w:pPr>
            <w:r>
              <w:rPr>
                <w:b w:val="0"/>
                <w:sz w:val="17"/>
              </w:rPr>
              <w:t>Path B1 selected (scalp-facing NTC co-located with PD2). OPEN pending SW01-M04 implementation and the THERM-1b bench. All thermal constants provisional pending verification-grade 2D CFD; path selection is firm.</w:t>
            </w:r>
          </w:p>
        </w:tc>
      </w:tr>
      <w:tr>
        <w:tc>
          <w:tcPr>
            <w:tcW w:type="dxa" w:w="1361"/>
          </w:tcPr>
          <w:p>
            <w:pPr>
              <w:spacing w:after="20"/>
            </w:pPr>
            <w:r>
              <w:rPr>
                <w:b/>
                <w:sz w:val="17"/>
              </w:rPr>
              <w:t>HIGH (OPEN)</w:t>
            </w:r>
          </w:p>
        </w:tc>
        <w:tc>
          <w:tcPr>
            <w:tcW w:type="dxa" w:w="2948"/>
          </w:tcPr>
          <w:p>
            <w:pPr>
              <w:spacing w:after="20"/>
            </w:pPr>
            <w:r>
              <w:rPr>
                <w:b w:val="0"/>
                <w:sz w:val="17"/>
              </w:rPr>
              <w:t>OI-LED-W1 — no shortlisted high-power NIR LED sits inside the 808–830 nm spec</w:t>
            </w:r>
          </w:p>
        </w:tc>
        <w:tc>
          <w:tcPr>
            <w:tcW w:type="dxa" w:w="5216"/>
          </w:tcPr>
          <w:p>
            <w:pPr>
              <w:spacing w:after="20"/>
            </w:pPr>
            <w:r>
              <w:rPr>
                <w:b w:val="0"/>
                <w:sz w:val="17"/>
              </w:rPr>
              <w:t>Decision brief written 2026-07-28, NOT yet decided. See §9.2.</w:t>
            </w:r>
          </w:p>
        </w:tc>
      </w:tr>
      <w:tr>
        <w:tc>
          <w:tcPr>
            <w:tcW w:type="dxa" w:w="1361"/>
          </w:tcPr>
          <w:p>
            <w:pPr>
              <w:spacing w:after="20"/>
            </w:pPr>
            <w:r>
              <w:rPr>
                <w:b/>
                <w:sz w:val="17"/>
              </w:rPr>
              <w:t>HIGH (OPEN)</w:t>
            </w:r>
          </w:p>
        </w:tc>
        <w:tc>
          <w:tcPr>
            <w:tcW w:type="dxa" w:w="2948"/>
          </w:tcPr>
          <w:p>
            <w:pPr>
              <w:spacing w:after="20"/>
            </w:pPr>
            <w:r>
              <w:rPr>
                <w:b w:val="0"/>
                <w:sz w:val="17"/>
              </w:rPr>
              <w:t>Hub-side fan-out is specified but not implemented (OI-HUB-C01…C19)</w:t>
            </w:r>
          </w:p>
        </w:tc>
        <w:tc>
          <w:tcPr>
            <w:tcW w:type="dxa" w:w="5216"/>
          </w:tcPr>
          <w:p>
            <w:pPr>
              <w:spacing w:after="20"/>
            </w:pPr>
            <w:r>
              <w:rPr>
                <w:b w:val="0"/>
                <w:sz w:val="17"/>
              </w:rPr>
              <w:t>None of the Rev C cluster-controller fan-out exists in hardware or firmware yet. The per-socket FPC pinout and LED drive stage are the largest unwritten items. Rev C is DRAFT; the socket count and every part number are explicitly open.</w:t>
            </w:r>
          </w:p>
        </w:tc>
      </w:tr>
      <w:tr>
        <w:tc>
          <w:tcPr>
            <w:tcW w:type="dxa" w:w="1361"/>
          </w:tcPr>
          <w:p>
            <w:pPr>
              <w:spacing w:after="20"/>
            </w:pPr>
            <w:r>
              <w:rPr>
                <w:b/>
                <w:sz w:val="17"/>
              </w:rPr>
              <w:t>HIGH (OPEN)</w:t>
            </w:r>
          </w:p>
        </w:tc>
        <w:tc>
          <w:tcPr>
            <w:tcW w:type="dxa" w:w="2948"/>
          </w:tcPr>
          <w:p>
            <w:pPr>
              <w:spacing w:after="20"/>
            </w:pPr>
            <w:r>
              <w:rPr>
                <w:b w:val="0"/>
                <w:sz w:val="17"/>
              </w:rPr>
              <w:t>Cluster count 18 exceeds the provisioned interconnect (OI-HEXTILE-14)</w:t>
            </w:r>
          </w:p>
        </w:tc>
        <w:tc>
          <w:tcPr>
            <w:tcW w:type="dxa" w:w="5216"/>
          </w:tcPr>
          <w:p>
            <w:pPr>
              <w:spacing w:after="20"/>
            </w:pPr>
            <w:r>
              <w:rPr>
                <w:b w:val="0"/>
                <w:sz w:val="17"/>
              </w:rPr>
              <w:t>18 clusters exceed both the 16 provisioned connector positions and the 8 branches × ≤2 clusters I2C tree. Options at NP-HW-HEXTILE-001 §8.2.2; peer documents not yet revised.</w:t>
            </w:r>
          </w:p>
        </w:tc>
      </w:tr>
      <w:tr>
        <w:tc>
          <w:tcPr>
            <w:tcW w:type="dxa" w:w="1361"/>
          </w:tcPr>
          <w:p>
            <w:pPr>
              <w:spacing w:after="20"/>
            </w:pPr>
            <w:r>
              <w:rPr>
                <w:b/>
                <w:sz w:val="17"/>
              </w:rPr>
              <w:t>HIGH (OPEN)</w:t>
            </w:r>
          </w:p>
        </w:tc>
        <w:tc>
          <w:tcPr>
            <w:tcW w:type="dxa" w:w="2948"/>
          </w:tcPr>
          <w:p>
            <w:pPr>
              <w:spacing w:after="20"/>
            </w:pPr>
            <w:r>
              <w:rPr>
                <w:b w:val="0"/>
                <w:sz w:val="17"/>
              </w:rPr>
              <w:t>Safety-cut granularity contested (OI-HUB-C07 / OI-HEXTILE-13)</w:t>
            </w:r>
          </w:p>
        </w:tc>
        <w:tc>
          <w:tcPr>
            <w:tcW w:type="dxa" w:w="5216"/>
          </w:tcPr>
          <w:p>
            <w:pPr>
              <w:spacing w:after="20"/>
            </w:pPr>
            <w:r>
              <w:rPr>
                <w:b w:val="0"/>
                <w:sz w:val="17"/>
              </w:rPr>
              <w:t>Per-cluster SAFE_EN_n (18 GPIO) versus a single cranial bit (1 GPIO, all-or-nothing). Proposed resolution at NP-HW-HEXTILE-001 §8.4.1.</w:t>
            </w:r>
          </w:p>
        </w:tc>
      </w:tr>
      <w:tr>
        <w:tc>
          <w:tcPr>
            <w:tcW w:type="dxa" w:w="1361"/>
          </w:tcPr>
          <w:p>
            <w:pPr>
              <w:spacing w:after="20"/>
            </w:pPr>
            <w:r>
              <w:rPr>
                <w:b/>
                <w:sz w:val="17"/>
              </w:rPr>
              <w:t>HIGH (OPEN)</w:t>
            </w:r>
          </w:p>
        </w:tc>
        <w:tc>
          <w:tcPr>
            <w:tcW w:type="dxa" w:w="2948"/>
          </w:tcPr>
          <w:p>
            <w:pPr>
              <w:spacing w:after="20"/>
            </w:pPr>
            <w:r>
              <w:rPr>
                <w:b w:val="0"/>
                <w:sz w:val="17"/>
              </w:rPr>
              <w:t>OI-CHARGE-04 — tDCS electrode-area assumption diverges</w:t>
            </w:r>
          </w:p>
        </w:tc>
        <w:tc>
          <w:tcPr>
            <w:tcW w:type="dxa" w:w="5216"/>
          </w:tcPr>
          <w:p>
            <w:pPr>
              <w:spacing w:after="20"/>
            </w:pPr>
            <w:r>
              <w:rPr>
                <w:b w:val="0"/>
                <w:sz w:val="17"/>
              </w:rPr>
              <w:t>The 40 µC/cm² charge-density limit is computed against a 25 cm² assumption in one place and 35 cm² in another, between the app pre-flight check and the safety MCU enforcer. Decision owner: Regulatory / Safety SW.</w:t>
            </w:r>
          </w:p>
        </w:tc>
      </w:tr>
      <w:tr>
        <w:tc>
          <w:tcPr>
            <w:tcW w:type="dxa" w:w="1361"/>
          </w:tcPr>
          <w:p>
            <w:pPr>
              <w:spacing w:after="20"/>
            </w:pPr>
            <w:r>
              <w:rPr>
                <w:b/>
                <w:sz w:val="17"/>
              </w:rPr>
              <w:t>HIGH (OPEN)</w:t>
            </w:r>
          </w:p>
        </w:tc>
        <w:tc>
          <w:tcPr>
            <w:tcW w:type="dxa" w:w="2948"/>
          </w:tcPr>
          <w:p>
            <w:pPr>
              <w:spacing w:after="20"/>
            </w:pPr>
            <w:r>
              <w:rPr>
                <w:b w:val="0"/>
                <w:sz w:val="17"/>
              </w:rPr>
              <w:t>OI-DOC-01 — NP-FW-HUB-001 is registered and cited as governing but was never written</w:t>
            </w:r>
          </w:p>
        </w:tc>
        <w:tc>
          <w:tcPr>
            <w:tcW w:type="dxa" w:w="5216"/>
          </w:tcPr>
          <w:p>
            <w:pPr>
              <w:spacing w:after="20"/>
            </w:pPr>
            <w:r>
              <w:rPr>
                <w:b w:val="0"/>
                <w:sz w:val="17"/>
              </w:rPr>
              <w:t>docs/np_fw_hub_001.md does not exist. Decision owner: Design Authority.</w:t>
            </w:r>
          </w:p>
        </w:tc>
      </w:tr>
      <w:tr>
        <w:tc>
          <w:tcPr>
            <w:tcW w:type="dxa" w:w="1361"/>
          </w:tcPr>
          <w:p>
            <w:pPr>
              <w:spacing w:after="20"/>
            </w:pPr>
            <w:r>
              <w:rPr>
                <w:b/>
                <w:sz w:val="17"/>
              </w:rPr>
              <w:t>HIGH (OPEN)</w:t>
            </w:r>
          </w:p>
        </w:tc>
        <w:tc>
          <w:tcPr>
            <w:tcW w:type="dxa" w:w="2948"/>
          </w:tcPr>
          <w:p>
            <w:pPr>
              <w:spacing w:after="20"/>
            </w:pPr>
            <w:r>
              <w:rPr>
                <w:b w:val="0"/>
                <w:sz w:val="17"/>
              </w:rPr>
              <w:t>NP-PWR-BUDGET-001 — TMS has no electrical spec</w:t>
            </w:r>
          </w:p>
        </w:tc>
        <w:tc>
          <w:tcPr>
            <w:tcW w:type="dxa" w:w="5216"/>
          </w:tcPr>
          <w:p>
            <w:pPr>
              <w:spacing w:after="20"/>
            </w:pPr>
            <w:r>
              <w:rPr>
                <w:b w:val="0"/>
                <w:sz w:val="17"/>
              </w:rPr>
              <w:t>The design study reversed the derivation direction used by every other power and thermal document and found that the T2-peak figure never included TMS. The CLAUDE.md §4.5 power table is therefore incomplete for T2.</w:t>
            </w:r>
          </w:p>
        </w:tc>
      </w:tr>
      <w:tr>
        <w:tc>
          <w:tcPr>
            <w:tcW w:type="dxa" w:w="1361"/>
          </w:tcPr>
          <w:p>
            <w:pPr>
              <w:spacing w:after="20"/>
            </w:pPr>
            <w:r>
              <w:rPr>
                <w:b/>
                <w:sz w:val="17"/>
              </w:rPr>
              <w:t>HIGH (OPEN)</w:t>
            </w:r>
          </w:p>
        </w:tc>
        <w:tc>
          <w:tcPr>
            <w:tcW w:type="dxa" w:w="2948"/>
          </w:tcPr>
          <w:p>
            <w:pPr>
              <w:spacing w:after="20"/>
            </w:pPr>
            <w:r>
              <w:rPr>
                <w:b w:val="0"/>
                <w:sz w:val="17"/>
              </w:rPr>
              <w:t>T2 hardware FAI items pending</w:t>
            </w:r>
          </w:p>
        </w:tc>
        <w:tc>
          <w:tcPr>
            <w:tcW w:type="dxa" w:w="5216"/>
          </w:tcPr>
          <w:p>
            <w:pPr>
              <w:spacing w:after="20"/>
            </w:pPr>
            <w:r>
              <w:rPr>
                <w:b w:val="0"/>
                <w:sz w:val="17"/>
              </w:rPr>
              <w:t>FAI-CV01, FAI-CV02, FAI-CV03, FAI-HD01, FAI-HD03, FAI-HD04 all require a T2 prototype bench. FAI-CV02 is required for full G3-08 closure; FAI-HD01/03/04 for G3-07.</w:t>
            </w:r>
          </w:p>
        </w:tc>
      </w:tr>
      <w:tr>
        <w:tc>
          <w:tcPr>
            <w:tcW w:type="dxa" w:w="1361"/>
          </w:tcPr>
          <w:p>
            <w:pPr>
              <w:spacing w:after="20"/>
            </w:pPr>
            <w:r>
              <w:rPr>
                <w:b/>
                <w:sz w:val="17"/>
              </w:rPr>
              <w:t>MODERATE</w:t>
            </w:r>
          </w:p>
        </w:tc>
        <w:tc>
          <w:tcPr>
            <w:tcW w:type="dxa" w:w="2948"/>
          </w:tcPr>
          <w:p>
            <w:pPr>
              <w:spacing w:after="20"/>
            </w:pPr>
            <w:r>
              <w:rPr>
                <w:b w:val="0"/>
                <w:sz w:val="17"/>
              </w:rPr>
              <w:t>SAB not formed — no scientific credentialing</w:t>
            </w:r>
          </w:p>
        </w:tc>
        <w:tc>
          <w:tcPr>
            <w:tcW w:type="dxa" w:w="5216"/>
          </w:tcPr>
          <w:p>
            <w:pPr>
              <w:spacing w:after="20"/>
            </w:pPr>
            <w:r>
              <w:rPr>
                <w:b w:val="0"/>
                <w:sz w:val="17"/>
              </w:rPr>
              <w:t>Tsai outreach first (SAB role only — a Cognito Therapeutics conflict prevents a PI role). Jeffery and Naeser are natural SAB candidates. Budget $50,000–80,000/yr for a 5-person SAB. OI-LED-W1 needs SAB sign-off, so SAB formation is now on the critical path for a component decision, not only for credentialing.</w:t>
            </w:r>
          </w:p>
        </w:tc>
      </w:tr>
      <w:tr>
        <w:tc>
          <w:tcPr>
            <w:tcW w:type="dxa" w:w="1361"/>
          </w:tcPr>
          <w:p>
            <w:pPr>
              <w:spacing w:after="20"/>
            </w:pPr>
            <w:r>
              <w:rPr>
                <w:b/>
                <w:sz w:val="17"/>
              </w:rPr>
              <w:t>MODERATE</w:t>
            </w:r>
          </w:p>
        </w:tc>
        <w:tc>
          <w:tcPr>
            <w:tcW w:type="dxa" w:w="2948"/>
          </w:tcPr>
          <w:p>
            <w:pPr>
              <w:spacing w:after="20"/>
            </w:pPr>
            <w:r>
              <w:rPr>
                <w:b w:val="0"/>
                <w:sz w:val="17"/>
              </w:rPr>
              <w:t>QMS — Quality Lead (VP Quality) not yet hired</w:t>
            </w:r>
          </w:p>
        </w:tc>
        <w:tc>
          <w:tcPr>
            <w:tcW w:type="dxa" w:w="5216"/>
          </w:tcPr>
          <w:p>
            <w:pPr>
              <w:spacing w:after="20"/>
            </w:pPr>
            <w:r>
              <w:rPr>
                <w:b w:val="0"/>
                <w:sz w:val="17"/>
              </w:rPr>
              <w:t>Month 6 target; interim authority is the CEO. eQMS platform selection targeted Month 9 (must be 21 CFR Part 11 compliant with DHF and IEC 62304 modules).</w:t>
            </w:r>
          </w:p>
        </w:tc>
      </w:tr>
      <w:tr>
        <w:tc>
          <w:tcPr>
            <w:tcW w:type="dxa" w:w="1361"/>
          </w:tcPr>
          <w:p>
            <w:pPr>
              <w:spacing w:after="20"/>
            </w:pPr>
            <w:r>
              <w:rPr>
                <w:b/>
                <w:sz w:val="17"/>
              </w:rPr>
              <w:t>MODERATE</w:t>
            </w:r>
          </w:p>
        </w:tc>
        <w:tc>
          <w:tcPr>
            <w:tcW w:type="dxa" w:w="2948"/>
          </w:tcPr>
          <w:p>
            <w:pPr>
              <w:spacing w:after="20"/>
            </w:pPr>
            <w:r>
              <w:rPr>
                <w:b w:val="0"/>
                <w:sz w:val="17"/>
              </w:rPr>
              <w:t>SW-01 safety-MCU unit-level FMEA still outstanding</w:t>
            </w:r>
          </w:p>
        </w:tc>
        <w:tc>
          <w:tcPr>
            <w:tcW w:type="dxa" w:w="5216"/>
          </w:tcPr>
          <w:p>
            <w:pPr>
              <w:spacing w:after="20"/>
            </w:pPr>
            <w:r>
              <w:rPr>
                <w:b w:val="0"/>
                <w:sz w:val="17"/>
              </w:rPr>
              <w:t>Required per NP-SW-001 §11 (IEC 62304 §7.1 for Class C). NP-FMEA-001 exists at system level and carries SW01 module deltas, but the dedicated unit-level FMEA for SW01-M01..M08 is not complete.</w:t>
            </w:r>
          </w:p>
        </w:tc>
      </w:tr>
      <w:tr>
        <w:tc>
          <w:tcPr>
            <w:tcW w:type="dxa" w:w="1361"/>
          </w:tcPr>
          <w:p>
            <w:pPr>
              <w:spacing w:after="20"/>
            </w:pPr>
            <w:r>
              <w:rPr>
                <w:b/>
                <w:sz w:val="17"/>
              </w:rPr>
              <w:t>MODERATE</w:t>
            </w:r>
          </w:p>
        </w:tc>
        <w:tc>
          <w:tcPr>
            <w:tcW w:type="dxa" w:w="2948"/>
          </w:tcPr>
          <w:p>
            <w:pPr>
              <w:spacing w:after="20"/>
            </w:pPr>
            <w:r>
              <w:rPr>
                <w:b w:val="0"/>
                <w:sz w:val="17"/>
              </w:rPr>
              <w:t>tFUS / LIFU — modality watch (elevated MEDIUM 2026-05-13)</w:t>
            </w:r>
          </w:p>
        </w:tc>
        <w:tc>
          <w:tcPr>
            <w:tcW w:type="dxa" w:w="5216"/>
          </w:tcPr>
          <w:p>
            <w:pPr>
              <w:spacing w:after="20"/>
            </w:pPr>
            <w:r>
              <w:rPr>
                <w:b w:val="0"/>
                <w:sz w:val="17"/>
              </w:rPr>
              <w:t>Science basis confirmed (PIEZO1 mechanism, PNAS 2023; n &gt; 400 human subjects with no serious AEs at MI &lt; 1.9; MiniUlTra bioadhesive hydrogel coupling, Nature Communications 2025). Cannot enter T1 — no wellness regulatory pathway for brain-targeted therapeutic ultrasound. A T2 add-on needs a 510(k) predicate that does not yet exist. Re-evaluation trigger: SPIRE DIADEM FDA clearance (submission 2026, decision 2027–2028). Do NOT include in T1 product claims, BOM or marketing.</w:t>
            </w:r>
          </w:p>
        </w:tc>
      </w:tr>
    </w:tbl>
    <w:p>
      <w:pPr>
        <w:spacing w:after="40"/>
      </w:pPr>
    </w:p>
    <w:p>
      <w:pPr>
        <w:pStyle w:val="Heading1"/>
        <w:spacing w:before="240" w:after="80"/>
      </w:pPr>
      <w:r>
        <w:t>9. Open Items</w:t>
      </w:r>
    </w:p>
    <w:p>
      <w:pPr>
        <w:pStyle w:val="Heading2"/>
        <w:spacing w:before="160" w:after="80"/>
      </w:pPr>
      <w:r>
        <w:t>9.1 Architecture gates that block downstream work</w:t>
      </w:r>
    </w:p>
    <w:tbl>
      <w:tblPr>
        <w:tblStyle w:val="TableGrid"/>
        <w:tblW w:type="auto" w:w="0"/>
        <w:jc w:val="center"/>
        <w:tblLook w:firstColumn="1" w:firstRow="1" w:lastColumn="0" w:lastRow="0" w:noHBand="0" w:noVBand="1" w:val="04A0"/>
      </w:tblPr>
      <w:tblGrid>
        <w:gridCol w:w="3324"/>
        <w:gridCol w:w="3324"/>
        <w:gridCol w:w="3324"/>
      </w:tblGrid>
      <w:tr>
        <w:tc>
          <w:tcPr>
            <w:tcW w:type="dxa" w:w="1361"/>
            <w:shd w:val="clear" w:color="auto" w:fill="D9E2F3"/>
          </w:tcPr>
          <w:p>
            <w:pPr>
              <w:spacing w:after="20"/>
            </w:pPr>
            <w:r>
              <w:rPr>
                <w:b/>
                <w:sz w:val="17"/>
              </w:rPr>
              <w:t>Gate</w:t>
            </w:r>
          </w:p>
        </w:tc>
        <w:tc>
          <w:tcPr>
            <w:tcW w:type="dxa" w:w="3402"/>
            <w:shd w:val="clear" w:color="auto" w:fill="D9E2F3"/>
          </w:tcPr>
          <w:p>
            <w:pPr>
              <w:spacing w:after="20"/>
            </w:pPr>
            <w:r>
              <w:rPr>
                <w:b/>
                <w:sz w:val="17"/>
              </w:rPr>
              <w:t>What it decides</w:t>
            </w:r>
          </w:p>
        </w:tc>
        <w:tc>
          <w:tcPr>
            <w:tcW w:type="dxa" w:w="4762"/>
            <w:shd w:val="clear" w:color="auto" w:fill="D9E2F3"/>
          </w:tcPr>
          <w:p>
            <w:pPr>
              <w:spacing w:after="20"/>
            </w:pPr>
            <w:r>
              <w:rPr>
                <w:b/>
                <w:sz w:val="17"/>
              </w:rPr>
              <w:t>What it blocks</w:t>
            </w:r>
          </w:p>
        </w:tc>
      </w:tr>
      <w:tr>
        <w:tc>
          <w:tcPr>
            <w:tcW w:type="dxa" w:w="1361"/>
          </w:tcPr>
          <w:p>
            <w:pPr>
              <w:spacing w:after="20"/>
            </w:pPr>
            <w:r>
              <w:rPr>
                <w:b/>
                <w:sz w:val="17"/>
              </w:rPr>
              <w:t>REG-1</w:t>
            </w:r>
          </w:p>
        </w:tc>
        <w:tc>
          <w:tcPr>
            <w:tcW w:type="dxa" w:w="3402"/>
          </w:tcPr>
          <w:p>
            <w:pPr>
              <w:spacing w:after="20"/>
            </w:pPr>
            <w:r>
              <w:rPr>
                <w:b w:val="0"/>
                <w:sz w:val="17"/>
              </w:rPr>
              <w:t>Whether the socket lattice registers to the 10-20 system within tolerance (NP-HEX-ZM-001 §7).</w:t>
            </w:r>
          </w:p>
        </w:tc>
        <w:tc>
          <w:tcPr>
            <w:tcW w:type="dxa" w:w="4762"/>
          </w:tcPr>
          <w:p>
            <w:pPr>
              <w:spacing w:after="20"/>
            </w:pPr>
            <w:r>
              <w:rPr>
                <w:b w:val="0"/>
                <w:sz w:val="17"/>
              </w:rPr>
              <w:t>Authoring any Fp2/F4-precise zone; the clinical-03 evidence-grade claim; the "standard electrode site" tactile markers in NP-HFE-002 L1; final zone boundaries. It no longer blocks hub tooling — Rev C removed that dependency.</w:t>
            </w:r>
          </w:p>
        </w:tc>
      </w:tr>
      <w:tr>
        <w:tc>
          <w:tcPr>
            <w:tcW w:type="dxa" w:w="1361"/>
          </w:tcPr>
          <w:p>
            <w:pPr>
              <w:spacing w:after="20"/>
            </w:pPr>
            <w:r>
              <w:rPr>
                <w:b/>
                <w:sz w:val="17"/>
              </w:rPr>
              <w:t>ACT-1</w:t>
            </w:r>
          </w:p>
        </w:tc>
        <w:tc>
          <w:tcPr>
            <w:tcW w:type="dxa" w:w="3402"/>
          </w:tcPr>
          <w:p>
            <w:pPr>
              <w:spacing w:after="20"/>
            </w:pPr>
            <w:r>
              <w:rPr>
                <w:b w:val="0"/>
                <w:sz w:val="17"/>
              </w:rPr>
              <w:t>Cluster clamp actuation, jointly with the lattice provisionality.</w:t>
            </w:r>
          </w:p>
        </w:tc>
        <w:tc>
          <w:tcPr>
            <w:tcW w:type="dxa" w:w="4762"/>
          </w:tcPr>
          <w:p>
            <w:pPr>
              <w:spacing w:after="20"/>
            </w:pPr>
            <w:r>
              <w:rPr>
                <w:b w:val="0"/>
                <w:sz w:val="17"/>
              </w:rPr>
              <w:t>Treating the 80-socket lattice as final.</w:t>
            </w:r>
          </w:p>
        </w:tc>
      </w:tr>
      <w:tr>
        <w:tc>
          <w:tcPr>
            <w:tcW w:type="dxa" w:w="1361"/>
          </w:tcPr>
          <w:p>
            <w:pPr>
              <w:spacing w:after="20"/>
            </w:pPr>
            <w:r>
              <w:rPr>
                <w:b/>
                <w:sz w:val="17"/>
              </w:rPr>
              <w:t>MECH-1</w:t>
            </w:r>
          </w:p>
        </w:tc>
        <w:tc>
          <w:tcPr>
            <w:tcW w:type="dxa" w:w="3402"/>
          </w:tcPr>
          <w:p>
            <w:pPr>
              <w:spacing w:after="20"/>
            </w:pPr>
            <w:r>
              <w:rPr>
                <w:b w:val="0"/>
                <w:sz w:val="17"/>
              </w:rPr>
              <w:t>Blind-mate boss tooling.</w:t>
            </w:r>
          </w:p>
        </w:tc>
        <w:tc>
          <w:tcPr>
            <w:tcW w:type="dxa" w:w="4762"/>
          </w:tcPr>
          <w:p>
            <w:pPr>
              <w:spacing w:after="20"/>
            </w:pPr>
            <w:r>
              <w:rPr>
                <w:b w:val="0"/>
                <w:sz w:val="17"/>
              </w:rPr>
              <w:t>Time-boxes OI-SHELL2-02 (segregated returns in the boss) — cheap now, expensive once the boss is tooled.</w:t>
            </w:r>
          </w:p>
        </w:tc>
      </w:tr>
      <w:tr>
        <w:tc>
          <w:tcPr>
            <w:tcW w:type="dxa" w:w="1361"/>
          </w:tcPr>
          <w:p>
            <w:pPr>
              <w:spacing w:after="20"/>
            </w:pPr>
            <w:r>
              <w:rPr>
                <w:b/>
                <w:sz w:val="17"/>
              </w:rPr>
              <w:t>MECH-2</w:t>
            </w:r>
          </w:p>
        </w:tc>
        <w:tc>
          <w:tcPr>
            <w:tcW w:type="dxa" w:w="3402"/>
          </w:tcPr>
          <w:p>
            <w:pPr>
              <w:spacing w:after="20"/>
            </w:pPr>
            <w:r>
              <w:rPr>
                <w:b w:val="0"/>
                <w:sz w:val="17"/>
              </w:rPr>
              <w:t>Clamp mechanism sizing.</w:t>
            </w:r>
          </w:p>
        </w:tc>
        <w:tc>
          <w:tcPr>
            <w:tcW w:type="dxa" w:w="4762"/>
          </w:tcPr>
          <w:p>
            <w:pPr>
              <w:spacing w:after="20"/>
            </w:pPr>
            <w:r>
              <w:rPr>
                <w:b w:val="0"/>
                <w:sz w:val="17"/>
              </w:rPr>
              <w:t>Contact-count-versus-accessibility closure (OI-SHELL2-03).</w:t>
            </w:r>
          </w:p>
        </w:tc>
      </w:tr>
      <w:tr>
        <w:tc>
          <w:tcPr>
            <w:tcW w:type="dxa" w:w="1361"/>
          </w:tcPr>
          <w:p>
            <w:pPr>
              <w:spacing w:after="20"/>
            </w:pPr>
            <w:r>
              <w:rPr>
                <w:b/>
                <w:sz w:val="17"/>
              </w:rPr>
              <w:t>G1 layout package</w:t>
            </w:r>
          </w:p>
        </w:tc>
        <w:tc>
          <w:tcPr>
            <w:tcW w:type="dxa" w:w="3402"/>
          </w:tcPr>
          <w:p>
            <w:pPr>
              <w:spacing w:after="20"/>
            </w:pPr>
            <w:r>
              <w:rPr>
                <w:b w:val="0"/>
                <w:sz w:val="17"/>
              </w:rPr>
              <w:t>The STM32G071 pin map.</w:t>
            </w:r>
          </w:p>
        </w:tc>
        <w:tc>
          <w:tcPr>
            <w:tcW w:type="dxa" w:w="4762"/>
          </w:tcPr>
          <w:p>
            <w:pPr>
              <w:spacing w:after="20"/>
            </w:pPr>
            <w:r>
              <w:rPr>
                <w:b w:val="0"/>
                <w:sz w:val="17"/>
              </w:rPr>
              <w:t>OI-CVNS-08. RPEAK_IN on PB0 versus NP_EN_BES_PIN cannot be settled by reading either document.</w:t>
            </w:r>
          </w:p>
        </w:tc>
      </w:tr>
    </w:tbl>
    <w:p>
      <w:pPr>
        <w:spacing w:after="40"/>
      </w:pPr>
    </w:p>
    <w:p>
      <w:pPr>
        <w:pStyle w:val="Heading2"/>
        <w:spacing w:before="160" w:after="80"/>
      </w:pPr>
      <w:r>
        <w:t>9.2 OI-LED-W1 — NIR wavelength decision (OPEN, raised 2026-07-28)</w:t>
      </w:r>
    </w:p>
    <w:p>
      <w:pPr>
        <w:spacing w:after="100"/>
      </w:pPr>
      <w:r>
        <w:rPr>
          <w:b w:val="0"/>
          <w:i w:val="0"/>
          <w:sz w:val="19"/>
        </w:rPr>
        <w:t>No shortlisted high-power NIR LED (≥350 mA class, thermal-pad ceramic SMD) sits inside the 808–830 nm spec. The two electrically-workable candidates — Lumileds L1IZ-0850 (850 nm) and ams-OSRAM SFH 4718A (860 nm) — are 20 nm and 30 nm over the window. The one in-window candidate, ams-OSRAM SFH 4703AS (820 nm), has a Vf of about 3.0–3.6 V against the 1.6–2.2 V the existing 660 nm string and driver architecture assumes. Pulse-current rating is NOT the blocker — that was closed 2026-07-28 from manufacturer datasheets, with the 660 nm primary (ams-OSRAM GH CSSRM5.24) showing 7.8× margin at the 180 mA operating ceiling. The blocker is wavelength versus electrical compatibility.</w:t>
      </w:r>
    </w:p>
    <w:p>
      <w:pPr>
        <w:spacing w:after="100"/>
      </w:pPr>
      <w:r>
        <w:rPr>
          <w:b/>
          <w:i w:val="0"/>
          <w:sz w:val="19"/>
        </w:rPr>
        <w:t>This is bigger than component sourcing, because 810 nm is already load-bearing:</w:t>
      </w:r>
    </w:p>
    <w:p>
      <w:pPr>
        <w:pStyle w:val="ListBullet"/>
        <w:spacing w:after="40"/>
      </w:pPr>
      <w:r>
        <w:rPr>
          <w:sz w:val="19"/>
        </w:rPr>
        <w:t>CLAUDE.md §3 states 808–830 nm in eight separate places.</w:t>
      </w:r>
    </w:p>
    <w:p>
      <w:pPr>
        <w:pStyle w:val="ListBullet"/>
        <w:spacing w:after="40"/>
      </w:pPr>
      <w:r>
        <w:rPr>
          <w:sz w:val="19"/>
        </w:rPr>
        <w:t>The competitive position document states the marketed wavelength as 810 nm, not a range, and one headline claim asserts that 810 nm IS a CCO absorption peak in direct comparison to Vielight. Shipping 850–860 nm would not widen a spec; it would falsify a stated comparative claim.</w:t>
      </w:r>
    </w:p>
    <w:p>
      <w:pPr>
        <w:pStyle w:val="ListBullet"/>
        <w:spacing w:after="40"/>
      </w:pPr>
      <w:r>
        <w:rPr>
          <w:sz w:val="19"/>
        </w:rPr>
        <w:t>The NIR clinical evidence in the bibliography is almost entirely Vielight Neuro Gamma studies run at 810 nm specifically. Moving to 850–860 nm weakens the "we replicate the clinically-tested protocol" argument that underwrites those citations.</w:t>
      </w:r>
    </w:p>
    <w:p>
      <w:pPr>
        <w:pStyle w:val="ListBullet"/>
        <w:spacing w:after="40"/>
      </w:pPr>
      <w:r>
        <w:rPr>
          <w:sz w:val="19"/>
        </w:rPr>
        <w:t>Option A (extend to 850/860 nm) does not even solve the electrical problem it is trying to avoid: L1IZ-0850 has the same elevated Vf (2.7–3.7 V, from DS190 Table 2), so it trades clinical and marketing fidelity without buying back string/driver compatibility.</w:t>
      </w:r>
    </w:p>
    <w:p>
      <w:pPr>
        <w:pStyle w:val="ListBullet"/>
        <w:spacing w:after="40"/>
      </w:pPr>
      <w:r>
        <w:rPr>
          <w:sz w:val="19"/>
        </w:rPr>
        <w:t>Option B (stay in-window with SFH 4703AS at 820 nm) preserves every claim but requires a separate higher-voltage driver rail, a string topology change and a hub revision — real NRE and schedule cost. Its own pulse-current rating at 120–180 mA / ≤25% duty was not independently verified, so that is residual work if Option B is chosen.</w:t>
      </w:r>
    </w:p>
    <w:p>
      <w:pPr>
        <w:pStyle w:val="ListBullet"/>
        <w:spacing w:after="40"/>
      </w:pPr>
      <w:r>
        <w:rPr>
          <w:sz w:val="19"/>
        </w:rPr>
        <w:t>Option C (keep searching) is low-probability on two research passes — true 800–830 nm AlGaAs LEDs at ≥350 mA in a thermal-pad ceramic package appear to be a genuinely under-served segment, with in-band vendors topping out at 60–100 mA while the high-power ceramic NIR market has concentrated at 850/940 nm for biometrics and ToF volume. Runs in parallel as a contingency via OI-LED-07.</w:t>
      </w:r>
    </w:p>
    <w:p>
      <w:pPr>
        <w:spacing w:after="100"/>
      </w:pPr>
      <w:r>
        <w:rPr>
          <w:b/>
          <w:i w:val="0"/>
          <w:sz w:val="19"/>
        </w:rPr>
        <w:t>Not decided here. Decision owners: SAB for the science call, Regulatory Counsel for the RISK-03 scope question, EE Lead for the driver-rework cost. The standing precedent from the clinical-03 decision applies — withhold the matching-evidence claim rather than quietly redefine parameters to fit available hardware.</w:t>
      </w:r>
    </w:p>
    <w:p>
      <w:pPr>
        <w:pStyle w:val="Heading2"/>
        <w:spacing w:before="160" w:after="80"/>
      </w:pPr>
      <w:r>
        <w:t>9.3 Dose fidelity and optical resolution</w:t>
      </w:r>
    </w:p>
    <w:p>
      <w:pPr>
        <w:spacing w:after="100"/>
      </w:pPr>
      <w:r>
        <w:rPr>
          <w:b w:val="0"/>
          <w:i w:val="0"/>
          <w:sz w:val="19"/>
        </w:rPr>
        <w:t>NP-OPT-PSF-001 Rev 1 establishes what boundary the hardware can actually produce. The 1064 nm edge-spread function is about 26 mm (10–90%) at cortical depth. Two decisions follow, both already taken:</w:t>
      </w:r>
    </w:p>
    <w:p>
      <w:pPr>
        <w:pStyle w:val="ListBullet"/>
        <w:spacing w:after="40"/>
      </w:pPr>
      <w:r>
        <w:rPr>
          <w:sz w:val="19"/>
        </w:rPr>
        <w:t>clinical-03 lateralization (2026-07-20): the protocol was retargeted from an 11-socket "Frontal Right" zone that put 16.3% of its cortical energy contralateral, to an 8-socket "Frontal Right (excl. midline)" zone at 3.6% — a 78% reduction, at a cost of one zone definition and zero firmware. The audit that found it is now a build check in scripts/sync-socket-map.ts: any protocol naming a bare single-hemisphere zone fails the run until it is narrowed or explicitly accepted with a reason.</w:t>
      </w:r>
    </w:p>
    <w:p>
      <w:pPr>
        <w:pStyle w:val="ListBullet"/>
        <w:spacing w:after="40"/>
      </w:pPr>
      <w:r>
        <w:rPr>
          <w:sz w:val="19"/>
        </w:rPr>
        <w:t>Partial-module inclusion is dominated and must not be revisited as a lateralization tool. Lighting only the ipsilateral half of a midline module still spills 22.1% contralateral versus 50% lit whole — it removes about 56% of the leak, while simply omitting the module takes it to zero. The honest form of the argument is that the optics does not prove masking useless, it proves masking cannot reach zero; since zone narrowing reaches zero for free, that is enough to close the question.</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clinical-03 evidence-grade claim — GATED. </w:t>
            </w:r>
            <w:r>
              <w:rPr>
                <w:sz w:val="19"/>
              </w:rPr>
              <w:t>The evidence "site" in the Gonzalez-Lima / Barrett lineage is a single ~13.6 cm² aperture, and one 40 mm hex module is 13.86 cm² — the same size to within 2%. clinical-03 as now shipped covers 8 modules, or 111 cm², which is 8.2× the evidence footprint. Narrowing the zone fixed lateralization; it did not fix this. Separately, the 1064 nm channel is firmware-capped at 25% duty (np_pbm1064_drive_set_duty(), and the npps schema itself only accepts duty_cycle 1–25), giving about 0.10 W/cm² average against the literature's 0.25 W/cm² CW — 2.5× below — and capped at 36 J/cm² per session against the literature's 60 J/cm² per site. Offered the choice between relabeling honestly and raising the firmware ceilings, the owner chose relabeling; raising safety ceilings would require its own safety and regulatory review. Decision (2026-07-27, option iii): WITHHOLD the evidence-grade / "Grade A" / gold-standard characterization from clinical-03 until REG-1 lands and the zone is re-authored to the true 1–2 module Fp2/F4 footprint. REG-1 landing alone does NOT lift the gate — the duty and dose shortfall is independent of zone geometry and must be separately re-evaluated, or explicitly accepted as a permanent disclosed limitation, before any gold-standard claim is reinstated.</w:t>
            </w:r>
          </w:p>
        </w:tc>
      </w:tr>
    </w:tbl>
    <w:p>
      <w:pPr>
        <w:spacing w:after="40"/>
      </w:pPr>
    </w:p>
    <w:p>
      <w:pPr>
        <w:pStyle w:val="Heading2"/>
        <w:spacing w:before="160" w:after="80"/>
      </w:pPr>
      <w:r>
        <w:t>9.4 Privacy and regulatory program items</w:t>
      </w:r>
    </w:p>
    <w:p>
      <w:pPr>
        <w:pStyle w:val="ListBullet"/>
        <w:spacing w:after="40"/>
      </w:pPr>
      <w:r>
        <w:rPr>
          <w:sz w:val="19"/>
        </w:rPr>
        <w:t>EU-US Data Privacy Framework self-certification — before any EU resident's personal data is transmitted to US infrastructure. Month 3 target.</w:t>
      </w:r>
    </w:p>
    <w:p>
      <w:pPr>
        <w:pStyle w:val="ListBullet"/>
        <w:spacing w:after="40"/>
      </w:pPr>
      <w:r>
        <w:rPr>
          <w:sz w:val="19"/>
        </w:rPr>
        <w:t>Clinician BAA template (NP-LEGAL-BAA-001), including the consent-revocation deletion cascade clause with a 30-day deletion obligation — before any clinician subscription is sold.</w:t>
      </w:r>
    </w:p>
    <w:p>
      <w:pPr>
        <w:pStyle w:val="ListBullet"/>
        <w:spacing w:after="40"/>
      </w:pPr>
      <w:r>
        <w:rPr>
          <w:sz w:val="19"/>
        </w:rPr>
        <w:t>Research anonymization upgrade (NP-FW-ANON-001): l-diversity l ≥ 3 plus differential privacy ε ≤ 1.0, with external DP reviewer sign-off — before the first study descriptor is deployed.</w:t>
      </w:r>
    </w:p>
    <w:p>
      <w:pPr>
        <w:pStyle w:val="ListBullet"/>
        <w:spacing w:after="40"/>
      </w:pPr>
      <w:r>
        <w:rPr>
          <w:sz w:val="19"/>
        </w:rPr>
        <w:t>HIPAA Expert Determination certifier engagement (STEP-31) and a signed NP-ANON-CERT-[study_id] per study (STEP-32) — a BLOCKING gate enforced in the deployment pipeline before any study descriptor is cryptographically signed.</w:t>
      </w:r>
    </w:p>
    <w:p>
      <w:pPr>
        <w:pStyle w:val="ListBullet"/>
        <w:spacing w:after="40"/>
      </w:pPr>
      <w:r>
        <w:rPr>
          <w:sz w:val="19"/>
        </w:rPr>
        <w:t>IRB protocol (NP-IRB-001, template authored 2026-07-27, DRAFT) — before the first study descriptor reaches any device. Month 9 target.</w:t>
      </w:r>
    </w:p>
    <w:p>
      <w:pPr>
        <w:pStyle w:val="ListBullet"/>
        <w:spacing w:after="40"/>
      </w:pPr>
      <w:r>
        <w:rPr>
          <w:sz w:val="19"/>
        </w:rPr>
        <w:t>App Store privacy nutrition label and Google Play Data Safety — before first TestFlight or Play internal test.</w:t>
      </w:r>
    </w:p>
    <w:p>
      <w:pPr>
        <w:pStyle w:val="ListBullet"/>
        <w:spacing w:after="40"/>
      </w:pPr>
      <w:r>
        <w:rPr>
          <w:sz w:val="19"/>
        </w:rPr>
        <w:t>EU data residency for the T2 clinical cloud — Month 9, when the vendor is selected.</w:t>
      </w:r>
    </w:p>
    <w:p>
      <w:pPr>
        <w:pStyle w:val="ListBullet"/>
        <w:spacing w:after="40"/>
      </w:pPr>
      <w:r>
        <w:rPr>
          <w:sz w:val="19"/>
        </w:rPr>
        <w:t>T2 scripting API independent security audit (NP-SEC-PENTEST-002) — before any clinical API key is issued.</w:t>
      </w:r>
    </w:p>
    <w:p>
      <w:pPr>
        <w:pStyle w:val="ListBullet"/>
        <w:spacing w:after="40"/>
      </w:pPr>
      <w:r>
        <w:rPr>
          <w:sz w:val="19"/>
        </w:rPr>
        <w:t>NP-SEC-BR-001 annual tabletop exercise — before T1 launch and annually thereafter.</w:t>
      </w:r>
    </w:p>
    <w:p>
      <w:pPr>
        <w:pStyle w:val="ListBullet"/>
        <w:spacing w:after="40"/>
      </w:pPr>
      <w:r>
        <w:rPr>
          <w:sz w:val="19"/>
        </w:rPr>
        <w:t>SBOM (NP-SBOM-001) — Year 2; required for the 510(k) cybersecurity submission.</w:t>
      </w:r>
    </w:p>
    <w:p>
      <w:pPr>
        <w:pStyle w:val="ListBullet"/>
        <w:spacing w:after="40"/>
      </w:pPr>
      <w:r>
        <w:rPr>
          <w:sz w:val="19"/>
        </w:rPr>
        <w:t>OI-PA-04: plain-language copy for the Adaptive Adjustments card requires Privacy Lead sign-off before it ships.</w:t>
      </w:r>
    </w:p>
    <w:p>
      <w:pPr>
        <w:pStyle w:val="ListBullet"/>
        <w:spacing w:after="40"/>
      </w:pPr>
      <w:r>
        <w:rPr>
          <w:sz w:val="19"/>
        </w:rPr>
        <w:t>OI-BLE-01: SHDRUploader upgrade to the hub-provisioned TRNG warranty token is implemented app-side on iOS and Android; the residual is external hub firmware (OI-WA-03).</w:t>
      </w:r>
    </w:p>
    <w:p>
      <w:pPr>
        <w:spacing w:after="100"/>
      </w:pPr>
      <w:r>
        <w:rPr>
          <w:b w:val="0"/>
          <w:i w:val="0"/>
          <w:sz w:val="19"/>
        </w:rPr>
        <w:t>Geo-gated protections were universalized on 2026-07-10 under the durable principle that any jurisdiction's user protection applies to all users everywhere and is never geo-gated. The BIPA biometric written release and the Washington MHMD no-sale of SHDR behavioural data now ship to all users; regulation citations are retained as the WHY, but the controls apply globally, and the outstanding legal opinions confirm scope rather than gate shipping. Deliberately left jurisdictional: transfer MECHANISMS (EU-US DPF self-certification, EU data residency), which are inherently tied to EU data — not user protections.</w:t>
      </w:r>
    </w:p>
    <w:p>
      <w:pPr>
        <w:pStyle w:val="Heading1"/>
        <w:spacing w:before="240" w:after="80"/>
      </w:pPr>
      <w:r>
        <w:t>10. Competitive Position</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CLAIMS GATE. </w:t>
            </w:r>
            <w:r>
              <w:rPr>
                <w:sz w:val="19"/>
              </w:rPr>
              <w:t>Every claim below carries its gate. Claims marked GATED must not appear in any public-facing material, investor deck, marketing copy or FTC-substantiable statement until the named gate closes. Two former headline claims are further affected by OI-LED-W1: any claim asserting 810 nm as the marketed NIR wavelength, or as a CCO absorption peak in comparison to Vielight, is contingent on Option B being selected.</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4762"/>
            <w:shd w:val="clear" w:color="auto" w:fill="D9E2F3"/>
          </w:tcPr>
          <w:p>
            <w:pPr>
              <w:spacing w:after="20"/>
            </w:pPr>
            <w:r>
              <w:rPr>
                <w:b/>
                <w:sz w:val="17"/>
              </w:rPr>
              <w:t>Claim</w:t>
            </w:r>
          </w:p>
        </w:tc>
        <w:tc>
          <w:tcPr>
            <w:tcW w:type="dxa" w:w="4762"/>
            <w:shd w:val="clear" w:color="auto" w:fill="D9E2F3"/>
          </w:tcPr>
          <w:p>
            <w:pPr>
              <w:spacing w:after="20"/>
            </w:pPr>
            <w:r>
              <w:rPr>
                <w:b/>
                <w:sz w:val="17"/>
              </w:rPr>
              <w:t>Gate</w:t>
            </w:r>
          </w:p>
        </w:tc>
      </w:tr>
      <w:tr>
        <w:tc>
          <w:tcPr>
            <w:tcW w:type="dxa" w:w="4762"/>
          </w:tcPr>
          <w:p>
            <w:pPr>
              <w:spacing w:after="20"/>
            </w:pPr>
            <w:r>
              <w:rPr>
                <w:b/>
                <w:sz w:val="17"/>
              </w:rPr>
              <w:t>Real-time J/cm² dose metering — the only device that shows the exact dose delivered (dual-PD, per-module, firmware-computed)</w:t>
            </w:r>
          </w:p>
        </w:tc>
        <w:tc>
          <w:tcPr>
            <w:tcW w:type="dxa" w:w="4762"/>
          </w:tcPr>
          <w:p>
            <w:pPr>
              <w:spacing w:after="20"/>
            </w:pPr>
            <w:r>
              <w:rPr>
                <w:b w:val="0"/>
                <w:sz w:val="17"/>
              </w:rPr>
              <w:t>UNGATED. Ratio accuracy improves under Hub Rev C because both photodiodes share one signal chain.</w:t>
            </w:r>
          </w:p>
        </w:tc>
      </w:tr>
      <w:tr>
        <w:tc>
          <w:tcPr>
            <w:tcW w:type="dxa" w:w="4762"/>
          </w:tcPr>
          <w:p>
            <w:pPr>
              <w:spacing w:after="20"/>
            </w:pPr>
            <w:r>
              <w:rPr>
                <w:b/>
                <w:sz w:val="17"/>
              </w:rPr>
              <w:t>The only consumer brain device with palladium-fabric EMF shielding verified by continuous fleet monitoring</w:t>
            </w:r>
          </w:p>
        </w:tc>
        <w:tc>
          <w:tcPr>
            <w:tcW w:type="dxa" w:w="4762"/>
          </w:tcPr>
          <w:p>
            <w:pPr>
              <w:spacing w:after="20"/>
            </w:pPr>
            <w:r>
              <w:rPr>
                <w:b w:val="0"/>
                <w:sz w:val="17"/>
              </w:rPr>
              <w:t>UNGATED.</w:t>
            </w:r>
          </w:p>
        </w:tc>
      </w:tr>
      <w:tr>
        <w:tc>
          <w:tcPr>
            <w:tcW w:type="dxa" w:w="4762"/>
          </w:tcPr>
          <w:p>
            <w:pPr>
              <w:spacing w:after="20"/>
            </w:pPr>
            <w:r>
              <w:rPr>
                <w:b/>
                <w:sz w:val="17"/>
              </w:rPr>
              <w:t>Autonomous closed-loop operation from any USB-C power bank — no phone required (Mode 3)</w:t>
            </w:r>
          </w:p>
        </w:tc>
        <w:tc>
          <w:tcPr>
            <w:tcW w:type="dxa" w:w="4762"/>
          </w:tcPr>
          <w:p>
            <w:pPr>
              <w:spacing w:after="20"/>
            </w:pPr>
            <w:r>
              <w:rPr>
                <w:b w:val="0"/>
                <w:sz w:val="17"/>
              </w:rPr>
              <w:t>UNGATED.</w:t>
            </w:r>
          </w:p>
        </w:tc>
      </w:tr>
      <w:tr>
        <w:tc>
          <w:tcPr>
            <w:tcW w:type="dxa" w:w="4762"/>
          </w:tcPr>
          <w:p>
            <w:pPr>
              <w:spacing w:after="20"/>
            </w:pPr>
            <w:r>
              <w:rPr>
                <w:b/>
                <w:sz w:val="17"/>
              </w:rPr>
              <w:t>One universal module SKU — any module type in any socket, with software placement validation</w:t>
            </w:r>
          </w:p>
        </w:tc>
        <w:tc>
          <w:tcPr>
            <w:tcW w:type="dxa" w:w="4762"/>
          </w:tcPr>
          <w:p>
            <w:pPr>
              <w:spacing w:after="20"/>
            </w:pPr>
            <w:r>
              <w:rPr>
                <w:b w:val="0"/>
                <w:sz w:val="17"/>
              </w:rPr>
              <w:t>UNGATED as an architecture claim. Socket count is PROVISIONAL (REG-1/ACT-1), so do not quote a specific socket or LED count.</w:t>
            </w:r>
          </w:p>
        </w:tc>
      </w:tr>
      <w:tr>
        <w:tc>
          <w:tcPr>
            <w:tcW w:type="dxa" w:w="4762"/>
          </w:tcPr>
          <w:p>
            <w:pPr>
              <w:spacing w:after="20"/>
            </w:pPr>
            <w:r>
              <w:rPr>
                <w:b/>
                <w:sz w:val="17"/>
              </w:rPr>
              <w:t>LED-count comparisons against Vielight and Neuronic</w:t>
            </w:r>
          </w:p>
        </w:tc>
        <w:tc>
          <w:tcPr>
            <w:tcW w:type="dxa" w:w="4762"/>
          </w:tcPr>
          <w:p>
            <w:pPr>
              <w:spacing w:after="20"/>
            </w:pPr>
            <w:r>
              <w:rPr>
                <w:b w:val="0"/>
                <w:sz w:val="17"/>
              </w:rPr>
              <w:t>GATED. The 600-LED figure these claims were built on is retired. Total LED count now scales with how many T1-A tiles a build populates, so any count claim must be re-derived per configuration before use.</w:t>
            </w:r>
          </w:p>
        </w:tc>
      </w:tr>
      <w:tr>
        <w:tc>
          <w:tcPr>
            <w:tcW w:type="dxa" w:w="4762"/>
          </w:tcPr>
          <w:p>
            <w:pPr>
              <w:spacing w:after="20"/>
            </w:pPr>
            <w:r>
              <w:rPr>
                <w:b/>
                <w:sz w:val="17"/>
              </w:rPr>
              <w:t>400 mW/cm² peak pulsed irradiance; 600 mW/cm² aggregate three-channel ceiling</w:t>
            </w:r>
          </w:p>
        </w:tc>
        <w:tc>
          <w:tcPr>
            <w:tcW w:type="dxa" w:w="4762"/>
          </w:tcPr>
          <w:p>
            <w:pPr>
              <w:spacing w:after="20"/>
            </w:pPr>
            <w:r>
              <w:rPr>
                <w:b w:val="0"/>
                <w:sz w:val="17"/>
              </w:rPr>
              <w:t>GATED on RISK-03. Cannot appear in ANY public material until the opinion letter is received.</w:t>
            </w:r>
          </w:p>
        </w:tc>
      </w:tr>
      <w:tr>
        <w:tc>
          <w:tcPr>
            <w:tcW w:type="dxa" w:w="4762"/>
          </w:tcPr>
          <w:p>
            <w:pPr>
              <w:spacing w:after="20"/>
            </w:pPr>
            <w:r>
              <w:rPr>
                <w:b/>
                <w:sz w:val="17"/>
              </w:rPr>
              <w:t>Three independent penetration depths — 660 nm surface / 1064 nm cortical / 1170 nm deep</w:t>
            </w:r>
          </w:p>
        </w:tc>
        <w:tc>
          <w:tcPr>
            <w:tcW w:type="dxa" w:w="4762"/>
          </w:tcPr>
          <w:p>
            <w:pPr>
              <w:spacing w:after="20"/>
            </w:pPr>
            <w:r>
              <w:rPr>
                <w:b w:val="0"/>
                <w:sz w:val="17"/>
              </w:rPr>
              <w:t>GATED on RISK-03 (depth-tier penetration claim is explicitly in the counsel scope).</w:t>
            </w:r>
          </w:p>
        </w:tc>
      </w:tr>
      <w:tr>
        <w:tc>
          <w:tcPr>
            <w:tcW w:type="dxa" w:w="4762"/>
          </w:tcPr>
          <w:p>
            <w:pPr>
              <w:spacing w:after="20"/>
            </w:pPr>
            <w:r>
              <w:rPr>
                <w:b/>
                <w:sz w:val="17"/>
              </w:rPr>
              <w:t>Working memory protocol backed by Yao et al., Science Advances 2022 (right PFC, 1064 nm, n = 20)</w:t>
            </w:r>
          </w:p>
        </w:tc>
        <w:tc>
          <w:tcPr>
            <w:tcW w:type="dxa" w:w="4762"/>
          </w:tcPr>
          <w:p>
            <w:pPr>
              <w:spacing w:after="20"/>
            </w:pPr>
            <w:r>
              <w:rPr>
                <w:b w:val="0"/>
                <w:sz w:val="17"/>
              </w:rPr>
              <w:t>GATED on RISK-03 AND on the clinical-03 decision — the evidence-grade / "Grade A" characterization is withheld until REG-1 lands AND the duty/dose shortfall is separately resolved or explicitly accepted as a disclosed limitation.</w:t>
            </w:r>
          </w:p>
        </w:tc>
      </w:tr>
    </w:tbl>
    <w:p>
      <w:pPr>
        <w:spacing w:after="40"/>
      </w:pPr>
    </w:p>
    <w:p>
      <w:pPr>
        <w:spacing w:after="100"/>
      </w:pPr>
      <w:r>
        <w:rPr>
          <w:b/>
          <w:i w:val="0"/>
          <w:sz w:val="19"/>
        </w:rPr>
        <w:t>Critical gap, unchanged: no clinical trial evidence exists anywhere for the combined multi-modal protocol (PBM + BES + VNS + audio + visual simultaneously). This is simultaneously the highest-value research opportunity and the primary FTC substantiation risk for any system-level marketing claim.</w:t>
      </w:r>
    </w:p>
    <w:p>
      <w:pPr>
        <w:pStyle w:val="Heading1"/>
        <w:spacing w:before="240" w:after="80"/>
      </w:pPr>
      <w:r>
        <w:t>11. Regulatory Strategy</w:t>
      </w:r>
    </w:p>
    <w:p>
      <w:pPr>
        <w:spacing w:after="100"/>
      </w:pPr>
      <w:r>
        <w:rPr>
          <w:b/>
          <w:i w:val="0"/>
          <w:sz w:val="19"/>
        </w:rPr>
        <w:t>T1 — FDA-exempt wellness pathway:</w:t>
      </w:r>
    </w:p>
    <w:p>
      <w:pPr>
        <w:pStyle w:val="ListBullet"/>
        <w:spacing w:after="40"/>
      </w:pPr>
      <w:r>
        <w:rPr>
          <w:sz w:val="19"/>
        </w:rPr>
        <w:t>General wellness device, the same category as Muse, sens.ai and Apollo Neuro.</w:t>
      </w:r>
    </w:p>
    <w:p>
      <w:pPr>
        <w:pStyle w:val="ListBullet"/>
        <w:spacing w:after="40"/>
      </w:pPr>
      <w:r>
        <w:rPr>
          <w:sz w:val="19"/>
        </w:rPr>
        <w:t>Consumer naming: "Brainwave Entrainment Stimulation" (not tACS) and "Cortical Priming Stimulation" (not tDCS) — deliberate, to avoid triggering FDA medical device classification.</w:t>
      </w:r>
    </w:p>
    <w:p>
      <w:pPr>
        <w:pStyle w:val="ListBullet"/>
        <w:spacing w:after="40"/>
      </w:pPr>
      <w:r>
        <w:rPr>
          <w:sz w:val="19"/>
        </w:rPr>
        <w:t>Required standards: IEC 60601-1, IEC 60601-2-10, IEC 62471, IEC 62133, FCC Part 15.</w:t>
      </w:r>
    </w:p>
    <w:p>
      <w:pPr>
        <w:pStyle w:val="ListBullet"/>
        <w:spacing w:after="40"/>
      </w:pPr>
      <w:r>
        <w:rPr>
          <w:sz w:val="19"/>
        </w:rPr>
        <w:t>Cybersecurity: SBOM (Year 2), vulnerability disclosure policy, documented OTA update approach.</w:t>
      </w:r>
    </w:p>
    <w:p>
      <w:pPr>
        <w:pStyle w:val="ListBullet"/>
        <w:spacing w:after="40"/>
      </w:pPr>
      <w:r>
        <w:rPr>
          <w:sz w:val="19"/>
        </w:rPr>
        <w:t>FTC claims substantiation: the 39-entry bibliography plus the 6-entry 1064 nm addendum maps each marketing claim to citations. RISK-03 blocks all public irradiance figures.</w:t>
      </w:r>
    </w:p>
    <w:p>
      <w:pPr>
        <w:spacing w:after="100"/>
      </w:pPr>
      <w:r>
        <w:rPr>
          <w:b/>
          <w:i w:val="0"/>
          <w:sz w:val="19"/>
        </w:rPr>
        <w:t>T2 — FDA 510(k):</w:t>
      </w:r>
    </w:p>
    <w:p>
      <w:pPr>
        <w:pStyle w:val="ListBullet"/>
        <w:spacing w:after="40"/>
      </w:pPr>
      <w:r>
        <w:rPr>
          <w:sz w:val="19"/>
        </w:rPr>
        <w:t>Modular predicate strategy: TMS (NeuroStar K083538, BrainsWay K122288) + tACS (Soterix K142485, Neuroelectrics K173185) + taVNS (electroCore K163334, K173323).</w:t>
      </w:r>
    </w:p>
    <w:p>
      <w:pPr>
        <w:pStyle w:val="ListBullet"/>
        <w:spacing w:after="40"/>
      </w:pPr>
      <w:r>
        <w:rPr>
          <w:sz w:val="19"/>
        </w:rPr>
        <w:t>Cervical VNS 510(k): predicate electroCore gammaCore K163334 + K173323. Substantial equivalence argued on same intended use plus same-or-safer technology (≤2 mA versus the predicate's ≤24 mA). Type B Q-Sub meeting targeted Month 20.</w:t>
      </w:r>
    </w:p>
    <w:p>
      <w:pPr>
        <w:pStyle w:val="ListBullet"/>
        <w:spacing w:after="40"/>
      </w:pPr>
      <w:r>
        <w:rPr>
          <w:sz w:val="19"/>
        </w:rPr>
        <w:t>Timeline 18–36 months from T1 launch; budget $2–5M.</w:t>
      </w:r>
    </w:p>
    <w:p>
      <w:pPr>
        <w:pStyle w:val="ListBullet"/>
        <w:spacing w:after="40"/>
      </w:pPr>
      <w:r>
        <w:rPr>
          <w:sz w:val="19"/>
        </w:rPr>
        <w:t>QMS established 2026-05-13 under 21 CFR Part 820 / ISO 13485:2016; DHF index NP-DHF-001 Rev 28.</w:t>
      </w:r>
    </w:p>
    <w:p>
      <w:pPr>
        <w:pStyle w:val="ListBullet"/>
        <w:spacing w:after="40"/>
      </w:pPr>
      <w:r>
        <w:rPr>
          <w:sz w:val="19"/>
        </w:rPr>
        <w:t>IEC 62304 classifications locked: safety MCU Class C · main processor Class B · app Class B · cluster controllers Class B.</w:t>
      </w:r>
    </w:p>
    <w:p>
      <w:pPr>
        <w:pStyle w:val="ListBullet"/>
        <w:spacing w:after="40"/>
      </w:pPr>
      <w:r>
        <w:rPr>
          <w:sz w:val="19"/>
        </w:rPr>
        <w:t>Human factors per FDA 2016 HFE guidance: NP-HFE-001 plus NP-HFE-002 requirements HFE-R-01..15 enter the formative and summative plans. No human-factors data exists yet, and the primary empirical risk — tactile counting on a concave dome rather than a flat page — must be tested on helmet-representative curvature or the result will be falsely reassuring.</w:t>
      </w:r>
    </w:p>
    <w:p>
      <w:pPr>
        <w:pStyle w:val="ListBullet"/>
        <w:spacing w:after="40"/>
      </w:pPr>
      <w:r>
        <w:rPr>
          <w:sz w:val="19"/>
        </w:rPr>
        <w:t>Clinical data for the TMS modality is required; seeding T2 units into research institutions in Years 2–3 generates it.</w:t>
      </w:r>
    </w:p>
    <w:tbl>
      <w:tblPr>
        <w:tblStyle w:val="TableGrid"/>
        <w:tblW w:type="auto" w:w="0"/>
        <w:jc w:val="center"/>
        <w:tblLook w:firstColumn="1" w:firstRow="1" w:lastColumn="0" w:lastRow="0" w:noHBand="0" w:noVBand="1" w:val="04A0"/>
      </w:tblPr>
      <w:tblGrid>
        <w:gridCol w:w="9972"/>
      </w:tblGrid>
      <w:tr>
        <w:tc>
          <w:tcPr>
            <w:tcW w:type="dxa" w:w="9972"/>
            <w:shd w:val="clear" w:color="auto" w:fill="FFF3CD"/>
          </w:tcPr>
          <w:p>
            <w:pPr>
              <w:spacing w:after="40"/>
            </w:pPr>
            <w:r>
              <w:rPr>
                <w:b/>
                <w:sz w:val="19"/>
              </w:rPr>
              <w:t xml:space="preserve">PROCESS NOTE. </w:t>
            </w:r>
            <w:r>
              <w:rPr>
                <w:sz w:val="19"/>
              </w:rPr>
              <w:t>Development-mode posture: there is no hardware, no bench data and no UHDR record in existence yet. Document-control corrections to BASELINED specifications are handled as document control, not as CAPA defect filings, and no QMS defect record is opened for them. docs/status/completed-decisions.md is APPEND-ONLY — a superseded entry is evidence of what was believed when it was written, and is never edited or deleted. Specification documents (docs/np_*.md) have the opposite rule: they ARE edited in place and carry their history in a Rev header.</w:t>
            </w:r>
          </w:p>
        </w:tc>
      </w:tr>
    </w:tbl>
    <w:p>
      <w:pPr>
        <w:spacing w:after="40"/>
      </w:pPr>
    </w:p>
    <w:p>
      <w:pPr>
        <w:pStyle w:val="Heading1"/>
        <w:spacing w:before="240" w:after="80"/>
      </w:pPr>
      <w:r>
        <w:t>12. Document Register — Design Brief Lineage</w:t>
      </w:r>
    </w:p>
    <w:p>
      <w:pPr>
        <w:spacing w:after="100"/>
      </w:pPr>
      <w:r>
        <w:rPr>
          <w:b w:val="0"/>
          <w:i/>
          <w:sz w:val="18"/>
        </w:rPr>
        <w:t>The authoritative registers are NP-DHF-001 Rev 28 (formal DHF index, 21 CFR §820.30(j)) and docs/status/document-register.md. Only the design-brief lineage is reproduced here; the register below is a pointer, not a duplicate index.</w:t>
      </w:r>
    </w:p>
    <w:p>
      <w:pPr>
        <w:spacing w:after="100"/>
      </w:pPr>
      <w:r>
        <w:rPr>
          <w:b w:val="0"/>
          <w:i/>
          <w:sz w:val="18"/>
        </w:rPr>
        <w:t>Numbering note — RESOLVED by NP-CONV-001 Rev 6 (2026-08-11), which Revision 5 predates. Revisions 1–5 of this brief were issued as five distinct SERIALS (NP-DB-001 … NP-DB-005) when each had inherited the previous one's decisions and should have taken a new REVISION of one serial. NP-CONV-001 §4 states the test — new serial when the architecture is replaced, new revision when decisions are inherited — and §4.0.4 resolves the legacy explicitly: the five NP-DB serials stay exactly as written, because they are referenced from the DHF and fall under the 21 CFR §820.180 retention duty, and the correction applies going forward rather than retroactively (OI-CONV-06, closed on that basis). This document is therefore NP-DB-005 Revision 6 — a new revision of the live serial, not NP-DB-006 — and it is written in place at docs/np_db_005.docx. There is no NP-DB-006 and none should be created for a future revision of this brief.</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val="clear" w:color="auto" w:fill="D9E2F3"/>
          </w:tcPr>
          <w:p>
            <w:pPr>
              <w:spacing w:after="20"/>
            </w:pPr>
            <w:r>
              <w:rPr>
                <w:b/>
                <w:sz w:val="17"/>
              </w:rPr>
              <w:t>Revision</w:t>
            </w:r>
          </w:p>
        </w:tc>
        <w:tc>
          <w:tcPr>
            <w:tcW w:type="dxa" w:w="3969"/>
            <w:shd w:val="clear" w:color="auto" w:fill="D9E2F3"/>
          </w:tcPr>
          <w:p>
            <w:pPr>
              <w:spacing w:after="20"/>
            </w:pPr>
            <w:r>
              <w:rPr>
                <w:b/>
                <w:sz w:val="17"/>
              </w:rPr>
              <w:t>File</w:t>
            </w:r>
          </w:p>
        </w:tc>
        <w:tc>
          <w:tcPr>
            <w:tcW w:type="dxa" w:w="2948"/>
            <w:shd w:val="clear" w:color="auto" w:fill="D9E2F3"/>
          </w:tcPr>
          <w:p>
            <w:pPr>
              <w:spacing w:after="20"/>
            </w:pPr>
            <w:r>
              <w:rPr>
                <w:b/>
                <w:sz w:val="17"/>
              </w:rPr>
              <w:t>Status</w:t>
            </w:r>
          </w:p>
        </w:tc>
      </w:tr>
      <w:tr>
        <w:tc>
          <w:tcPr>
            <w:tcW w:type="dxa" w:w="2608"/>
          </w:tcPr>
          <w:p>
            <w:pPr>
              <w:spacing w:after="20"/>
            </w:pPr>
            <w:r>
              <w:rPr>
                <w:b/>
                <w:sz w:val="17"/>
              </w:rPr>
              <w:t>NP-DB-001 Rev 1</w:t>
            </w:r>
          </w:p>
        </w:tc>
        <w:tc>
          <w:tcPr>
            <w:tcW w:type="dxa" w:w="3969"/>
          </w:tcPr>
          <w:p>
            <w:pPr>
              <w:spacing w:after="20"/>
            </w:pPr>
            <w:r>
              <w:rPr>
                <w:b w:val="0"/>
                <w:sz w:val="17"/>
              </w:rPr>
              <w:t>docs/superseded/np_db_001.docx</w:t>
            </w:r>
          </w:p>
        </w:tc>
        <w:tc>
          <w:tcPr>
            <w:tcW w:type="dxa" w:w="2948"/>
          </w:tcPr>
          <w:p>
            <w:pPr>
              <w:spacing w:after="20"/>
            </w:pPr>
            <w:r>
              <w:rPr>
                <w:b w:val="0"/>
                <w:sz w:val="17"/>
              </w:rPr>
              <w:t>SUPERSEDED by NP-DB-005</w:t>
            </w:r>
          </w:p>
        </w:tc>
      </w:tr>
      <w:tr>
        <w:tc>
          <w:tcPr>
            <w:tcW w:type="dxa" w:w="2608"/>
          </w:tcPr>
          <w:p>
            <w:pPr>
              <w:spacing w:after="20"/>
            </w:pPr>
            <w:r>
              <w:rPr>
                <w:b/>
                <w:sz w:val="17"/>
              </w:rPr>
              <w:t>NP-DB-002 Rev 2</w:t>
            </w:r>
          </w:p>
        </w:tc>
        <w:tc>
          <w:tcPr>
            <w:tcW w:type="dxa" w:w="3969"/>
          </w:tcPr>
          <w:p>
            <w:pPr>
              <w:spacing w:after="20"/>
            </w:pPr>
            <w:r>
              <w:rPr>
                <w:b w:val="0"/>
                <w:sz w:val="17"/>
              </w:rPr>
              <w:t>docs/superseded/np_db_002.docx</w:t>
            </w:r>
          </w:p>
        </w:tc>
        <w:tc>
          <w:tcPr>
            <w:tcW w:type="dxa" w:w="2948"/>
          </w:tcPr>
          <w:p>
            <w:pPr>
              <w:spacing w:after="20"/>
            </w:pPr>
            <w:r>
              <w:rPr>
                <w:b w:val="0"/>
                <w:sz w:val="17"/>
              </w:rPr>
              <w:t>SUPERSEDED by NP-DB-005</w:t>
            </w:r>
          </w:p>
        </w:tc>
      </w:tr>
      <w:tr>
        <w:tc>
          <w:tcPr>
            <w:tcW w:type="dxa" w:w="2608"/>
          </w:tcPr>
          <w:p>
            <w:pPr>
              <w:spacing w:after="20"/>
            </w:pPr>
            <w:r>
              <w:rPr>
                <w:b/>
                <w:sz w:val="17"/>
              </w:rPr>
              <w:t>NP-DB-003 Rev 3</w:t>
            </w:r>
          </w:p>
        </w:tc>
        <w:tc>
          <w:tcPr>
            <w:tcW w:type="dxa" w:w="3969"/>
          </w:tcPr>
          <w:p>
            <w:pPr>
              <w:spacing w:after="20"/>
            </w:pPr>
            <w:r>
              <w:rPr>
                <w:b w:val="0"/>
                <w:sz w:val="17"/>
              </w:rPr>
              <w:t>docs/superseded/np_db_003.docx</w:t>
            </w:r>
          </w:p>
        </w:tc>
        <w:tc>
          <w:tcPr>
            <w:tcW w:type="dxa" w:w="2948"/>
          </w:tcPr>
          <w:p>
            <w:pPr>
              <w:spacing w:after="20"/>
            </w:pPr>
            <w:r>
              <w:rPr>
                <w:b w:val="0"/>
                <w:sz w:val="17"/>
              </w:rPr>
              <w:t>SUPERSEDED by NP-DB-005</w:t>
            </w:r>
          </w:p>
        </w:tc>
      </w:tr>
      <w:tr>
        <w:tc>
          <w:tcPr>
            <w:tcW w:type="dxa" w:w="2608"/>
          </w:tcPr>
          <w:p>
            <w:pPr>
              <w:spacing w:after="20"/>
            </w:pPr>
            <w:r>
              <w:rPr>
                <w:b/>
                <w:sz w:val="17"/>
              </w:rPr>
              <w:t>NP-DB-004 Rev 4</w:t>
            </w:r>
          </w:p>
        </w:tc>
        <w:tc>
          <w:tcPr>
            <w:tcW w:type="dxa" w:w="3969"/>
          </w:tcPr>
          <w:p>
            <w:pPr>
              <w:spacing w:after="20"/>
            </w:pPr>
            <w:r>
              <w:rPr>
                <w:b w:val="0"/>
                <w:sz w:val="17"/>
              </w:rPr>
              <w:t>docs/superseded/np_db_004.docx</w:t>
            </w:r>
          </w:p>
        </w:tc>
        <w:tc>
          <w:tcPr>
            <w:tcW w:type="dxa" w:w="2948"/>
          </w:tcPr>
          <w:p>
            <w:pPr>
              <w:spacing w:after="20"/>
            </w:pPr>
            <w:r>
              <w:rPr>
                <w:b w:val="0"/>
                <w:sz w:val="17"/>
              </w:rPr>
              <w:t>SUPERSEDED by NP-DB-005</w:t>
            </w:r>
          </w:p>
        </w:tc>
      </w:tr>
      <w:tr>
        <w:tc>
          <w:tcPr>
            <w:tcW w:type="dxa" w:w="2608"/>
          </w:tcPr>
          <w:p>
            <w:pPr>
              <w:spacing w:after="20"/>
            </w:pPr>
            <w:r>
              <w:rPr>
                <w:b/>
                <w:sz w:val="17"/>
              </w:rPr>
              <w:t>NP-DB-005 Rev 5</w:t>
            </w:r>
          </w:p>
        </w:tc>
        <w:tc>
          <w:tcPr>
            <w:tcW w:type="dxa" w:w="3969"/>
          </w:tcPr>
          <w:p>
            <w:pPr>
              <w:spacing w:after="20"/>
            </w:pPr>
            <w:r>
              <w:rPr>
                <w:b w:val="0"/>
                <w:sz w:val="17"/>
              </w:rPr>
              <w:t>docs/np_db_005.docx (this path, prior revision)</w:t>
            </w:r>
          </w:p>
        </w:tc>
        <w:tc>
          <w:tcPr>
            <w:tcW w:type="dxa" w:w="2948"/>
          </w:tcPr>
          <w:p>
            <w:pPr>
              <w:spacing w:after="20"/>
            </w:pPr>
            <w:r>
              <w:rPr>
                <w:b w:val="0"/>
                <w:sz w:val="17"/>
              </w:rPr>
              <w:t>LAST APPROVED REVISION — retained by version control, not as a second file. Superseded by Rev 6 on Rev 6 approval. Its retired content is enumerated in §0.1; do not use those areas as a design input regardless of approval state.</w:t>
            </w:r>
          </w:p>
        </w:tc>
      </w:tr>
      <w:tr>
        <w:tc>
          <w:tcPr>
            <w:tcW w:type="dxa" w:w="2608"/>
          </w:tcPr>
          <w:p>
            <w:pPr>
              <w:spacing w:after="20"/>
            </w:pPr>
            <w:r>
              <w:rPr>
                <w:b/>
                <w:sz w:val="17"/>
              </w:rPr>
              <w:t>NP-DB-005 Rev 6 — THIS DOCUMENT</w:t>
            </w:r>
          </w:p>
        </w:tc>
        <w:tc>
          <w:tcPr>
            <w:tcW w:type="dxa" w:w="3969"/>
          </w:tcPr>
          <w:p>
            <w:pPr>
              <w:spacing w:after="20"/>
            </w:pPr>
            <w:r>
              <w:rPr>
                <w:b w:val="0"/>
                <w:sz w:val="17"/>
              </w:rPr>
              <w:t>docs/np_db_005.docx</w:t>
            </w:r>
          </w:p>
        </w:tc>
        <w:tc>
          <w:tcPr>
            <w:tcW w:type="dxa" w:w="2948"/>
          </w:tcPr>
          <w:p>
            <w:pPr>
              <w:spacing w:after="20"/>
            </w:pPr>
            <w:r>
              <w:rPr>
                <w:b w:val="0"/>
                <w:sz w:val="17"/>
              </w:rPr>
              <w:t>DRAFT — PENDING APPROVAL. Authored 2026-08-11; not yet reviewed or approved.</w:t>
            </w:r>
          </w:p>
        </w:tc>
      </w:tr>
    </w:tbl>
    <w:p>
      <w:pPr>
        <w:spacing w:after="40"/>
      </w:pPr>
    </w:p>
    <w:p>
      <w:pPr>
        <w:spacing w:after="100"/>
      </w:pPr>
      <w:r>
        <w:rPr>
          <w:b/>
          <w:i w:val="0"/>
          <w:sz w:val="19"/>
        </w:rPr>
        <w:t>Primary controlled documents referenced by this brief:</w:t>
      </w:r>
    </w:p>
    <w:tbl>
      <w:tblPr>
        <w:tblStyle w:val="TableGrid"/>
        <w:tblW w:type="auto" w:w="0"/>
        <w:jc w:val="center"/>
        <w:tblLook w:firstColumn="1" w:firstRow="1" w:lastColumn="0" w:lastRow="0" w:noHBand="0" w:noVBand="1" w:val="04A0"/>
      </w:tblPr>
      <w:tblGrid>
        <w:gridCol w:w="3324"/>
        <w:gridCol w:w="3324"/>
        <w:gridCol w:w="3324"/>
      </w:tblGrid>
      <w:tr>
        <w:tc>
          <w:tcPr>
            <w:tcW w:type="dxa" w:w="3628"/>
            <w:shd w:val="clear" w:color="auto" w:fill="D9E2F3"/>
          </w:tcPr>
          <w:p>
            <w:pPr>
              <w:spacing w:after="20"/>
            </w:pPr>
            <w:r>
              <w:rPr>
                <w:b/>
                <w:sz w:val="16"/>
              </w:rPr>
              <w:t>Document</w:t>
            </w:r>
          </w:p>
        </w:tc>
        <w:tc>
          <w:tcPr>
            <w:tcW w:type="dxa" w:w="1814"/>
            <w:shd w:val="clear" w:color="auto" w:fill="D9E2F3"/>
          </w:tcPr>
          <w:p>
            <w:pPr>
              <w:spacing w:after="20"/>
            </w:pPr>
            <w:r>
              <w:rPr>
                <w:b/>
                <w:sz w:val="16"/>
              </w:rPr>
              <w:t>Rev / status</w:t>
            </w:r>
          </w:p>
        </w:tc>
        <w:tc>
          <w:tcPr>
            <w:tcW w:type="dxa" w:w="4082"/>
            <w:shd w:val="clear" w:color="auto" w:fill="D9E2F3"/>
          </w:tcPr>
          <w:p>
            <w:pPr>
              <w:spacing w:after="20"/>
            </w:pPr>
            <w:r>
              <w:rPr>
                <w:b/>
                <w:sz w:val="16"/>
              </w:rPr>
              <w:t>Subject</w:t>
            </w:r>
          </w:p>
        </w:tc>
      </w:tr>
      <w:tr>
        <w:tc>
          <w:tcPr>
            <w:tcW w:type="dxa" w:w="3628"/>
          </w:tcPr>
          <w:p>
            <w:pPr>
              <w:spacing w:after="20"/>
            </w:pPr>
            <w:r>
              <w:rPr>
                <w:b/>
                <w:sz w:val="16"/>
              </w:rPr>
              <w:t>NP-DHF-001</w:t>
            </w:r>
          </w:p>
        </w:tc>
        <w:tc>
          <w:tcPr>
            <w:tcW w:type="dxa" w:w="1814"/>
          </w:tcPr>
          <w:p>
            <w:pPr>
              <w:spacing w:after="20"/>
            </w:pPr>
            <w:r>
              <w:rPr>
                <w:b w:val="0"/>
                <w:sz w:val="16"/>
              </w:rPr>
              <w:t>Rev 28, ACTIVE</w:t>
            </w:r>
          </w:p>
        </w:tc>
        <w:tc>
          <w:tcPr>
            <w:tcW w:type="dxa" w:w="4082"/>
          </w:tcPr>
          <w:p>
            <w:pPr>
              <w:spacing w:after="20"/>
            </w:pPr>
            <w:r>
              <w:rPr>
                <w:b w:val="0"/>
                <w:sz w:val="16"/>
              </w:rPr>
              <w:t>Design History File index</w:t>
            </w:r>
          </w:p>
        </w:tc>
      </w:tr>
      <w:tr>
        <w:tc>
          <w:tcPr>
            <w:tcW w:type="dxa" w:w="3628"/>
          </w:tcPr>
          <w:p>
            <w:pPr>
              <w:spacing w:after="20"/>
            </w:pPr>
            <w:r>
              <w:rPr>
                <w:b/>
                <w:sz w:val="16"/>
              </w:rPr>
              <w:t>NP-CONV-001</w:t>
            </w:r>
          </w:p>
        </w:tc>
        <w:tc>
          <w:tcPr>
            <w:tcW w:type="dxa" w:w="1814"/>
          </w:tcPr>
          <w:p>
            <w:pPr>
              <w:spacing w:after="20"/>
            </w:pPr>
            <w:r>
              <w:rPr>
                <w:b w:val="0"/>
                <w:sz w:val="16"/>
              </w:rPr>
              <w:t>Rev 6, ACTIVE</w:t>
            </w:r>
          </w:p>
        </w:tc>
        <w:tc>
          <w:tcPr>
            <w:tcW w:type="dxa" w:w="4082"/>
          </w:tcPr>
          <w:p>
            <w:pPr>
              <w:spacing w:after="20"/>
            </w:pPr>
            <w:r>
              <w:rPr>
                <w:b w:val="0"/>
                <w:sz w:val="16"/>
              </w:rPr>
              <w:t>Naming and notation conventions; §4 document IDs, filenames and integer revisions</w:t>
            </w:r>
          </w:p>
        </w:tc>
      </w:tr>
      <w:tr>
        <w:tc>
          <w:tcPr>
            <w:tcW w:type="dxa" w:w="3628"/>
          </w:tcPr>
          <w:p>
            <w:pPr>
              <w:spacing w:after="20"/>
            </w:pPr>
            <w:r>
              <w:rPr>
                <w:b/>
                <w:sz w:val="16"/>
              </w:rPr>
              <w:t>NP-QMS-001 / -DC-001 / -CAPA-001</w:t>
            </w:r>
          </w:p>
        </w:tc>
        <w:tc>
          <w:tcPr>
            <w:tcW w:type="dxa" w:w="1814"/>
          </w:tcPr>
          <w:p>
            <w:pPr>
              <w:spacing w:after="20"/>
            </w:pPr>
            <w:r>
              <w:rPr>
                <w:b w:val="0"/>
                <w:sz w:val="16"/>
              </w:rPr>
              <w:t>Rev 1, ACTIVE</w:t>
            </w:r>
          </w:p>
        </w:tc>
        <w:tc>
          <w:tcPr>
            <w:tcW w:type="dxa" w:w="4082"/>
          </w:tcPr>
          <w:p>
            <w:pPr>
              <w:spacing w:after="20"/>
            </w:pPr>
            <w:r>
              <w:rPr>
                <w:b w:val="0"/>
                <w:sz w:val="16"/>
              </w:rPr>
              <w:t>QMS manual, design controls, CAPA</w:t>
            </w:r>
          </w:p>
        </w:tc>
      </w:tr>
      <w:tr>
        <w:tc>
          <w:tcPr>
            <w:tcW w:type="dxa" w:w="3628"/>
          </w:tcPr>
          <w:p>
            <w:pPr>
              <w:spacing w:after="20"/>
            </w:pPr>
            <w:r>
              <w:rPr>
                <w:b/>
                <w:sz w:val="16"/>
              </w:rPr>
              <w:t>NP-RM-001</w:t>
            </w:r>
          </w:p>
        </w:tc>
        <w:tc>
          <w:tcPr>
            <w:tcW w:type="dxa" w:w="1814"/>
          </w:tcPr>
          <w:p>
            <w:pPr>
              <w:spacing w:after="20"/>
            </w:pPr>
            <w:r>
              <w:rPr>
                <w:b w:val="0"/>
                <w:sz w:val="16"/>
              </w:rPr>
              <w:t>Rev 1, ACTIVE</w:t>
            </w:r>
          </w:p>
        </w:tc>
        <w:tc>
          <w:tcPr>
            <w:tcW w:type="dxa" w:w="4082"/>
          </w:tcPr>
          <w:p>
            <w:pPr>
              <w:spacing w:after="20"/>
            </w:pPr>
            <w:r>
              <w:rPr>
                <w:b w:val="0"/>
                <w:sz w:val="16"/>
              </w:rPr>
              <w:t>ISO 14971 risk management plan</w:t>
            </w:r>
          </w:p>
        </w:tc>
      </w:tr>
      <w:tr>
        <w:tc>
          <w:tcPr>
            <w:tcW w:type="dxa" w:w="3628"/>
          </w:tcPr>
          <w:p>
            <w:pPr>
              <w:spacing w:after="20"/>
            </w:pPr>
            <w:r>
              <w:rPr>
                <w:b/>
                <w:sz w:val="16"/>
              </w:rPr>
              <w:t>NP-RISK-002 / -003 / -004</w:t>
            </w:r>
          </w:p>
        </w:tc>
        <w:tc>
          <w:tcPr>
            <w:tcW w:type="dxa" w:w="1814"/>
          </w:tcPr>
          <w:p>
            <w:pPr>
              <w:spacing w:after="20"/>
            </w:pPr>
            <w:r>
              <w:rPr>
                <w:b w:val="0"/>
                <w:sz w:val="16"/>
              </w:rPr>
              <w:t>Rev 1, ACTIVE</w:t>
            </w:r>
          </w:p>
        </w:tc>
        <w:tc>
          <w:tcPr>
            <w:tcW w:type="dxa" w:w="4082"/>
          </w:tcPr>
          <w:p>
            <w:pPr>
              <w:spacing w:after="20"/>
            </w:pPr>
            <w:r>
              <w:rPr>
                <w:b w:val="0"/>
                <w:sz w:val="16"/>
              </w:rPr>
              <w:t>Risk file index and NP-RISK-001 disposition; hex-tile module risks; shell/socket/interconnect/hub risks. NP-RISK-001 is retired to docs/superseded/</w:t>
            </w:r>
          </w:p>
        </w:tc>
      </w:tr>
      <w:tr>
        <w:tc>
          <w:tcPr>
            <w:tcW w:type="dxa" w:w="3628"/>
          </w:tcPr>
          <w:p>
            <w:pPr>
              <w:spacing w:after="20"/>
            </w:pPr>
            <w:r>
              <w:rPr>
                <w:b/>
                <w:sz w:val="16"/>
              </w:rPr>
              <w:t>NP-SW-001</w:t>
            </w:r>
          </w:p>
        </w:tc>
        <w:tc>
          <w:tcPr>
            <w:tcW w:type="dxa" w:w="1814"/>
          </w:tcPr>
          <w:p>
            <w:pPr>
              <w:spacing w:after="20"/>
            </w:pPr>
            <w:r>
              <w:rPr>
                <w:b w:val="0"/>
                <w:sz w:val="16"/>
              </w:rPr>
              <w:t>Rev 3, ACTIVE</w:t>
            </w:r>
          </w:p>
        </w:tc>
        <w:tc>
          <w:tcPr>
            <w:tcW w:type="dxa" w:w="4082"/>
          </w:tcPr>
          <w:p>
            <w:pPr>
              <w:spacing w:after="20"/>
            </w:pPr>
            <w:r>
              <w:rPr>
                <w:b w:val="0"/>
                <w:sz w:val="16"/>
              </w:rPr>
              <w:t>IEC 62304 software development plan; SR-FAN-01…06 in §6.2</w:t>
            </w:r>
          </w:p>
        </w:tc>
      </w:tr>
      <w:tr>
        <w:tc>
          <w:tcPr>
            <w:tcW w:type="dxa" w:w="3628"/>
          </w:tcPr>
          <w:p>
            <w:pPr>
              <w:spacing w:after="20"/>
            </w:pPr>
            <w:r>
              <w:rPr>
                <w:b/>
                <w:sz w:val="16"/>
              </w:rPr>
              <w:t>NP-SW-CI-001</w:t>
            </w:r>
          </w:p>
        </w:tc>
        <w:tc>
          <w:tcPr>
            <w:tcW w:type="dxa" w:w="1814"/>
          </w:tcPr>
          <w:p>
            <w:pPr>
              <w:spacing w:after="20"/>
            </w:pPr>
            <w:r>
              <w:rPr>
                <w:b w:val="0"/>
                <w:sz w:val="16"/>
              </w:rPr>
              <w:t>Rev 8, DRAFT</w:t>
            </w:r>
          </w:p>
        </w:tc>
        <w:tc>
          <w:tcPr>
            <w:tcW w:type="dxa" w:w="4082"/>
          </w:tcPr>
          <w:p>
            <w:pPr>
              <w:spacing w:after="20"/>
            </w:pPr>
            <w:r>
              <w:rPr>
                <w:b w:val="0"/>
                <w:sz w:val="16"/>
              </w:rPr>
              <w:t>Firmware cross-compile CI program</w:t>
            </w:r>
          </w:p>
        </w:tc>
      </w:tr>
      <w:tr>
        <w:tc>
          <w:tcPr>
            <w:tcW w:type="dxa" w:w="3628"/>
          </w:tcPr>
          <w:p>
            <w:pPr>
              <w:spacing w:after="20"/>
            </w:pPr>
            <w:r>
              <w:rPr>
                <w:b/>
                <w:sz w:val="16"/>
              </w:rPr>
              <w:t>NP-SOUP-CMSIS-001</w:t>
            </w:r>
          </w:p>
        </w:tc>
        <w:tc>
          <w:tcPr>
            <w:tcW w:type="dxa" w:w="1814"/>
          </w:tcPr>
          <w:p>
            <w:pPr>
              <w:spacing w:after="20"/>
            </w:pPr>
            <w:r>
              <w:rPr>
                <w:b w:val="0"/>
                <w:sz w:val="16"/>
              </w:rPr>
              <w:t>Rev 1, DRAFT</w:t>
            </w:r>
          </w:p>
        </w:tc>
        <w:tc>
          <w:tcPr>
            <w:tcW w:type="dxa" w:w="4082"/>
          </w:tcPr>
          <w:p>
            <w:pPr>
              <w:spacing w:after="20"/>
            </w:pPr>
            <w:r>
              <w:rPr>
                <w:b w:val="0"/>
                <w:sz w:val="16"/>
              </w:rPr>
              <w:t>First Class C IEC 62304 §7.1.2 anomaly evaluation</w:t>
            </w:r>
          </w:p>
        </w:tc>
      </w:tr>
      <w:tr>
        <w:tc>
          <w:tcPr>
            <w:tcW w:type="dxa" w:w="3628"/>
          </w:tcPr>
          <w:p>
            <w:pPr>
              <w:spacing w:after="20"/>
            </w:pPr>
            <w:r>
              <w:rPr>
                <w:b/>
                <w:sz w:val="16"/>
              </w:rPr>
              <w:t>NP-HEX-ZM-001</w:t>
            </w:r>
          </w:p>
        </w:tc>
        <w:tc>
          <w:tcPr>
            <w:tcW w:type="dxa" w:w="1814"/>
          </w:tcPr>
          <w:p>
            <w:pPr>
              <w:spacing w:after="20"/>
            </w:pPr>
            <w:r>
              <w:rPr>
                <w:b w:val="0"/>
                <w:sz w:val="16"/>
              </w:rPr>
              <w:t>Rev 2, DESIGN STUDY</w:t>
            </w:r>
          </w:p>
        </w:tc>
        <w:tc>
          <w:tcPr>
            <w:tcW w:type="dxa" w:w="4082"/>
          </w:tcPr>
          <w:p>
            <w:pPr>
              <w:spacing w:after="20"/>
            </w:pPr>
            <w:r>
              <w:rPr>
                <w:b w:val="0"/>
                <w:sz w:val="16"/>
              </w:rPr>
              <w:t>Hex-tile module architecture; CLUSTER-1/SYM-1/CONTIG-1</w:t>
            </w:r>
          </w:p>
        </w:tc>
      </w:tr>
      <w:tr>
        <w:tc>
          <w:tcPr>
            <w:tcW w:type="dxa" w:w="3628"/>
          </w:tcPr>
          <w:p>
            <w:pPr>
              <w:spacing w:after="20"/>
            </w:pPr>
            <w:r>
              <w:rPr>
                <w:b/>
                <w:sz w:val="16"/>
              </w:rPr>
              <w:t>NP-HW-HEXTILE-001</w:t>
            </w:r>
          </w:p>
        </w:tc>
        <w:tc>
          <w:tcPr>
            <w:tcW w:type="dxa" w:w="1814"/>
          </w:tcPr>
          <w:p>
            <w:pPr>
              <w:spacing w:after="20"/>
            </w:pPr>
            <w:r>
              <w:rPr>
                <w:b w:val="0"/>
                <w:sz w:val="16"/>
              </w:rPr>
              <w:t>Rev 3, DESIGN STUDY</w:t>
            </w:r>
          </w:p>
        </w:tc>
        <w:tc>
          <w:tcPr>
            <w:tcW w:type="dxa" w:w="4082"/>
          </w:tcPr>
          <w:p>
            <w:pPr>
              <w:spacing w:after="20"/>
            </w:pPr>
            <w:r>
              <w:rPr>
                <w:b w:val="0"/>
                <w:sz w:val="16"/>
              </w:rPr>
              <w:t>Hex-tile electrical/FPC spec; 18-cluster derivation</w:t>
            </w:r>
          </w:p>
        </w:tc>
      </w:tr>
      <w:tr>
        <w:tc>
          <w:tcPr>
            <w:tcW w:type="dxa" w:w="3628"/>
          </w:tcPr>
          <w:p>
            <w:pPr>
              <w:spacing w:after="20"/>
            </w:pPr>
            <w:r>
              <w:rPr>
                <w:b/>
                <w:sz w:val="16"/>
              </w:rPr>
              <w:t>NP-HW-HUB-001</w:t>
            </w:r>
          </w:p>
        </w:tc>
        <w:tc>
          <w:tcPr>
            <w:tcW w:type="dxa" w:w="1814"/>
          </w:tcPr>
          <w:p>
            <w:pPr>
              <w:spacing w:after="20"/>
            </w:pPr>
            <w:r>
              <w:rPr>
                <w:b w:val="0"/>
                <w:sz w:val="16"/>
              </w:rPr>
              <w:t>Rev 3, DRAFT</w:t>
            </w:r>
          </w:p>
        </w:tc>
        <w:tc>
          <w:tcPr>
            <w:tcW w:type="dxa" w:w="4082"/>
          </w:tcPr>
          <w:p>
            <w:pPr>
              <w:spacing w:after="20"/>
            </w:pPr>
            <w:r>
              <w:rPr>
                <w:b w:val="0"/>
                <w:sz w:val="16"/>
              </w:rPr>
              <w:t>Cluster-controller tier (Hub PCB Rev B archived as Appendix A)</w:t>
            </w:r>
          </w:p>
        </w:tc>
      </w:tr>
      <w:tr>
        <w:tc>
          <w:tcPr>
            <w:tcW w:type="dxa" w:w="3628"/>
          </w:tcPr>
          <w:p>
            <w:pPr>
              <w:spacing w:after="20"/>
            </w:pPr>
            <w:r>
              <w:rPr>
                <w:b/>
                <w:sz w:val="16"/>
              </w:rPr>
              <w:t>NP-DRV-SHELL-002</w:t>
            </w:r>
          </w:p>
        </w:tc>
        <w:tc>
          <w:tcPr>
            <w:tcW w:type="dxa" w:w="1814"/>
          </w:tcPr>
          <w:p>
            <w:pPr>
              <w:spacing w:after="20"/>
            </w:pPr>
            <w:r>
              <w:rPr>
                <w:b w:val="0"/>
                <w:sz w:val="16"/>
              </w:rPr>
              <w:t>Rev 2, DRAFT</w:t>
            </w:r>
          </w:p>
        </w:tc>
        <w:tc>
          <w:tcPr>
            <w:tcW w:type="dxa" w:w="4082"/>
          </w:tcPr>
          <w:p>
            <w:pPr>
              <w:spacing w:after="20"/>
            </w:pPr>
            <w:r>
              <w:rPr>
                <w:b w:val="0"/>
                <w:sz w:val="16"/>
              </w:rPr>
              <w:t>Cluster-carrier shell socket interconnect. NP-DRV-SHELL-001 retired to docs/superseded/</w:t>
            </w:r>
          </w:p>
        </w:tc>
      </w:tr>
      <w:tr>
        <w:tc>
          <w:tcPr>
            <w:tcW w:type="dxa" w:w="3628"/>
          </w:tcPr>
          <w:p>
            <w:pPr>
              <w:spacing w:after="20"/>
            </w:pPr>
            <w:r>
              <w:rPr>
                <w:b/>
                <w:sz w:val="16"/>
              </w:rPr>
              <w:t>NP-HELMET-GEOM-001</w:t>
            </w:r>
          </w:p>
        </w:tc>
        <w:tc>
          <w:tcPr>
            <w:tcW w:type="dxa" w:w="1814"/>
          </w:tcPr>
          <w:p>
            <w:pPr>
              <w:spacing w:after="20"/>
            </w:pPr>
            <w:r>
              <w:rPr>
                <w:b w:val="0"/>
                <w:sz w:val="16"/>
              </w:rPr>
              <w:t>—</w:t>
            </w:r>
          </w:p>
        </w:tc>
        <w:tc>
          <w:tcPr>
            <w:tcW w:type="dxa" w:w="4082"/>
          </w:tcPr>
          <w:p>
            <w:pPr>
              <w:spacing w:after="20"/>
            </w:pPr>
            <w:r>
              <w:rPr>
                <w:b w:val="0"/>
                <w:sz w:val="16"/>
              </w:rPr>
              <w:t>Scan-derived helmet geometry and socket coordinates</w:t>
            </w:r>
          </w:p>
        </w:tc>
      </w:tr>
      <w:tr>
        <w:tc>
          <w:tcPr>
            <w:tcW w:type="dxa" w:w="3628"/>
          </w:tcPr>
          <w:p>
            <w:pPr>
              <w:spacing w:after="20"/>
            </w:pPr>
            <w:r>
              <w:rPr>
                <w:b/>
                <w:sz w:val="16"/>
              </w:rPr>
              <w:t>NP-OPT-PSF-001</w:t>
            </w:r>
          </w:p>
        </w:tc>
        <w:tc>
          <w:tcPr>
            <w:tcW w:type="dxa" w:w="1814"/>
          </w:tcPr>
          <w:p>
            <w:pPr>
              <w:spacing w:after="20"/>
            </w:pPr>
            <w:r>
              <w:rPr>
                <w:b w:val="0"/>
                <w:sz w:val="16"/>
              </w:rPr>
              <w:t>Rev 1, ACTIVE</w:t>
            </w:r>
          </w:p>
        </w:tc>
        <w:tc>
          <w:tcPr>
            <w:tcW w:type="dxa" w:w="4082"/>
          </w:tcPr>
          <w:p>
            <w:pPr>
              <w:spacing w:after="20"/>
            </w:pPr>
            <w:r>
              <w:rPr>
                <w:b w:val="0"/>
                <w:sz w:val="16"/>
              </w:rPr>
              <w:t>PBM optical resolution floor; lateralization model</w:t>
            </w:r>
          </w:p>
        </w:tc>
      </w:tr>
      <w:tr>
        <w:tc>
          <w:tcPr>
            <w:tcW w:type="dxa" w:w="3628"/>
          </w:tcPr>
          <w:p>
            <w:pPr>
              <w:spacing w:after="20"/>
            </w:pPr>
            <w:r>
              <w:rPr>
                <w:b/>
                <w:sz w:val="16"/>
              </w:rPr>
              <w:t>NP-HFE-001 / NP-HFE-002</w:t>
            </w:r>
          </w:p>
        </w:tc>
        <w:tc>
          <w:tcPr>
            <w:tcW w:type="dxa" w:w="1814"/>
          </w:tcPr>
          <w:p>
            <w:pPr>
              <w:spacing w:after="20"/>
            </w:pPr>
            <w:r>
              <w:rPr>
                <w:b w:val="0"/>
                <w:sz w:val="16"/>
              </w:rPr>
              <w:t>Rev 1</w:t>
            </w:r>
          </w:p>
        </w:tc>
        <w:tc>
          <w:tcPr>
            <w:tcW w:type="dxa" w:w="4082"/>
          </w:tcPr>
          <w:p>
            <w:pPr>
              <w:spacing w:after="20"/>
            </w:pPr>
            <w:r>
              <w:rPr>
                <w:b w:val="0"/>
                <w:sz w:val="16"/>
              </w:rPr>
              <w:t>Human factors plan; accessible position identification</w:t>
            </w:r>
          </w:p>
        </w:tc>
      </w:tr>
      <w:tr>
        <w:tc>
          <w:tcPr>
            <w:tcW w:type="dxa" w:w="3628"/>
          </w:tcPr>
          <w:p>
            <w:pPr>
              <w:spacing w:after="20"/>
            </w:pPr>
            <w:r>
              <w:rPr>
                <w:b/>
                <w:sz w:val="16"/>
              </w:rPr>
              <w:t>NP-THERM-CFD-001 / -R1 / -C2; NP-THERM-BEZEL-001</w:t>
            </w:r>
          </w:p>
        </w:tc>
        <w:tc>
          <w:tcPr>
            <w:tcW w:type="dxa" w:w="1814"/>
          </w:tcPr>
          <w:p>
            <w:pPr>
              <w:spacing w:after="20"/>
            </w:pPr>
            <w:r>
              <w:rPr>
                <w:b w:val="0"/>
                <w:sz w:val="16"/>
              </w:rPr>
              <w:t>—</w:t>
            </w:r>
          </w:p>
        </w:tc>
        <w:tc>
          <w:tcPr>
            <w:tcW w:type="dxa" w:w="4082"/>
          </w:tcPr>
          <w:p>
            <w:pPr>
              <w:spacing w:after="20"/>
            </w:pPr>
            <w:r>
              <w:rPr>
                <w:b w:val="0"/>
                <w:sz w:val="16"/>
              </w:rPr>
              <w:t>Thermal architecture; BN-boss export; fan-health path</w:t>
            </w:r>
          </w:p>
        </w:tc>
      </w:tr>
      <w:tr>
        <w:tc>
          <w:tcPr>
            <w:tcW w:type="dxa" w:w="3628"/>
          </w:tcPr>
          <w:p>
            <w:pPr>
              <w:spacing w:after="20"/>
            </w:pPr>
            <w:r>
              <w:rPr>
                <w:b/>
                <w:sz w:val="16"/>
              </w:rPr>
              <w:t>NP-REQ-FANHEALTH-001 / NP-PLAN-FANHEALTH-001</w:t>
            </w:r>
          </w:p>
        </w:tc>
        <w:tc>
          <w:tcPr>
            <w:tcW w:type="dxa" w:w="1814"/>
          </w:tcPr>
          <w:p>
            <w:pPr>
              <w:spacing w:after="20"/>
            </w:pPr>
            <w:r>
              <w:rPr>
                <w:b w:val="0"/>
                <w:sz w:val="16"/>
              </w:rPr>
              <w:t>—</w:t>
            </w:r>
          </w:p>
        </w:tc>
        <w:tc>
          <w:tcPr>
            <w:tcW w:type="dxa" w:w="4082"/>
          </w:tcPr>
          <w:p>
            <w:pPr>
              <w:spacing w:after="20"/>
            </w:pPr>
            <w:r>
              <w:rPr>
                <w:b w:val="0"/>
                <w:sz w:val="16"/>
              </w:rPr>
              <w:t>RISK-26 mitigation requirements</w:t>
            </w:r>
          </w:p>
        </w:tc>
      </w:tr>
      <w:tr>
        <w:tc>
          <w:tcPr>
            <w:tcW w:type="dxa" w:w="3628"/>
          </w:tcPr>
          <w:p>
            <w:pPr>
              <w:spacing w:after="20"/>
            </w:pPr>
            <w:r>
              <w:rPr>
                <w:b/>
                <w:sz w:val="16"/>
              </w:rPr>
              <w:t>NP-FMEA-001 / NP-FMEA-GEOM-001</w:t>
            </w:r>
          </w:p>
        </w:tc>
        <w:tc>
          <w:tcPr>
            <w:tcW w:type="dxa" w:w="1814"/>
          </w:tcPr>
          <w:p>
            <w:pPr>
              <w:spacing w:after="20"/>
            </w:pPr>
            <w:r>
              <w:rPr>
                <w:b w:val="0"/>
                <w:sz w:val="16"/>
              </w:rPr>
              <w:t>—</w:t>
            </w:r>
          </w:p>
        </w:tc>
        <w:tc>
          <w:tcPr>
            <w:tcW w:type="dxa" w:w="4082"/>
          </w:tcPr>
          <w:p>
            <w:pPr>
              <w:spacing w:after="20"/>
            </w:pPr>
            <w:r>
              <w:rPr>
                <w:b w:val="0"/>
                <w:sz w:val="16"/>
              </w:rPr>
              <w:t>System FMEA and geometry feeder</w:t>
            </w:r>
          </w:p>
        </w:tc>
      </w:tr>
      <w:tr>
        <w:tc>
          <w:tcPr>
            <w:tcW w:type="dxa" w:w="3628"/>
          </w:tcPr>
          <w:p>
            <w:pPr>
              <w:spacing w:after="20"/>
            </w:pPr>
            <w:r>
              <w:rPr>
                <w:b/>
                <w:sz w:val="16"/>
              </w:rPr>
              <w:t>NP-FW-EMMC-001 / -002</w:t>
            </w:r>
          </w:p>
        </w:tc>
        <w:tc>
          <w:tcPr>
            <w:tcW w:type="dxa" w:w="1814"/>
          </w:tcPr>
          <w:p>
            <w:pPr>
              <w:spacing w:after="20"/>
            </w:pPr>
            <w:r>
              <w:rPr>
                <w:b w:val="0"/>
                <w:sz w:val="16"/>
              </w:rPr>
              <w:t>Rev 1</w:t>
            </w:r>
          </w:p>
        </w:tc>
        <w:tc>
          <w:tcPr>
            <w:tcW w:type="dxa" w:w="4082"/>
          </w:tcPr>
          <w:p>
            <w:pPr>
              <w:spacing w:after="20"/>
            </w:pPr>
            <w:r>
              <w:rPr>
                <w:b w:val="0"/>
                <w:sz w:val="16"/>
              </w:rPr>
              <w:t>Storage architecture; warranty token; factory reset; Mode F</w:t>
            </w:r>
          </w:p>
        </w:tc>
      </w:tr>
      <w:tr>
        <w:tc>
          <w:tcPr>
            <w:tcW w:type="dxa" w:w="3628"/>
          </w:tcPr>
          <w:p>
            <w:pPr>
              <w:spacing w:after="20"/>
            </w:pPr>
            <w:r>
              <w:rPr>
                <w:b/>
                <w:sz w:val="16"/>
              </w:rPr>
              <w:t>NP-FW-HD-001 / -CVNS-001 / -HRV-001 / -ZA-001 / -PBM1064-001 / -ANON-001 / -POE-001</w:t>
            </w:r>
          </w:p>
        </w:tc>
        <w:tc>
          <w:tcPr>
            <w:tcW w:type="dxa" w:w="1814"/>
          </w:tcPr>
          <w:p>
            <w:pPr>
              <w:spacing w:after="20"/>
            </w:pPr>
            <w:r>
              <w:rPr>
                <w:b w:val="0"/>
                <w:sz w:val="16"/>
              </w:rPr>
              <w:t>various</w:t>
            </w:r>
          </w:p>
        </w:tc>
        <w:tc>
          <w:tcPr>
            <w:tcW w:type="dxa" w:w="4082"/>
          </w:tcPr>
          <w:p>
            <w:pPr>
              <w:spacing w:after="20"/>
            </w:pPr>
            <w:r>
              <w:rPr>
                <w:b w:val="0"/>
                <w:sz w:val="16"/>
              </w:rPr>
              <w:t>Firmware specifications</w:t>
            </w:r>
          </w:p>
        </w:tc>
      </w:tr>
      <w:tr>
        <w:tc>
          <w:tcPr>
            <w:tcW w:type="dxa" w:w="3628"/>
          </w:tcPr>
          <w:p>
            <w:pPr>
              <w:spacing w:after="20"/>
            </w:pPr>
            <w:r>
              <w:rPr>
                <w:b/>
                <w:sz w:val="16"/>
              </w:rPr>
              <w:t>NP-PRIV-001 / -REM-001 / -NOTICE-001 / -AUDIT-001 / -ANALYSIS-002 / -003 / -KEYSPLIT-001</w:t>
            </w:r>
          </w:p>
        </w:tc>
        <w:tc>
          <w:tcPr>
            <w:tcW w:type="dxa" w:w="1814"/>
          </w:tcPr>
          <w:p>
            <w:pPr>
              <w:spacing w:after="20"/>
            </w:pPr>
            <w:r>
              <w:rPr>
                <w:b w:val="0"/>
                <w:sz w:val="16"/>
              </w:rPr>
              <w:t>various</w:t>
            </w:r>
          </w:p>
        </w:tc>
        <w:tc>
          <w:tcPr>
            <w:tcW w:type="dxa" w:w="4082"/>
          </w:tcPr>
          <w:p>
            <w:pPr>
              <w:spacing w:after="20"/>
            </w:pPr>
            <w:r>
              <w:rPr>
                <w:b w:val="0"/>
                <w:sz w:val="16"/>
              </w:rPr>
              <w:t>Privacy analysis, remediation, notice and audit</w:t>
            </w:r>
          </w:p>
        </w:tc>
      </w:tr>
      <w:tr>
        <w:tc>
          <w:tcPr>
            <w:tcW w:type="dxa" w:w="3628"/>
          </w:tcPr>
          <w:p>
            <w:pPr>
              <w:spacing w:after="20"/>
            </w:pPr>
            <w:r>
              <w:rPr>
                <w:b/>
                <w:sz w:val="16"/>
              </w:rPr>
              <w:t>NP-SEC-BR-001 / NP-PROC-POA-001 / NP-APP-TELEMETRY-001 / NP-LEGAL-BAA-001 / NP-IRB-001</w:t>
            </w:r>
          </w:p>
        </w:tc>
        <w:tc>
          <w:tcPr>
            <w:tcW w:type="dxa" w:w="1814"/>
          </w:tcPr>
          <w:p>
            <w:pPr>
              <w:spacing w:after="20"/>
            </w:pPr>
            <w:r>
              <w:rPr>
                <w:b w:val="0"/>
                <w:sz w:val="16"/>
              </w:rPr>
              <w:t>Rev 1–2</w:t>
            </w:r>
          </w:p>
        </w:tc>
        <w:tc>
          <w:tcPr>
            <w:tcW w:type="dxa" w:w="4082"/>
          </w:tcPr>
          <w:p>
            <w:pPr>
              <w:spacing w:after="20"/>
            </w:pPr>
            <w:r>
              <w:rPr>
                <w:b w:val="0"/>
                <w:sz w:val="16"/>
              </w:rPr>
              <w:t>Breach response, POA, telemetry, BAA, IRB</w:t>
            </w:r>
          </w:p>
        </w:tc>
      </w:tr>
      <w:tr>
        <w:tc>
          <w:tcPr>
            <w:tcW w:type="dxa" w:w="3628"/>
          </w:tcPr>
          <w:p>
            <w:pPr>
              <w:spacing w:after="20"/>
            </w:pPr>
            <w:r>
              <w:rPr>
                <w:b/>
                <w:sz w:val="16"/>
              </w:rPr>
              <w:t>NP-REG-CVNS-001 / NP-REG-PBM1064-001</w:t>
            </w:r>
          </w:p>
        </w:tc>
        <w:tc>
          <w:tcPr>
            <w:tcW w:type="dxa" w:w="1814"/>
          </w:tcPr>
          <w:p>
            <w:pPr>
              <w:spacing w:after="20"/>
            </w:pPr>
            <w:r>
              <w:rPr>
                <w:b w:val="0"/>
                <w:sz w:val="16"/>
              </w:rPr>
              <w:t>Rev 1</w:t>
            </w:r>
          </w:p>
        </w:tc>
        <w:tc>
          <w:tcPr>
            <w:tcW w:type="dxa" w:w="4082"/>
          </w:tcPr>
          <w:p>
            <w:pPr>
              <w:spacing w:after="20"/>
            </w:pPr>
            <w:r>
              <w:rPr>
                <w:b w:val="0"/>
                <w:sz w:val="16"/>
              </w:rPr>
              <w:t>510(k) Q-Sub; RISK-03 scope expansion</w:t>
            </w:r>
          </w:p>
        </w:tc>
      </w:tr>
      <w:tr>
        <w:tc>
          <w:tcPr>
            <w:tcW w:type="dxa" w:w="3628"/>
          </w:tcPr>
          <w:p>
            <w:pPr>
              <w:spacing w:after="20"/>
            </w:pPr>
            <w:r>
              <w:rPr>
                <w:b/>
                <w:sz w:val="16"/>
              </w:rPr>
              <w:t>NP-TOOL-SHELL-001 / -LENS-001 / -HUB-001 / -HEXTILE-001</w:t>
            </w:r>
          </w:p>
        </w:tc>
        <w:tc>
          <w:tcPr>
            <w:tcW w:type="dxa" w:w="1814"/>
          </w:tcPr>
          <w:p>
            <w:pPr>
              <w:spacing w:after="20"/>
            </w:pPr>
            <w:r>
              <w:rPr>
                <w:b w:val="0"/>
                <w:sz w:val="16"/>
              </w:rPr>
              <w:t>Rev 1–2</w:t>
            </w:r>
          </w:p>
        </w:tc>
        <w:tc>
          <w:tcPr>
            <w:tcW w:type="dxa" w:w="4082"/>
          </w:tcPr>
          <w:p>
            <w:pPr>
              <w:spacing w:after="20"/>
            </w:pPr>
            <w:r>
              <w:rPr>
                <w:b w:val="0"/>
                <w:sz w:val="16"/>
              </w:rPr>
              <w:t>Tooling specifications. NP-TOOL-ZM-001 and NP-TOOL-ZM-SM-001 retired to docs/superseded/; NP-TOOL-HEXTILE-001 is the hex-tile successor</w:t>
            </w:r>
          </w:p>
        </w:tc>
      </w:tr>
      <w:tr>
        <w:tc>
          <w:tcPr>
            <w:tcW w:type="dxa" w:w="3628"/>
          </w:tcPr>
          <w:p>
            <w:pPr>
              <w:spacing w:after="20"/>
            </w:pPr>
            <w:r>
              <w:rPr>
                <w:b/>
                <w:sz w:val="16"/>
              </w:rPr>
              <w:t>NP-PROC-SUP-001 / NP-PROC-FPC-001 / NP-PROC-FPC-1064-001</w:t>
            </w:r>
          </w:p>
        </w:tc>
        <w:tc>
          <w:tcPr>
            <w:tcW w:type="dxa" w:w="1814"/>
          </w:tcPr>
          <w:p>
            <w:pPr>
              <w:spacing w:after="20"/>
            </w:pPr>
            <w:r>
              <w:rPr>
                <w:b w:val="0"/>
                <w:sz w:val="16"/>
              </w:rPr>
              <w:t>Rev 1–2</w:t>
            </w:r>
          </w:p>
        </w:tc>
        <w:tc>
          <w:tcPr>
            <w:tcW w:type="dxa" w:w="4082"/>
          </w:tcPr>
          <w:p>
            <w:pPr>
              <w:spacing w:after="20"/>
            </w:pPr>
            <w:r>
              <w:rPr>
                <w:b w:val="0"/>
                <w:sz w:val="16"/>
              </w:rPr>
              <w:t>Supplier and FPC procurement</w:t>
            </w:r>
          </w:p>
        </w:tc>
      </w:tr>
      <w:tr>
        <w:tc>
          <w:tcPr>
            <w:tcW w:type="dxa" w:w="3628"/>
          </w:tcPr>
          <w:p>
            <w:pPr>
              <w:spacing w:after="20"/>
            </w:pPr>
            <w:r>
              <w:rPr>
                <w:b/>
                <w:sz w:val="16"/>
              </w:rPr>
              <w:t>NP-NPPS-REF-001</w:t>
            </w:r>
          </w:p>
        </w:tc>
        <w:tc>
          <w:tcPr>
            <w:tcW w:type="dxa" w:w="1814"/>
          </w:tcPr>
          <w:p>
            <w:pPr>
              <w:spacing w:after="20"/>
            </w:pPr>
            <w:r>
              <w:rPr>
                <w:b w:val="0"/>
                <w:sz w:val="16"/>
              </w:rPr>
              <w:t>Rev 2</w:t>
            </w:r>
          </w:p>
        </w:tc>
        <w:tc>
          <w:tcPr>
            <w:tcW w:type="dxa" w:w="4082"/>
          </w:tcPr>
          <w:p>
            <w:pPr>
              <w:spacing w:after="20"/>
            </w:pPr>
            <w:r>
              <w:rPr>
                <w:b w:val="0"/>
                <w:sz w:val="16"/>
              </w:rPr>
              <w:t>NPPS protocol scripting reference</w:t>
            </w:r>
          </w:p>
        </w:tc>
      </w:tr>
      <w:tr>
        <w:tc>
          <w:tcPr>
            <w:tcW w:type="dxa" w:w="3628"/>
          </w:tcPr>
          <w:p>
            <w:pPr>
              <w:spacing w:after="20"/>
            </w:pPr>
            <w:r>
              <w:rPr>
                <w:b/>
                <w:sz w:val="16"/>
              </w:rPr>
              <w:t>NP-ART-001 / NP-FAI-001 / NP-FAI-HUB-001 / NP-MOD-ID-001 / NP-REV-SHELL-001</w:t>
            </w:r>
          </w:p>
        </w:tc>
        <w:tc>
          <w:tcPr>
            <w:tcW w:type="dxa" w:w="1814"/>
          </w:tcPr>
          <w:p>
            <w:pPr>
              <w:spacing w:after="20"/>
            </w:pPr>
            <w:r>
              <w:rPr>
                <w:b w:val="0"/>
                <w:sz w:val="16"/>
              </w:rPr>
              <w:t>Rev 1</w:t>
            </w:r>
          </w:p>
        </w:tc>
        <w:tc>
          <w:tcPr>
            <w:tcW w:type="dxa" w:w="4082"/>
          </w:tcPr>
          <w:p>
            <w:pPr>
              <w:spacing w:after="20"/>
            </w:pPr>
            <w:r>
              <w:rPr>
                <w:b w:val="0"/>
                <w:sz w:val="16"/>
              </w:rPr>
              <w:t>Artifact register; FAI programme; hub FAI; module identity; shell design review — all authored after Revision 5</w:t>
            </w:r>
          </w:p>
        </w:tc>
      </w:tr>
      <w:tr>
        <w:tc>
          <w:tcPr>
            <w:tcW w:type="dxa" w:w="3628"/>
          </w:tcPr>
          <w:p>
            <w:pPr>
              <w:spacing w:after="20"/>
            </w:pPr>
            <w:r>
              <w:rPr>
                <w:b/>
                <w:sz w:val="16"/>
              </w:rPr>
              <w:t>NP-PWR-BUDGET-001 / NP-ENV-001 / NP-ENV-OPRANGE-001</w:t>
            </w:r>
          </w:p>
        </w:tc>
        <w:tc>
          <w:tcPr>
            <w:tcW w:type="dxa" w:w="1814"/>
          </w:tcPr>
          <w:p>
            <w:pPr>
              <w:spacing w:after="20"/>
            </w:pPr>
            <w:r>
              <w:rPr>
                <w:b w:val="0"/>
                <w:sz w:val="16"/>
              </w:rPr>
              <w:t>Rev 1</w:t>
            </w:r>
          </w:p>
        </w:tc>
        <w:tc>
          <w:tcPr>
            <w:tcW w:type="dxa" w:w="4082"/>
          </w:tcPr>
          <w:p>
            <w:pPr>
              <w:spacing w:after="20"/>
            </w:pPr>
            <w:r>
              <w:rPr>
                <w:b w:val="0"/>
                <w:sz w:val="16"/>
              </w:rPr>
              <w:t>Power budget; environmental and operating range</w:t>
            </w:r>
          </w:p>
        </w:tc>
      </w:tr>
      <w:tr>
        <w:tc>
          <w:tcPr>
            <w:tcW w:type="dxa" w:w="3628"/>
          </w:tcPr>
          <w:p>
            <w:pPr>
              <w:spacing w:after="20"/>
            </w:pPr>
            <w:r>
              <w:rPr>
                <w:b/>
                <w:sz w:val="16"/>
              </w:rPr>
              <w:t>NP-DP-001 / NP-DT-001 / NP-PMS-001</w:t>
            </w:r>
          </w:p>
        </w:tc>
        <w:tc>
          <w:tcPr>
            <w:tcW w:type="dxa" w:w="1814"/>
          </w:tcPr>
          <w:p>
            <w:pPr>
              <w:spacing w:after="20"/>
            </w:pPr>
            <w:r>
              <w:rPr>
                <w:b w:val="0"/>
                <w:sz w:val="16"/>
              </w:rPr>
              <w:t>Rev 1–2</w:t>
            </w:r>
          </w:p>
        </w:tc>
        <w:tc>
          <w:tcPr>
            <w:tcW w:type="dxa" w:w="4082"/>
          </w:tcPr>
          <w:p>
            <w:pPr>
              <w:spacing w:after="20"/>
            </w:pPr>
            <w:r>
              <w:rPr>
                <w:b w:val="0"/>
                <w:sz w:val="16"/>
              </w:rPr>
              <w:t>Design plan; input/output traceability (DI-SAFE-13); post-market surveillance</w:t>
            </w:r>
          </w:p>
        </w:tc>
      </w:tr>
    </w:tbl>
    <w:p>
      <w:pPr>
        <w:spacing w:after="40"/>
      </w:pPr>
    </w:p>
    <w:p/>
    <w:p>
      <w:pPr>
        <w:jc w:val="center"/>
      </w:pPr>
      <w:r>
        <w:rPr>
          <w:i/>
          <w:sz w:val="16"/>
        </w:rPr>
        <w:t>NP-DB-005 Rev 6  ·  2026-08-11  ·  Pre-tooling design phase  ·  Supersedes Rev 5  ·  Decisions marked "locked" have been through full design review; items marked OPEN require resolution before first tooling cut (docs/status/pending-decisions.md)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