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DocMind API Quotas and Rate Limiting Architecture</w:t>
      </w:r>
    </w:p>
    <w:p>
      <w:r>
        <w:t>To protect system stability and prevent denial-of-service starvation, DocMind enforces strict token-bucket rate limits.</w:t>
      </w:r>
    </w:p>
    <w:p>
      <w:pPr>
        <w:pStyle w:val="Heading1"/>
      </w:pPr>
      <w:r>
        <w:t>Tier Quotas in Requests Per Minute (RPM)</w:t>
      </w:r>
    </w:p>
    <w:p>
      <w:r>
        <w:t>1. Enterprise Tier: 5,000 requests per minute (RPM). Burst capacity up to 6,000 RPM for 10 seconds.</w:t>
      </w:r>
    </w:p>
    <w:p>
      <w:r>
        <w:t>2. Professional Tier: 1,200 requests per minute (RPM). Burst capacity up to 1,500 RPM.</w:t>
      </w:r>
    </w:p>
    <w:p>
      <w:r>
        <w:t>3. Starter Tier: 300 requests per minute (RPM).</w:t>
      </w:r>
    </w:p>
    <w:p>
      <w:r>
        <w:t>Requests exceeding these thresholds receive HTTP 429 Too Many Requests with a Retry-After header.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