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4"/>
          <w:szCs w:val="24"/>
        </w:rPr>
        <w:t xml:space="preserve">Universidad Peruana Los Andes (UPLA)</w:t>
      </w:r>
    </w:p>
    <w:p>
      <w:pPr>
        <w:spacing w:after="300"/>
        <w:jc w:val="center"/>
      </w:pPr>
      <w:r>
        <w:rPr>
          <w:i/>
          <w:iCs/>
          <w:sz w:val="22"/>
          <w:szCs w:val="22"/>
        </w:rPr>
        <w:t xml:space="preserve">Gerencia de Sistemas de Información</w:t>
      </w:r>
    </w:p>
    <w:p>
      <w:pPr>
        <w:spacing w:after="100"/>
        <w:jc w:val="center"/>
      </w:pPr>
      <w:r>
        <w:rPr>
          <w:b/>
          <w:bCs/>
          <w:color w:val="1F4E79"/>
          <w:sz w:val="30"/>
          <w:szCs w:val="30"/>
        </w:rPr>
        <w:t xml:space="preserve">CAPÍTULO 5</w:t>
      </w:r>
    </w:p>
    <w:p>
      <w:pPr>
        <w:spacing w:after="300"/>
        <w:jc w:val="center"/>
      </w:pPr>
      <w:r>
        <w:rPr>
          <w:b/>
          <w:bCs/>
          <w:sz w:val="26"/>
          <w:szCs w:val="26"/>
        </w:rPr>
        <w:t xml:space="preserve">Infraestructura de TI y tecnologías emergentes</w:t>
      </w:r>
    </w:p>
    <w:p>
      <w:pPr>
        <w:spacing w:after="40"/>
        <w:jc w:val="center"/>
      </w:pPr>
      <w:r>
        <w:rPr>
          <w:sz w:val="22"/>
          <w:szCs w:val="22"/>
        </w:rPr>
        <w:t xml:space="preserve">Alumno: Barreto Roncal, Steve</w:t>
      </w:r>
    </w:p>
    <w:p>
      <w:pPr>
        <w:pBdr>
          <w:bottom w:val="single" w:color="999999" w:sz="6" w:space="8"/>
        </w:pBdr>
        <w:spacing w:after="400"/>
        <w:jc w:val="center"/>
      </w:pPr>
      <w:r>
        <w:rPr>
          <w:i/>
          <w:iCs/>
          <w:sz w:val="20"/>
          <w:szCs w:val="20"/>
        </w:rPr>
        <w:t xml:space="preserve">Trabajo académico: Desarrollo, Resumen y Aplicación</w:t>
      </w:r>
    </w:p>
    <w:p>
      <w:pPr>
        <w:pStyle w:val="Heading1"/>
        <w:spacing w:after="150" w:before="200"/>
      </w:pPr>
      <w:r>
        <w:t xml:space="preserve">Introducción</w:t>
      </w:r>
    </w:p>
    <w:p>
      <w:pPr>
        <w:spacing w:after="200" w:line="400"/>
        <w:jc w:val="both"/>
      </w:pPr>
      <w:r>
        <w:rPr>
          <w:sz w:val="24"/>
          <w:szCs w:val="24"/>
        </w:rPr>
        <w:t xml:space="preserve">Toda aplicación de negocio, desde el sistema más simple hasta la plataforma empresarial más compleja, se apoya sobre una infraestructura de tecnología de la información compartida por toda la organización. Este capítulo examina la evolución de esta infraestructura, sus componentes principales y las tendencias tecnológicas emergentes —como la computación en la nube y la virtualización— que están redefiniendo la forma en que las organizaciones planifican sus inversiones tecnológicas.</w:t>
      </w:r>
    </w:p>
    <w:p>
      <w:pPr>
        <w:pStyle w:val="Heading1"/>
        <w:spacing w:after="150" w:before="300"/>
      </w:pPr>
      <w:r>
        <w:t xml:space="preserve">1. Desarrollo</w:t>
      </w:r>
    </w:p>
    <w:p>
      <w:pPr>
        <w:pStyle w:val="Heading2"/>
        <w:spacing w:after="120" w:before="200"/>
      </w:pPr>
      <w:r>
        <w:t xml:space="preserve">5.1 Definición y evolución de la infraestructura de TI</w:t>
      </w:r>
    </w:p>
    <w:p>
      <w:pPr>
        <w:spacing w:after="200" w:line="400"/>
        <w:jc w:val="both"/>
      </w:pPr>
      <w:r>
        <w:rPr>
          <w:sz w:val="24"/>
          <w:szCs w:val="24"/>
        </w:rPr>
        <w:t xml:space="preserve">La infraestructura de tecnología de la información comprende el conjunto de recursos tecnológicos compartidos que proporcionan la plataforma sobre la cual se construyen las aplicaciones específicas de negocio de una organización: hardware, software, servicios de datos, redes e instalaciones físicas, así como los servicios humanos requeridos para operarlos y administrarlos.</w:t>
      </w:r>
    </w:p>
    <w:p>
      <w:pPr>
        <w:spacing w:after="200" w:line="400"/>
        <w:jc w:val="both"/>
      </w:pPr>
      <w:r>
        <w:rPr>
          <w:sz w:val="24"/>
          <w:szCs w:val="24"/>
        </w:rPr>
        <w:t xml:space="preserve">La evolución histórica de esta infraestructura puede describirse en etapas sucesivas: desde los mainframes centralizados de las primeras décadas de la computación empresarial, pasando por la era de las computadoras personales y las redes cliente-servidor que descentralizaron el procesamiento, hasta la era actual de la computación empresarial basada en Internet, caracterizada por arquitecturas distribuidas, movilidad y, cada vez más, servicios entregados desde la nube en lugar de infraestructura física propia.</w:t>
      </w:r>
    </w:p>
    <w:p>
      <w:pPr>
        <w:pStyle w:val="Heading2"/>
        <w:spacing w:after="120" w:before="200"/>
      </w:pPr>
      <w:r>
        <w:t xml:space="preserve">5.2 Impulsores tecnológicos en la evolución de la infraestructura</w:t>
      </w:r>
    </w:p>
    <w:p>
      <w:pPr>
        <w:spacing w:after="200" w:line="400"/>
        <w:jc w:val="both"/>
      </w:pPr>
      <w:r>
        <w:rPr>
          <w:sz w:val="24"/>
          <w:szCs w:val="24"/>
        </w:rPr>
        <w:t xml:space="preserve">Distintas leyes y observaciones empíricas explican el ritmo acelerado de esta evolución. La Ley de Moore describe cómo la cantidad de componentes que pueden integrarse en un circuito de silicio se duplica aproximadamente cada dos años, mientras el costo por componente disminuye proporcionalmente, lo cual explica la caída constante en el precio del poder de cómputo. La Ley del almacenamiento digital masivo describe una tendencia similar para la capacidad de almacenamiento de datos, cuyo costo por unidad ha disminuido de forma exponencial durante décadas.</w:t>
      </w:r>
    </w:p>
    <w:p>
      <w:pPr>
        <w:spacing w:after="200" w:line="400"/>
        <w:jc w:val="both"/>
      </w:pPr>
      <w:r>
        <w:rPr>
          <w:sz w:val="24"/>
          <w:szCs w:val="24"/>
        </w:rPr>
        <w:t xml:space="preserve">La Ley de Metcalfe sostiene que el valor de una red aumenta de forma exponencial (no lineal) con el número de participantes conectados a ella, lo cual explica por qué las plataformas digitales y las redes sociales tienden a generar efectos de red tan poderosos. Finalmente, la disminución acelerada de los costos de comunicación, junto con la adopción de estándares tecnológicos universales (como TCP/IP para redes o USB para conexión de dispositivos), ha reducido drásticamente las barreras para que organizaciones de cualquier tamaño integren tecnología de distintos proveedores en una infraestructura coherente.</w:t>
      </w:r>
    </w:p>
    <w:p>
      <w:pPr>
        <w:pStyle w:val="Heading2"/>
        <w:spacing w:after="120" w:before="200"/>
      </w:pPr>
      <w:r>
        <w:t xml:space="preserve">5.3 Componentes de la infraestructura de TI</w:t>
      </w:r>
    </w:p>
    <w:p>
      <w:pPr>
        <w:spacing w:after="200" w:line="400"/>
        <w:jc w:val="both"/>
      </w:pPr>
      <w:r>
        <w:rPr>
          <w:sz w:val="24"/>
          <w:szCs w:val="24"/>
        </w:rPr>
        <w:t xml:space="preserve">Una infraestructura de TI moderna se compone de siete elementos interrelacionados. Las plataformas de hardware de cómputo incluyen los servidores, computadoras cliente y dispositivos móviles sobre los que corre el software. Las plataformas de sistemas operativos gestionan los recursos y actividades de estos equipos. Las aplicaciones de software empresarial (ERP, CRM, SCM) proporcionan las funcionalidades específicas requeridas por los procesos de negocio.</w:t>
      </w:r>
    </w:p>
    <w:p>
      <w:pPr>
        <w:spacing w:after="200" w:line="400"/>
        <w:jc w:val="both"/>
      </w:pPr>
      <w:r>
        <w:rPr>
          <w:sz w:val="24"/>
          <w:szCs w:val="24"/>
        </w:rPr>
        <w:t xml:space="preserve">La administración y almacenamiento de datos abarca el software de bases de datos y la infraestructura física de almacenamiento necesaria para gestionar los datos de la organización. Las plataformas de redes y telecomunicaciones proporcionan la conectividad de datos, voz y video, mientras que las plataformas de Internet incluyen el hardware, software y servicios de gestión necesarios para mantener la infraestructura relacionada con Internet de la empresa, como sus sitios web. Finalmente, los servicios de consultoría e integración de sistemas —ya sea internos o subcontratados— resultan indispensables para lograr que estos componentes, con frecuencia adquiridos de proveedores distintos, funcionen de manera coherente e integrada.</w:t>
      </w:r>
    </w:p>
    <w:p>
      <w:pPr>
        <w:pStyle w:val="Heading2"/>
        <w:spacing w:after="120" w:before="200"/>
      </w:pPr>
      <w:r>
        <w:t xml:space="preserve">5.4 Tendencias de las plataformas de hardware contemporáneas</w:t>
      </w:r>
    </w:p>
    <w:p>
      <w:pPr>
        <w:spacing w:after="200" w:line="400"/>
        <w:jc w:val="both"/>
      </w:pPr>
      <w:r>
        <w:rPr>
          <w:sz w:val="24"/>
          <w:szCs w:val="24"/>
        </w:rPr>
        <w:t xml:space="preserve">Diversas tendencias están transformando el panorama de hardware empresarial. La plataforma digital móvil emergente amplía el cómputo más allá del escritorio tradicional. La computación en malla (grid computing) conecta computadoras dispersas geográficamente en una única infraestructura de cómputo virtual, combinando su capacidad de procesamiento ociosa para resolver tareas complejas.</w:t>
      </w:r>
    </w:p>
    <w:p>
      <w:pPr>
        <w:spacing w:after="200" w:line="400"/>
        <w:jc w:val="both"/>
      </w:pPr>
      <w:r>
        <w:rPr>
          <w:sz w:val="24"/>
          <w:szCs w:val="24"/>
        </w:rPr>
        <w:t xml:space="preserve">La virtualización permite ejecutar múltiples sistemas operativos o instancias de aplicaciones sobre un único equipo físico, optimizando el uso de los recursos disponibles y reduciendo la cantidad de hardware físico necesario. La computación en la nube extiende este concepto al proveer recursos de cómputo (almacenamiento, procesamiento, software) como un servicio a través de Internet, permitiendo a las organizaciones escalar su capacidad de cómputo según la demanda real, sin necesidad de invertir en infraestructura física propia. Complementariamente, la computación verde busca minimizar el impacto ambiental del uso intensivo de tecnología, y la computación autonómica desarrolla sistemas capaces de configurarse, optimizarse y repararse a sí mismos con mínima intervención humana.</w:t>
      </w:r>
    </w:p>
    <w:p>
      <w:pPr>
        <w:pStyle w:val="Heading2"/>
        <w:spacing w:after="120" w:before="200"/>
      </w:pPr>
      <w:r>
        <w:t xml:space="preserve">5.5 Tendencias de las plataformas de software contemporáneas</w:t>
      </w:r>
    </w:p>
    <w:p>
      <w:pPr>
        <w:spacing w:after="200" w:line="400"/>
        <w:jc w:val="both"/>
      </w:pPr>
      <w:r>
        <w:rPr>
          <w:sz w:val="24"/>
          <w:szCs w:val="24"/>
        </w:rPr>
        <w:t xml:space="preserve">En el ámbito del software, el crecimiento de Linux y el software de código fuente abierto ha ofrecido a las organizaciones alternativas robustas y de menor costo frente al software propietario tradicional, apoyado por comunidades globales de desarrolladores que contribuyen y mejoran el código de forma colaborativa. Tecnologías orientadas a la web, como Java (que permite ejecutar el mismo código en distintas plataformas de hardware y sistema operativo) y Ajax (que permite crear páginas web más interactivas sin necesidad de recargar la página completa), han sido fundamentales para el desarrollo de aplicaciones empresariales modernas basadas en navegador.</w:t>
      </w:r>
    </w:p>
    <w:p>
      <w:pPr>
        <w:spacing w:after="200" w:line="400"/>
        <w:jc w:val="both"/>
      </w:pPr>
      <w:r>
        <w:rPr>
          <w:sz w:val="24"/>
          <w:szCs w:val="24"/>
        </w:rPr>
        <w:t xml:space="preserve">Los servicios web y la arquitectura orientada a servicios (SOA) permiten que distintas aplicaciones de software, incluso desarrolladas por proveedores diferentes, se comuniquen entre sí mediante estándares universales, facilitando la integración de sistemas heterogéneos sin necesidad de reescribir el código existente. Finalmente, el outsourcing de software y los servicios en la nube (incluyendo modelos como el software como servicio, SaaS) permiten a las organizaciones acceder a funcionalidades de software avanzadas mediante suscripción, reduciendo la necesidad de desarrollo interno y de mantenimiento de infraestructura propia.</w:t>
      </w:r>
    </w:p>
    <w:p>
      <w:pPr>
        <w:pStyle w:val="Heading2"/>
        <w:spacing w:after="120" w:before="200"/>
      </w:pPr>
      <w:r>
        <w:t xml:space="preserve">5.6 Aspectos gerenciales de la infraestructura de TI</w:t>
      </w:r>
    </w:p>
    <w:p>
      <w:pPr>
        <w:spacing w:after="200" w:line="400"/>
        <w:jc w:val="both"/>
      </w:pPr>
      <w:r>
        <w:rPr>
          <w:sz w:val="24"/>
          <w:szCs w:val="24"/>
        </w:rPr>
        <w:t xml:space="preserve">Gestionar una infraestructura de TI plantea desafíos gerenciales significativos más allá de los puramente técnicos. Lidiar con el cambio de plataforma e infraestructura requiere planificar cuidadosamente las transiciones tecnológicas para minimizar interrupciones del negocio, mientras que la gobernanza de TI define quién dentro de la organización tiene la autoridad para tomar decisiones sobre inversión, uso y estándares tecnológicos, un aspecto crítico cuando la infraestructura debe servir simultáneamente a múltiples unidades de negocio con necesidades distintas.</w:t>
      </w:r>
    </w:p>
    <w:p>
      <w:pPr>
        <w:spacing w:after="200" w:line="400"/>
        <w:jc w:val="both"/>
      </w:pPr>
      <w:r>
        <w:rPr>
          <w:sz w:val="24"/>
          <w:szCs w:val="24"/>
        </w:rPr>
        <w:t xml:space="preserve">Finalmente, realizar inversiones de infraestructura inteligentes exige evaluar cuidadosamente el costo total de propiedad (TCO) de cada alternativa tecnológica —que incluye no solo el costo de adquisición, sino también instalación, capacitación, soporte, mantenimiento y eventual reemplazo— en lugar de basar la decisión únicamente en el precio de compra inicial, un error común que suele subestimar significativamente el costo real de una inversión tecnológica a lo largo de su ciclo de vida.</w:t>
      </w:r>
    </w:p>
    <w:p>
      <w:pPr>
        <w:pStyle w:val="Heading1"/>
        <w:spacing w:after="150" w:before="300"/>
      </w:pPr>
      <w:r>
        <w:t xml:space="preserve">2. Resumen</w:t>
      </w:r>
    </w:p>
    <w:p>
      <w:pPr>
        <w:pStyle w:val="ListParagraph"/>
        <w:numPr>
          <w:ilvl w:val="0"/>
          <w:numId w:val="2"/>
        </w:numPr>
        <w:spacing w:after="140" w:line="400"/>
      </w:pPr>
      <w:r>
        <w:rPr>
          <w:sz w:val="24"/>
          <w:szCs w:val="24"/>
        </w:rPr>
        <w:t xml:space="preserve">La infraestructura de TI ha evolucionado desde los mainframes centralizados hasta la computación distribuida y basada en la nube actual.</w:t>
      </w:r>
    </w:p>
    <w:p>
      <w:pPr>
        <w:pStyle w:val="ListParagraph"/>
        <w:numPr>
          <w:ilvl w:val="0"/>
          <w:numId w:val="2"/>
        </w:numPr>
        <w:spacing w:after="140" w:line="400"/>
      </w:pPr>
      <w:r>
        <w:rPr>
          <w:sz w:val="24"/>
          <w:szCs w:val="24"/>
        </w:rPr>
        <w:t xml:space="preserve">Las leyes de Moore, del almacenamiento digital masivo y de Metcalfe explican el ritmo acelerado de esta evolución tecnológica.</w:t>
      </w:r>
    </w:p>
    <w:p>
      <w:pPr>
        <w:pStyle w:val="ListParagraph"/>
        <w:numPr>
          <w:ilvl w:val="0"/>
          <w:numId w:val="2"/>
        </w:numPr>
        <w:spacing w:after="140" w:line="400"/>
      </w:pPr>
      <w:r>
        <w:rPr>
          <w:sz w:val="24"/>
          <w:szCs w:val="24"/>
        </w:rPr>
        <w:t xml:space="preserve">Una infraestructura de TI moderna integra siete componentes: hardware, sistemas operativos, software empresarial, gestión de datos, redes, plataformas de Internet y servicios de integración.</w:t>
      </w:r>
    </w:p>
    <w:p>
      <w:pPr>
        <w:pStyle w:val="ListParagraph"/>
        <w:numPr>
          <w:ilvl w:val="0"/>
          <w:numId w:val="2"/>
        </w:numPr>
        <w:spacing w:after="140" w:line="400"/>
      </w:pPr>
      <w:r>
        <w:rPr>
          <w:sz w:val="24"/>
          <w:szCs w:val="24"/>
        </w:rPr>
        <w:t xml:space="preserve">La virtualización y la computación en la nube permiten un uso más flexible y escalable de los recursos de cómputo.</w:t>
      </w:r>
    </w:p>
    <w:p>
      <w:pPr>
        <w:pStyle w:val="ListParagraph"/>
        <w:numPr>
          <w:ilvl w:val="0"/>
          <w:numId w:val="2"/>
        </w:numPr>
        <w:spacing w:after="140" w:line="400"/>
      </w:pPr>
      <w:r>
        <w:rPr>
          <w:sz w:val="24"/>
          <w:szCs w:val="24"/>
        </w:rPr>
        <w:t xml:space="preserve">El software de código abierto, los servicios web y la arquitectura SOA facilitan la integración entre sistemas heterogéneos.</w:t>
      </w:r>
    </w:p>
    <w:p>
      <w:pPr>
        <w:pStyle w:val="ListParagraph"/>
        <w:numPr>
          <w:ilvl w:val="0"/>
          <w:numId w:val="2"/>
        </w:numPr>
        <w:spacing w:after="140" w:line="400"/>
      </w:pPr>
      <w:r>
        <w:rPr>
          <w:sz w:val="24"/>
          <w:szCs w:val="24"/>
        </w:rPr>
        <w:t xml:space="preserve">La gobernanza de TI y el análisis del costo total de propiedad son aspectos gerenciales clave para invertir de forma inteligente en infraestructura.</w:t>
      </w:r>
    </w:p>
    <w:p>
      <w:pPr>
        <w:pStyle w:val="Heading1"/>
        <w:spacing w:after="150" w:before="300"/>
      </w:pPr>
      <w:r>
        <w:t xml:space="preserve">3. Aplicación práctica</w:t>
      </w:r>
    </w:p>
    <w:p>
      <w:pPr>
        <w:pStyle w:val="Heading2"/>
        <w:spacing w:after="120"/>
      </w:pPr>
      <w:r>
        <w:t xml:space="preserve">Caso aplicado: decisiones de infraestructura para el despliegue de un sistema ERP en una pyme</w:t>
      </w:r>
    </w:p>
    <w:p>
      <w:pPr>
        <w:spacing w:after="200" w:line="400"/>
        <w:jc w:val="both"/>
      </w:pPr>
      <w:r>
        <w:rPr>
          <w:sz w:val="24"/>
          <w:szCs w:val="24"/>
        </w:rPr>
        <w:t xml:space="preserve">Retomando el sistema ERP y de inventario desarrollado en PHP/MVC con SQL Server, Bootstrap 5 y AJAX para una pequeña empresa, analicemos las decisiones de infraestructura que su implementación real exigiría. Aplicando el marco de componentes de infraestructura revisado en el capítulo, sería necesario definir la plataforma de hardware (¿un servidor físico propio o una instancia en la nube?), la plataforma de sistema operativo (Windows Server, dado que se utiliza SQL Server, aunque también sería viable evaluar alternativas), la administración de datos (el propio motor SQL Server, junto con una política de respaldo periódico) y la plataforma de red que garantizará el acceso concurrente de los usuarios del área de almacén, ventas y administración.</w:t>
      </w:r>
    </w:p>
    <w:p>
      <w:pPr>
        <w:spacing w:after="200" w:line="400"/>
        <w:jc w:val="both"/>
      </w:pPr>
      <w:r>
        <w:rPr>
          <w:sz w:val="24"/>
          <w:szCs w:val="24"/>
        </w:rPr>
        <w:t xml:space="preserve">Frente a la decisión de alojar el sistema en infraestructura física propia o en la nube, el análisis de costo total de propiedad resulta especialmente relevante para una pyme: mientras que un servidor propio implica una inversión inicial significativa en hardware, más los costos continuos de mantenimiento, energía y eventual obsolescencia, una solución en la nube convierte gran parte de ese costo en un gasto operativo mensual predecible, sin requerir personal técnico dedicado a la administración física del servidor, una consideración especialmente relevante cuando la empresa no cuenta con un área de TI robusta.</w:t>
      </w:r>
    </w:p>
    <w:p>
      <w:pPr>
        <w:spacing w:after="200" w:line="400"/>
        <w:jc w:val="both"/>
      </w:pPr>
      <w:r>
        <w:rPr>
          <w:sz w:val="24"/>
          <w:szCs w:val="24"/>
        </w:rPr>
        <w:t xml:space="preserve">El uso de Ajax en el frontend del sistema, mencionado explícitamente en el proyecto, es un ejemplo directo de una de las tendencias de plataformas de software revisadas en el capítulo: permite que los módulos de inventario y ventas se actualicen dinámicamente sin recargar la página completa, mejorando significativamente la experiencia del usuario final frente a una aplicación web tradicional basada únicamente en recarga de página completa.</w:t>
      </w:r>
    </w:p>
    <w:p>
      <w:pPr>
        <w:spacing w:after="200" w:line="400"/>
        <w:jc w:val="both"/>
      </w:pPr>
      <w:r>
        <w:rPr>
          <w:sz w:val="24"/>
          <w:szCs w:val="24"/>
        </w:rPr>
        <w:t xml:space="preserve">Finalmente, en términos de gobernanza, sería recomendable definir desde el inicio quién tendrá la autoridad para aprobar cambios futuros en el sistema (por ejemplo, la incorporación de un nuevo módulo de reportes o la integración con un sistema de facturación electrónica), evitando que decisiones técnicas importantes se tomen de manera improvisada a medida que la empresa crece y el sistema pasa de ser un proyecto inicial a una pieza crítica de la operación diaria del negocio.</w:t>
      </w:r>
    </w:p>
    <w:p>
      <w:pPr>
        <w:spacing w:after="120" w:before="100"/>
      </w:pPr>
      <w:r>
        <w:rPr>
          <w:b/>
          <w:bCs/>
          <w:sz w:val="24"/>
          <w:szCs w:val="24"/>
        </w:rPr>
        <w:t xml:space="preserve">Preguntas de reflexión:</w:t>
      </w:r>
    </w:p>
    <w:p>
      <w:pPr>
        <w:pStyle w:val="ListParagraph"/>
        <w:numPr>
          <w:ilvl w:val="0"/>
          <w:numId w:val="2"/>
        </w:numPr>
        <w:spacing w:after="140" w:line="400"/>
      </w:pPr>
      <w:r>
        <w:rPr>
          <w:sz w:val="24"/>
          <w:szCs w:val="24"/>
        </w:rPr>
        <w:t xml:space="preserve">¿Qué ventajas y desventajas tendría migrar este sistema ERP de un servidor físico propio a una infraestructura en la nube?</w:t>
      </w:r>
    </w:p>
    <w:p>
      <w:pPr>
        <w:pStyle w:val="ListParagraph"/>
        <w:numPr>
          <w:ilvl w:val="0"/>
          <w:numId w:val="2"/>
        </w:numPr>
        <w:spacing w:after="140" w:line="400"/>
      </w:pPr>
      <w:r>
        <w:rPr>
          <w:sz w:val="24"/>
          <w:szCs w:val="24"/>
        </w:rPr>
        <w:t xml:space="preserve">¿Qué elementos deberían incluirse en el cálculo del costo total de propiedad de este sistema durante sus primeros tres años de operación?</w:t>
      </w:r>
    </w:p>
    <w:p>
      <w:pPr>
        <w:pStyle w:val="ListParagraph"/>
        <w:numPr>
          <w:ilvl w:val="0"/>
          <w:numId w:val="2"/>
        </w:numPr>
        <w:spacing w:after="140" w:line="400"/>
      </w:pPr>
      <w:r>
        <w:rPr>
          <w:sz w:val="24"/>
          <w:szCs w:val="24"/>
        </w:rPr>
        <w:t xml:space="preserve">¿Cómo podría la arquitectura orientada a servicios facilitar una futura integración de este ERP con un sistema externo, como una pasarela de pagos o un sistema de facturación electrónica?</w:t>
      </w:r>
    </w:p>
    <w:p>
      <w:pPr>
        <w:pStyle w:val="Heading1"/>
        <w:spacing w:after="150" w:before="300"/>
      </w:pPr>
      <w:r>
        <w:t xml:space="preserve">4. Conclusión</w:t>
      </w:r>
    </w:p>
    <w:p>
      <w:pPr>
        <w:spacing w:after="200" w:line="400"/>
        <w:jc w:val="both"/>
      </w:pPr>
      <w:r>
        <w:rPr>
          <w:sz w:val="24"/>
          <w:szCs w:val="24"/>
        </w:rPr>
        <w:t xml:space="preserve">Las decisiones de infraestructura de TI —qué plataforma de hardware, qué modelo de despliegue, qué estrategia de gestión de datos— tienen un impacto directo y duradero sobre el costo, la escalabilidad y la confiabilidad de cualquier sistema de información, incluyendo los proyectos académicos que, como en el caso analizado, aspiran a convertirse en soluciones reales para pequeñas y medianas empresas. Comprender estos fundamentos prepara al futuro ingeniero de sistemas para tomar decisiones de infraestructura fundamentadas y no solo orientadas por la moda tecnológica del momento.</w:t>
      </w:r>
    </w:p>
    <w:p>
      <w:pPr>
        <w:pStyle w:val="Heading1"/>
        <w:spacing w:after="150" w:before="300"/>
      </w:pPr>
      <w:r>
        <w:t xml:space="preserve">Referencia</w:t>
      </w:r>
    </w:p>
    <w:p>
      <w:pPr>
        <w:spacing w:after="100"/>
      </w:pPr>
      <w:r>
        <w:rPr>
          <w:i/>
          <w:iCs/>
          <w:sz w:val="24"/>
          <w:szCs w:val="24"/>
        </w:rPr>
        <w:t xml:space="preserve">Laudon, K. C., &amp; Laudon, J. P. (2012). Sistemas de información gerencial (12.ª ed.). Pearson Educación.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Capítulo 5 — Barreto Roncal, Steve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2026-07-21T00:04:01.741Z</dcterms:created>
  <dcterms:modified xsi:type="dcterms:W3CDTF">2026-07-21T00:04:01.741Z</dcterms:modified>
</cp:coreProperties>
</file>

<file path=docProps/custom.xml><?xml version="1.0" encoding="utf-8"?>
<Properties xmlns="http://schemas.openxmlformats.org/officeDocument/2006/custom-properties" xmlns:vt="http://schemas.openxmlformats.org/officeDocument/2006/docPropsVTypes"/>
</file>