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24"/>
          <w:szCs w:val="24"/>
        </w:rPr>
        <w:t xml:space="preserve">Universidad Peruana Los Andes (UPLA)</w:t>
      </w:r>
    </w:p>
    <w:p>
      <w:pPr>
        <w:spacing w:after="300"/>
        <w:jc w:val="center"/>
      </w:pPr>
      <w:r>
        <w:rPr>
          <w:i/>
          <w:iCs/>
          <w:sz w:val="22"/>
          <w:szCs w:val="22"/>
        </w:rPr>
        <w:t xml:space="preserve">Gerencia de Sistemas de Información</w:t>
      </w:r>
    </w:p>
    <w:p>
      <w:pPr>
        <w:spacing w:after="100"/>
        <w:jc w:val="center"/>
      </w:pPr>
      <w:r>
        <w:rPr>
          <w:b/>
          <w:bCs/>
          <w:color w:val="1F4E79"/>
          <w:sz w:val="30"/>
          <w:szCs w:val="30"/>
        </w:rPr>
        <w:t xml:space="preserve">CAPÍTULO 11</w:t>
      </w:r>
    </w:p>
    <w:p>
      <w:pPr>
        <w:spacing w:after="300"/>
        <w:jc w:val="center"/>
      </w:pPr>
      <w:r>
        <w:rPr>
          <w:b/>
          <w:bCs/>
          <w:sz w:val="26"/>
          <w:szCs w:val="26"/>
        </w:rPr>
        <w:t xml:space="preserve">Administración del conocimiento</w:t>
      </w:r>
    </w:p>
    <w:p>
      <w:pPr>
        <w:spacing w:after="40"/>
        <w:jc w:val="center"/>
      </w:pPr>
      <w:r>
        <w:rPr>
          <w:sz w:val="22"/>
          <w:szCs w:val="22"/>
        </w:rPr>
        <w:t xml:space="preserve">Alumno: Barreto Roncal, Steve</w:t>
      </w:r>
    </w:p>
    <w:p>
      <w:pPr>
        <w:pBdr>
          <w:bottom w:val="single" w:color="999999" w:sz="6" w:space="8"/>
        </w:pBdr>
        <w:spacing w:after="400"/>
        <w:jc w:val="center"/>
      </w:pPr>
      <w:r>
        <w:rPr>
          <w:i/>
          <w:iCs/>
          <w:sz w:val="20"/>
          <w:szCs w:val="20"/>
        </w:rPr>
        <w:t xml:space="preserve">Trabajo académico: Desarrollo, Resumen y Aplicación</w:t>
      </w:r>
    </w:p>
    <w:p>
      <w:pPr>
        <w:pStyle w:val="Heading1"/>
        <w:spacing w:after="150" w:before="200"/>
      </w:pPr>
      <w:r>
        <w:t xml:space="preserve">Introducción</w:t>
      </w:r>
    </w:p>
    <w:p>
      <w:pPr>
        <w:spacing w:after="200" w:line="400"/>
        <w:jc w:val="both"/>
      </w:pPr>
      <w:r>
        <w:rPr>
          <w:sz w:val="24"/>
          <w:szCs w:val="24"/>
        </w:rPr>
        <w:t xml:space="preserve">El conocimiento que reside en una organización —en la experiencia de sus colaboradores, en sus procesos documentados y en sus datos históricos— constituye un activo estratégico. Este capítulo aborda cómo los sistemas de administración del conocimiento capturan, organizan, distribuyen y aplican este activo para mejorar el desempeño organizacional.</w:t>
      </w:r>
    </w:p>
    <w:p>
      <w:pPr>
        <w:pStyle w:val="Heading1"/>
        <w:spacing w:after="150" w:before="300"/>
      </w:pPr>
      <w:r>
        <w:t xml:space="preserve">1. Desarrollo</w:t>
      </w:r>
    </w:p>
    <w:p>
      <w:pPr>
        <w:pStyle w:val="Heading2"/>
        <w:spacing w:after="120" w:before="200"/>
      </w:pPr>
      <w:r>
        <w:t xml:space="preserve">11.1 Dimensiones del conocimiento y su cadena de valor</w:t>
      </w:r>
    </w:p>
    <w:p>
      <w:pPr>
        <w:spacing w:after="200" w:line="400"/>
        <w:jc w:val="both"/>
      </w:pPr>
      <w:r>
        <w:rPr>
          <w:sz w:val="24"/>
          <w:szCs w:val="24"/>
        </w:rPr>
        <w:t xml:space="preserve">El conocimiento se distingue de los datos y la información por su nivel de elaboración: los datos son hechos en bruto, la información son datos organizados con un significado, y el conocimiento es la comprensión que permite aplicar esa información a la acción. Una distinción fundamental es la que existe entre el conocimiento tácito, que reside en la experiencia y la intuición de las personas y resulta difícil de documentar por escrito, y el conocimiento explícito, que ya ha sido codificado en documentos, manuales o bases de datos y, por tanto, es más fácil de compartir.</w:t>
      </w:r>
    </w:p>
    <w:p>
      <w:pPr>
        <w:spacing w:after="200" w:line="400"/>
        <w:jc w:val="both"/>
      </w:pPr>
      <w:r>
        <w:rPr>
          <w:sz w:val="24"/>
          <w:szCs w:val="24"/>
        </w:rPr>
        <w:t xml:space="preserve">La cadena de valor de la administración del conocimiento describe el proceso mediante el cual el conocimiento se adquiere (capturándolo de fuentes internas y externas), se almacena y organiza (en repositorios accesibles), se disemina (llega a quienes lo necesitan en el momento oportuno) y finalmente se aplica en la práctica organizacional, generando valor tangible.</w:t>
      </w:r>
    </w:p>
    <w:p>
      <w:pPr>
        <w:pStyle w:val="Heading2"/>
        <w:spacing w:after="120" w:before="200"/>
      </w:pPr>
      <w:r>
        <w:t xml:space="preserve">11.2 Sistemas de administración del conocimiento a nivel empresarial</w:t>
      </w:r>
    </w:p>
    <w:p>
      <w:pPr>
        <w:spacing w:after="200" w:line="400"/>
        <w:jc w:val="both"/>
      </w:pPr>
      <w:r>
        <w:rPr>
          <w:sz w:val="24"/>
          <w:szCs w:val="24"/>
        </w:rPr>
        <w:t xml:space="preserve">A nivel de toda la organización, los sistemas de administración de contenido empresarial permiten capturar, almacenar y organizar documentos, imágenes y otros archivos no estructurados, facilitando su recuperación posterior mediante mecanismos de búsqueda y clasificación. Los sistemas de redes de conocimiento, por su parte, ayudan a localizar a los expertos internos sobre un tema específico, funcionando como un directorio de competencias. Las herramientas de colaboración (wikis, espacios de trabajo compartido) y los sistemas de administración del aprendizaje complementan este ecosistema, facilitando la capacitación continua del personal.</w:t>
      </w:r>
    </w:p>
    <w:p>
      <w:pPr>
        <w:pStyle w:val="Heading2"/>
        <w:spacing w:after="120" w:before="200"/>
      </w:pPr>
      <w:r>
        <w:t xml:space="preserve">11.3 Sistemas de trabajo del conocimiento</w:t>
      </w:r>
    </w:p>
    <w:p>
      <w:pPr>
        <w:spacing w:after="200" w:line="400"/>
        <w:jc w:val="both"/>
      </w:pPr>
      <w:r>
        <w:rPr>
          <w:sz w:val="24"/>
          <w:szCs w:val="24"/>
        </w:rPr>
        <w:t xml:space="preserve">Los trabajadores del conocimiento (investigadores, ingenieros, diseñadores) requieren herramientas especializadas —estaciones de trabajo potentes, software de diseño asistido por computadora (CAD), sistemas de realidad virtual y aumentada— que apoyen específicamente las tareas de creación de nuevo conocimiento, en contraste con las herramientas de oficina de propósito general utilizadas por el resto del personal.</w:t>
      </w:r>
    </w:p>
    <w:p>
      <w:pPr>
        <w:pStyle w:val="Heading2"/>
        <w:spacing w:after="120" w:before="200"/>
      </w:pPr>
      <w:r>
        <w:t xml:space="preserve">11.4 Técnicas inteligentes</w:t>
      </w:r>
    </w:p>
    <w:p>
      <w:pPr>
        <w:spacing w:after="200" w:line="400"/>
        <w:jc w:val="both"/>
      </w:pPr>
      <w:r>
        <w:rPr>
          <w:sz w:val="24"/>
          <w:szCs w:val="24"/>
        </w:rPr>
        <w:t xml:space="preserve">Diversas técnicas de inteligencia artificial complementan la administración del conocimiento. Los sistemas expertos capturan el conocimiento de especialistas humanos en un dominio limitado, codificándolo en un conjunto de reglas 'si-entonces' que un motor de inferencia utiliza para emular el razonamiento del experto. El razonamiento basado en casos resuelve nuevos problemas comparándolos con casos previamente documentados y sus soluciones.</w:t>
      </w:r>
    </w:p>
    <w:p>
      <w:pPr>
        <w:spacing w:after="200" w:line="400"/>
        <w:jc w:val="both"/>
      </w:pPr>
      <w:r>
        <w:rPr>
          <w:sz w:val="24"/>
          <w:szCs w:val="24"/>
        </w:rPr>
        <w:t xml:space="preserve">La lógica difusa permite modelar conceptos imprecisos del lenguaje humano (como 'caliente' o 'rápido') en reglas que un sistema puede procesar, mientras que las redes neuronales, inspiradas en el funcionamiento del cerebro humano, son capaces de reconocer patrones complejos en grandes volúmenes de datos, y los algoritmos genéticos aplican principios de evolución (selección, mutación, cruce) para encontrar soluciones óptimas a problemas de optimización complejos. Finalmente, los agentes inteligentes son programas capaces de actuar de forma autónoma en nombre de un usuario, realizando tareas repetitivas o predecibles, como comparar precios entre proveedores.</w:t>
      </w:r>
    </w:p>
    <w:p>
      <w:pPr>
        <w:pStyle w:val="Heading2"/>
        <w:spacing w:after="120" w:before="200"/>
      </w:pPr>
      <w:r>
        <w:t xml:space="preserve">11.5 Desafíos en la implementación de sistemas de administración del conocimiento</w:t>
      </w:r>
    </w:p>
    <w:p>
      <w:pPr>
        <w:spacing w:after="200" w:line="400"/>
        <w:jc w:val="both"/>
      </w:pPr>
      <w:r>
        <w:rPr>
          <w:sz w:val="24"/>
          <w:szCs w:val="24"/>
        </w:rPr>
        <w:t xml:space="preserve">Uno de los mayores obstáculos para la administración del conocimiento no es tecnológico sino cultural: muchas personas perciben su conocimiento especializado como una fuente de valor individual y pueden mostrarse reacias a compartirlo abiertamente si la organización no genera incentivos claros para hacerlo.</w:t>
      </w:r>
    </w:p>
    <w:p>
      <w:pPr>
        <w:spacing w:after="200" w:line="400"/>
        <w:jc w:val="both"/>
      </w:pPr>
      <w:r>
        <w:rPr>
          <w:sz w:val="24"/>
          <w:szCs w:val="24"/>
        </w:rPr>
        <w:t xml:space="preserve">Por ello, la implementación exitosa de estos sistemas requiere acompañar la tecnología con políticas de reconocimiento, tiempo protegido para la documentación de buenas prácticas y un liderazgo que modele activamente la cultura de compartir conocimiento, en lugar de asumir que el software por sí solo resolverá el problema.</w:t>
      </w:r>
    </w:p>
    <w:p>
      <w:pPr>
        <w:pStyle w:val="Heading1"/>
        <w:spacing w:after="150" w:before="300"/>
      </w:pPr>
      <w:r>
        <w:t xml:space="preserve">2. Resumen</w:t>
      </w:r>
    </w:p>
    <w:p>
      <w:pPr>
        <w:pStyle w:val="ListParagraph"/>
        <w:numPr>
          <w:ilvl w:val="0"/>
          <w:numId w:val="2"/>
        </w:numPr>
        <w:spacing w:after="140" w:line="400"/>
      </w:pPr>
      <w:r>
        <w:rPr>
          <w:sz w:val="24"/>
          <w:szCs w:val="24"/>
        </w:rPr>
        <w:t xml:space="preserve">El conocimiento tácito y el explícito requieren estrategias distintas de captura y difusión.</w:t>
      </w:r>
    </w:p>
    <w:p>
      <w:pPr>
        <w:pStyle w:val="ListParagraph"/>
        <w:numPr>
          <w:ilvl w:val="0"/>
          <w:numId w:val="2"/>
        </w:numPr>
        <w:spacing w:after="140" w:line="400"/>
      </w:pPr>
      <w:r>
        <w:rPr>
          <w:sz w:val="24"/>
          <w:szCs w:val="24"/>
        </w:rPr>
        <w:t xml:space="preserve">La cadena de valor de la administración del conocimiento comprende adquisición, almacenamiento, diseminación y aplicación.</w:t>
      </w:r>
    </w:p>
    <w:p>
      <w:pPr>
        <w:pStyle w:val="ListParagraph"/>
        <w:numPr>
          <w:ilvl w:val="0"/>
          <w:numId w:val="2"/>
        </w:numPr>
        <w:spacing w:after="140" w:line="400"/>
      </w:pPr>
      <w:r>
        <w:rPr>
          <w:sz w:val="24"/>
          <w:szCs w:val="24"/>
        </w:rPr>
        <w:t xml:space="preserve">Los sistemas de administración de contenido y las redes de conocimiento organizan el saber a nivel empresarial.</w:t>
      </w:r>
    </w:p>
    <w:p>
      <w:pPr>
        <w:pStyle w:val="ListParagraph"/>
        <w:numPr>
          <w:ilvl w:val="0"/>
          <w:numId w:val="2"/>
        </w:numPr>
        <w:spacing w:after="140" w:line="400"/>
      </w:pPr>
      <w:r>
        <w:rPr>
          <w:sz w:val="24"/>
          <w:szCs w:val="24"/>
        </w:rPr>
        <w:t xml:space="preserve">Los trabajadores del conocimiento requieren herramientas especializadas distintas a las de oficina convencional.</w:t>
      </w:r>
    </w:p>
    <w:p>
      <w:pPr>
        <w:pStyle w:val="ListParagraph"/>
        <w:numPr>
          <w:ilvl w:val="0"/>
          <w:numId w:val="2"/>
        </w:numPr>
        <w:spacing w:after="140" w:line="400"/>
      </w:pPr>
      <w:r>
        <w:rPr>
          <w:sz w:val="24"/>
          <w:szCs w:val="24"/>
        </w:rPr>
        <w:t xml:space="preserve">Las técnicas inteligentes (sistemas expertos, lógica difusa, redes neuronales, algoritmos genéticos, agentes inteligentes) automatizan y potencian distintos aspectos del manejo del conocimiento.</w:t>
      </w:r>
    </w:p>
    <w:p>
      <w:pPr>
        <w:pStyle w:val="Heading1"/>
        <w:spacing w:after="150" w:before="300"/>
      </w:pPr>
      <w:r>
        <w:t xml:space="preserve">3. Aplicación práctica</w:t>
      </w:r>
    </w:p>
    <w:p>
      <w:pPr>
        <w:pStyle w:val="Heading2"/>
        <w:spacing w:after="120"/>
      </w:pPr>
      <w:r>
        <w:t xml:space="preserve">Caso aplicado: sistema de gestión del conocimiento para una institución educativa</w:t>
      </w:r>
    </w:p>
    <w:p>
      <w:pPr>
        <w:spacing w:after="200" w:line="400"/>
        <w:jc w:val="both"/>
      </w:pPr>
      <w:r>
        <w:rPr>
          <w:sz w:val="24"/>
          <w:szCs w:val="24"/>
        </w:rPr>
        <w:t xml:space="preserve">Consideremos el caso de una universidad donde gran parte del conocimiento sobre metodologías de enseñanza efectivas, criterios de evaluación y soluciones a problemas administrativos recurrentes reside únicamente en la experiencia de los docentes y coordinadores con más años de trayectoria (conocimiento tácito), sin que exista un mecanismo formal para capturarlo antes de que estas personas se jubilen o cambien de institución.</w:t>
      </w:r>
    </w:p>
    <w:p>
      <w:pPr>
        <w:spacing w:after="200" w:line="400"/>
        <w:jc w:val="both"/>
      </w:pPr>
      <w:r>
        <w:rPr>
          <w:sz w:val="24"/>
          <w:szCs w:val="24"/>
        </w:rPr>
        <w:t xml:space="preserve">Aplicando la cadena de valor de administración del conocimiento, se propondría, en la etapa de adquisición, realizar entrevistas y talleres con los docentes senior para documentar buenas prácticas y casos de éxito; en la etapa de almacenamiento, crear un repositorio institucional (un sistema de administración de contenido) organizado por curso y competencia; en la etapa de diseminación, integrar este repositorio con la plataforma virtual de aprendizaje para que los nuevos docentes accedan a él como parte de su inducción; y en la etapa de aplicación, fomentar comunidades de práctica donde los docentes compartan experiencias de forma continua.</w:t>
      </w:r>
    </w:p>
    <w:p>
      <w:pPr>
        <w:spacing w:after="200" w:line="400"/>
        <w:jc w:val="both"/>
      </w:pPr>
      <w:r>
        <w:rPr>
          <w:sz w:val="24"/>
          <w:szCs w:val="24"/>
        </w:rPr>
        <w:t xml:space="preserve">Adicionalmente, podría implementarse una red de conocimiento (un directorio de expertos) que permita a cualquier docente identificar rápidamente a quién consultar sobre un tema específico (por ejemplo, evaluación por competencias o uso de una herramienta tecnológica particular), convirtiendo el conocimiento disperso de la institución en un recurso accesible y estructurado.</w:t>
      </w:r>
    </w:p>
    <w:p>
      <w:pPr>
        <w:spacing w:after="200" w:line="400"/>
        <w:jc w:val="both"/>
      </w:pPr>
      <w:r>
        <w:rPr>
          <w:sz w:val="24"/>
          <w:szCs w:val="24"/>
        </w:rPr>
        <w:t xml:space="preserve">Para asegurar la sostenibilidad de esta iniciativa en el tiempo, se recomienda incorporar la actualización del repositorio como parte de las actividades formalmente reconocidas dentro de la carga docente, y no como una tarea adicional no remunerada; de lo contrario, es probable que el sistema se llene de contenido inicial durante el lanzamiento del proyecto, pero quede desactualizado pocos meses después, un riesgo común en este tipo de iniciativas cuando no se gestionan como un proceso permanente.</w:t>
      </w:r>
    </w:p>
    <w:p>
      <w:pPr>
        <w:spacing w:after="120" w:before="100"/>
      </w:pPr>
      <w:r>
        <w:rPr>
          <w:b/>
          <w:bCs/>
          <w:sz w:val="24"/>
          <w:szCs w:val="24"/>
        </w:rPr>
        <w:t xml:space="preserve">Preguntas de reflexión:</w:t>
      </w:r>
    </w:p>
    <w:p>
      <w:pPr>
        <w:pStyle w:val="ListParagraph"/>
        <w:numPr>
          <w:ilvl w:val="0"/>
          <w:numId w:val="2"/>
        </w:numPr>
        <w:spacing w:after="140" w:line="400"/>
      </w:pPr>
      <w:r>
        <w:rPr>
          <w:sz w:val="24"/>
          <w:szCs w:val="24"/>
        </w:rPr>
        <w:t xml:space="preserve">¿Qué riesgos enfrenta la institución si no formaliza la captura del conocimiento tácito de sus docentes más experimentados?</w:t>
      </w:r>
    </w:p>
    <w:p>
      <w:pPr>
        <w:pStyle w:val="ListParagraph"/>
        <w:numPr>
          <w:ilvl w:val="0"/>
          <w:numId w:val="2"/>
        </w:numPr>
        <w:spacing w:after="140" w:line="400"/>
      </w:pPr>
      <w:r>
        <w:rPr>
          <w:sz w:val="24"/>
          <w:szCs w:val="24"/>
        </w:rPr>
        <w:t xml:space="preserve">¿Qué herramienta de colaboración sería más adecuada para mantener actualizado este repositorio de buenas prácticas?</w:t>
      </w:r>
    </w:p>
    <w:p>
      <w:pPr>
        <w:pStyle w:val="ListParagraph"/>
        <w:numPr>
          <w:ilvl w:val="0"/>
          <w:numId w:val="2"/>
        </w:numPr>
        <w:spacing w:after="140" w:line="400"/>
      </w:pPr>
      <w:r>
        <w:rPr>
          <w:sz w:val="24"/>
          <w:szCs w:val="24"/>
        </w:rPr>
        <w:t xml:space="preserve">¿Cómo podría un sistema experto simple apoyar a los nuevos docentes en la resolución de problemas frecuentes de aula?</w:t>
      </w:r>
    </w:p>
    <w:p>
      <w:pPr>
        <w:pStyle w:val="Heading1"/>
        <w:spacing w:after="150" w:before="300"/>
      </w:pPr>
      <w:r>
        <w:t xml:space="preserve">4. Conclusión</w:t>
      </w:r>
    </w:p>
    <w:p>
      <w:pPr>
        <w:spacing w:after="200" w:line="400"/>
        <w:jc w:val="both"/>
      </w:pPr>
      <w:r>
        <w:rPr>
          <w:sz w:val="24"/>
          <w:szCs w:val="24"/>
        </w:rPr>
        <w:t xml:space="preserve">El conocimiento organizacional, especialmente el de naturaleza tácita, es un activo frágil que puede perderse fácilmente si no se gestiona de manera deliberada. Los sistemas y técnicas revisados en este capítulo —desde los repositorios de contenido hasta las técnicas inteligentes— ofrecen herramientas concretas para capturar, preservar y aprovechar ese conocimiento, convirtiéndolo en una ventaja competitiva sostenible para la organización.</w:t>
      </w:r>
    </w:p>
    <w:p>
      <w:pPr>
        <w:pStyle w:val="Heading1"/>
        <w:spacing w:after="150" w:before="300"/>
      </w:pPr>
      <w:r>
        <w:t xml:space="preserve">Referencia</w:t>
      </w:r>
    </w:p>
    <w:p>
      <w:pPr>
        <w:spacing w:after="100"/>
      </w:pPr>
      <w:r>
        <w:rPr>
          <w:i/>
          <w:iCs/>
          <w:sz w:val="24"/>
          <w:szCs w:val="24"/>
        </w:rPr>
        <w:t xml:space="preserve">Laudon, K. C., &amp; Laudon, J. P. (2012). Sistemas de información gerencial (12.ª ed.). Pearson Educación.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Capítulo 11 — Barreto Roncal, Steve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2026-07-18T17:54:15.104Z</dcterms:created>
  <dcterms:modified xsi:type="dcterms:W3CDTF">2026-07-18T17:54:15.104Z</dcterms:modified>
</cp:coreProperties>
</file>

<file path=docProps/custom.xml><?xml version="1.0" encoding="utf-8"?>
<Properties xmlns="http://schemas.openxmlformats.org/officeDocument/2006/custom-properties" xmlns:vt="http://schemas.openxmlformats.org/officeDocument/2006/docPropsVTypes"/>
</file>