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SEMANA 15 - CARLOS JOSÉ TORRE GARCÍA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180975</wp:posOffset>
            </wp:positionV>
            <wp:extent cx="5731200" cy="1371600"/>
            <wp:effectExtent b="0" l="0" r="0" t="0"/>
            <wp:wrapNone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EJEMPLOS DE ACTIVITY MONITOR: Consultas que consumen más CPU: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371475</wp:posOffset>
            </wp:positionV>
            <wp:extent cx="5731200" cy="2895600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EJEMPLOS DE QUERY STORE: Top 10 Consultas por Duración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257530</wp:posOffset>
            </wp:positionV>
            <wp:extent cx="6677025" cy="289560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731200" cy="1803400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Identificar Consultas que Consumen Más CPU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371475</wp:posOffset>
            </wp:positionV>
            <wp:extent cx="6608043" cy="3852863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043" cy="385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114300</wp:posOffset>
            </wp:positionV>
            <wp:extent cx="5731200" cy="1130300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de la actividad en tiempo real: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246143</wp:posOffset>
            </wp:positionV>
            <wp:extent cx="5731200" cy="3390900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67300" cy="962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Performance Monitor (PerfMon) para Monitorear SQL Server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481901" cy="2795588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01" cy="279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3686175</wp:posOffset>
            </wp:positionV>
            <wp:extent cx="5731200" cy="1130300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aplicando Query execution time: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114300</wp:posOffset>
            </wp:positionV>
            <wp:extent cx="4933950" cy="214312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DE BUSCAR BLOQUEOS Y DEADLOCKS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4841694" cy="3045228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694" cy="3045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