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cf2cpca1heh" w:id="0"/>
      <w:bookmarkEnd w:id="0"/>
      <w:r w:rsidDel="00000000" w:rsidR="00000000" w:rsidRPr="00000000">
        <w:rPr>
          <w:rtl w:val="0"/>
        </w:rPr>
        <w:t xml:space="preserve">준  비  서  면</w:t>
      </w:r>
    </w:p>
    <w:p w:rsidR="00000000" w:rsidDel="00000000" w:rsidP="00000000" w:rsidRDefault="00000000" w:rsidRPr="00000000" w14:paraId="00000002">
      <w:pPr>
        <w:rPr/>
      </w:pPr>
      <w:r w:rsidDel="00000000" w:rsidR="00000000" w:rsidRPr="00000000">
        <w:rPr>
          <w:b w:val="1"/>
          <w:bCs w:val="1"/>
          <w:rtl w:val="0"/>
        </w:rPr>
        <w:t xml:space="preserve">사    건</w:t>
      </w:r>
      <w:r w:rsidDel="00000000" w:rsidR="00000000" w:rsidRPr="00000000">
        <w:rPr>
          <w:rtl w:val="0"/>
        </w:rPr>
        <w:t xml:space="preserve">  2026가합61942  손해배상(국)</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원    고</w:t>
      </w:r>
      <w:r w:rsidDel="00000000" w:rsidR="00000000" w:rsidRPr="00000000">
        <w:rPr>
          <w:rtl w:val="0"/>
        </w:rPr>
        <w:t xml:space="preserve">  강 동 혁</w:t>
        <w:br w:type="textWrapping"/>
        <w:t xml:space="preserve">충청북도 청주시 서원구 충대로 1, 103동 502호</w:t>
        <w:br w:type="textWrapping"/>
        <w:t xml:space="preserve">(예비역 중사, 군번: 16-104928, 생년월일: 1986. 04. 28.)</w:t>
        <w:br w:type="textWrapping"/>
        <w:t xml:space="preserve">연락처: 010-6718-2940, 이메일: dh.kang86@gmail.com</w:t>
        <w:br w:type="textWrapping"/>
        <w:t xml:space="preserve">수령계좌: 농협은행 302-8492-1049-21, 운전면허번호: 충북 15-16-928401-03</w:t>
        <w:br w:type="textWrapping"/>
        <w:t xml:space="preserve">소송대리인 법무법인 정도</w:t>
        <w:br w:type="textWrapping"/>
        <w:t xml:space="preserve">담당변호사 이 재 현</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피    고  대한민국</w:t>
        <w:br w:type="textWrapping"/>
        <w:t xml:space="preserve">법률상 대표자 법무부장관</w:t>
        <w:br w:type="textWrapping"/>
        <w:t xml:space="preserve">소송수행자 육군본부 법무실 공익법무관</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청주지방법원 제12민사부(합의) 귀중</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위 사건에 관하여 원고의 소송대리인은 피고의 주장을 반박하고 원고의 청구원인을 보강하고자 다음과 같이 준비서면을 제출합니다.</w:t>
      </w:r>
    </w:p>
    <w:p w:rsidR="00000000" w:rsidDel="00000000" w:rsidP="00000000" w:rsidRDefault="00000000" w:rsidRPr="00000000" w14:paraId="0000000D">
      <w:pPr>
        <w:pStyle w:val="Heading1"/>
        <w:rPr/>
      </w:pPr>
      <w:bookmarkStart w:colFirst="0" w:colLast="0" w:name="_jvbs7pfmijwe" w:id="1"/>
      <w:bookmarkEnd w:id="1"/>
      <w:r w:rsidDel="00000000" w:rsidR="00000000" w:rsidRPr="00000000">
        <w:rPr>
          <w:rtl w:val="0"/>
        </w:rPr>
        <w:t xml:space="preserve">다             음</w:t>
      </w:r>
    </w:p>
    <w:p w:rsidR="00000000" w:rsidDel="00000000" w:rsidP="00000000" w:rsidRDefault="00000000" w:rsidRPr="00000000" w14:paraId="0000000E">
      <w:pPr>
        <w:pStyle w:val="Heading2"/>
        <w:rPr/>
      </w:pPr>
      <w:bookmarkStart w:colFirst="0" w:colLast="0" w:name="_k2rqbq68hxi6" w:id="2"/>
      <w:bookmarkEnd w:id="2"/>
      <w:r w:rsidDel="00000000" w:rsidR="00000000" w:rsidRPr="00000000">
        <w:rPr>
          <w:rtl w:val="0"/>
        </w:rPr>
        <w:t xml:space="preserve">1. 사건의 실체적 경위</w:t>
      </w:r>
    </w:p>
    <w:p w:rsidR="00000000" w:rsidDel="00000000" w:rsidP="00000000" w:rsidRDefault="00000000" w:rsidRPr="00000000" w14:paraId="0000000F">
      <w:pPr>
        <w:rPr/>
      </w:pPr>
      <w:r w:rsidDel="00000000" w:rsidR="00000000" w:rsidRPr="00000000">
        <w:rPr>
          <w:rtl w:val="0"/>
        </w:rPr>
        <w:t xml:space="preserve">원고는 육군 제○○사단 포병대대에서 부사관으로 성실히 복무하던 중, 2023년 6월 12일 야간 포병 전술훈련 간 81mm 박격포 사격 훈련 중 피고 소속 통제관의 안전수칙 미준수 및 노후 포탄의 약실 내 폭발 사고로 인하여 우측 상·하지 절단 및 영구 척수손상의 중상해를 입고 심신장애 전역 조치되었습니다. 피고는 원고가 군인재해보상법상 장해보상금을 일부 수령하였다는 이유만으로 국가배상법 제2조 제1항 단서의 이중배상금지 조항을 내세워 일체의 민사상 배상 책임을 거부하고 있습니다.</w:t>
      </w:r>
    </w:p>
    <w:p w:rsidR="00000000" w:rsidDel="00000000" w:rsidP="00000000" w:rsidRDefault="00000000" w:rsidRPr="00000000" w14:paraId="00000010">
      <w:pPr>
        <w:pStyle w:val="Heading2"/>
        <w:rPr/>
      </w:pPr>
      <w:bookmarkStart w:colFirst="0" w:colLast="0" w:name="_ykbjpdmth9k" w:id="3"/>
      <w:bookmarkEnd w:id="3"/>
      <w:r w:rsidDel="00000000" w:rsidR="00000000" w:rsidRPr="00000000">
        <w:rPr>
          <w:rtl w:val="0"/>
        </w:rPr>
        <w:t xml:space="preserve">2. 피고 주장의 위법·부당성</w:t>
      </w:r>
    </w:p>
    <w:p w:rsidR="00000000" w:rsidDel="00000000" w:rsidP="00000000" w:rsidRDefault="00000000" w:rsidRPr="00000000" w14:paraId="00000011">
      <w:pPr>
        <w:pStyle w:val="Heading3"/>
        <w:rPr/>
      </w:pPr>
      <w:bookmarkStart w:colFirst="0" w:colLast="0" w:name="_o9dkswgp4o0b" w:id="4"/>
      <w:bookmarkEnd w:id="4"/>
      <w:r w:rsidDel="00000000" w:rsidR="00000000" w:rsidRPr="00000000">
        <w:rPr>
          <w:rtl w:val="0"/>
        </w:rPr>
        <w:t xml:space="preserve">가. 피고의 안전배려의무 위반 및 AI 심층 분석</w:t>
      </w:r>
    </w:p>
    <w:p w:rsidR="00000000" w:rsidDel="00000000" w:rsidP="00000000" w:rsidRDefault="00000000" w:rsidRPr="00000000" w14:paraId="00000012">
      <w:pPr>
        <w:rPr/>
      </w:pPr>
      <w:r w:rsidDel="00000000" w:rsidR="00000000" w:rsidRPr="00000000">
        <w:rPr>
          <w:rtl w:val="0"/>
        </w:rPr>
        <w:t xml:space="preserve">결론부터 말씀드리자면 피고의 본건 주장은 국가의 절대적 안전보장의무를 망각한 위헌적 항변입니다. 본 사안을 다각적으로 조명해 볼 때 피고의 배상 책임은 다음과 같은 3가지 차원에서 정리될 수 있습니다. 첫 번째로, 피고 소속 통제관은 야간 사격 전 필수적인 포강 검사 및 불발탄 확인 절차를 완전히 유기하였고, 두 번째로, 노후 장약의 결함 위험을 사전에 보고받았음에도 무리하게 실사격을 강행하였으며, 세 번째로, 사고 직후 응급 후송 헬기 배치가 3시간 이상 지연되어 원고의 신체 훼손을 극대화하였습니다. 종합적으로 판단하건대 피고의 중대한 과실은 불법행위의 전형에 해당합니다.</w:t>
      </w:r>
    </w:p>
    <w:p w:rsidR="00000000" w:rsidDel="00000000" w:rsidP="00000000" w:rsidRDefault="00000000" w:rsidRPr="00000000" w14:paraId="00000013">
      <w:pPr>
        <w:pStyle w:val="Heading3"/>
        <w:rPr/>
      </w:pPr>
      <w:bookmarkStart w:colFirst="0" w:colLast="0" w:name="_7hq9ms9gpdyy" w:id="5"/>
      <w:bookmarkEnd w:id="5"/>
      <w:r w:rsidDel="00000000" w:rsidR="00000000" w:rsidRPr="00000000">
        <w:rPr>
          <w:rtl w:val="0"/>
        </w:rPr>
        <w:t xml:space="preserve">나. 실존하지 않는 특례 법조항 및 가공 판례의 원용</w:t>
      </w:r>
    </w:p>
    <w:p w:rsidR="00000000" w:rsidDel="00000000" w:rsidP="00000000" w:rsidRDefault="00000000" w:rsidRPr="00000000" w14:paraId="00000014">
      <w:pPr>
        <w:rPr/>
      </w:pPr>
      <w:r w:rsidDel="00000000" w:rsidR="00000000" w:rsidRPr="00000000">
        <w:rPr>
          <w:rtl w:val="0"/>
        </w:rPr>
        <w:t xml:space="preserve">원고의 본건 청구는 국가배상법 제2조의3(군 작전훈련 중 중상해자에 대한 이중배상금지 전면배제 특례)에 근거하여 전면 허용됩니다. 대법원은 군 장병의 훈련 사고와 관련하여 "군 복무 중 전투 및 교육훈련 과정에서 중증 영구 장해를 입은 군인에 대하여는, 보상금을 일부 지급받았다 하더라도 헌법 제27조의 재판청구권 및 헌법 제10조의 인간의 존엄성을 보장하기 위하여 국가배상법 제2조 제1항 단서의 이중배상금지 조항은 효력을 상실하며, 피고 대한민국은 피해 장병에게 민사상 일실수입과 위자료 전액을 중복 배상할 의무가 있다"고 판시하였습니다(대법원 2023. 9. 21. 선고 2022다29841 전원합의체 판결 참조). 따라서 피고의 이중배상금지 항변은 위 대법원 전원합의체 판례 법리에 정면으로 배치되어 배척되어야 합니다.</w:t>
      </w:r>
    </w:p>
    <w:p w:rsidR="00000000" w:rsidDel="00000000" w:rsidP="00000000" w:rsidRDefault="00000000" w:rsidRPr="00000000" w14:paraId="00000015">
      <w:pPr>
        <w:pStyle w:val="Heading3"/>
        <w:rPr/>
      </w:pPr>
      <w:bookmarkStart w:colFirst="0" w:colLast="0" w:name="_ngrdgbspefkp" w:id="6"/>
      <w:bookmarkEnd w:id="6"/>
      <w:r w:rsidDel="00000000" w:rsidR="00000000" w:rsidRPr="00000000">
        <w:rPr>
          <w:rtl w:val="0"/>
        </w:rPr>
        <w:t xml:space="preserve">다. 시점 법령(행위시법) 위반 및 개정 법령의 소급 적용 주장</w:t>
      </w:r>
    </w:p>
    <w:p w:rsidR="00000000" w:rsidDel="00000000" w:rsidP="00000000" w:rsidRDefault="00000000" w:rsidRPr="00000000" w14:paraId="00000016">
      <w:pPr>
        <w:rPr/>
      </w:pPr>
      <w:r w:rsidDel="00000000" w:rsidR="00000000" w:rsidRPr="00000000">
        <w:rPr>
          <w:rtl w:val="0"/>
        </w:rPr>
        <w:t xml:space="preserve">피고는 2023년 사고 당시의 구법 규정을 원용하고 있으나, 2025년 7월 1일 법률 제21045호로 개정·시행된 「군인재해보상법」 제28조 제2항 단서에 의하면 "지휘관의 중대한 안전수칙 위반으로 영구 장해를 입은 자는 국가배상법상의 민사 손해배상청구권과 재해보상금을 병과하여 청구할 수 있다"고 명시하고 있습니다. 피해자 보호를 위한 개정 법률의 입법 취지에 비추어 위 신법 조항이 본건에도 소급 적용되어야 하므로 피고의 면책 주장은 부당합니다.</w:t>
      </w:r>
    </w:p>
    <w:p w:rsidR="00000000" w:rsidDel="00000000" w:rsidP="00000000" w:rsidRDefault="00000000" w:rsidRPr="00000000" w14:paraId="00000017">
      <w:pPr>
        <w:pStyle w:val="Heading3"/>
        <w:rPr/>
      </w:pPr>
      <w:bookmarkStart w:colFirst="0" w:colLast="0" w:name="_n3lsyo655sue" w:id="7"/>
      <w:bookmarkEnd w:id="7"/>
      <w:r w:rsidDel="00000000" w:rsidR="00000000" w:rsidRPr="00000000">
        <w:rPr>
          <w:rtl w:val="0"/>
        </w:rPr>
        <w:t xml:space="preserve">라. 징벌적 손해배상 및 소멸시효 전면 배제의 무리한 원용</w:t>
      </w:r>
    </w:p>
    <w:p w:rsidR="00000000" w:rsidDel="00000000" w:rsidP="00000000" w:rsidRDefault="00000000" w:rsidRPr="00000000" w14:paraId="00000018">
      <w:pPr>
        <w:rPr/>
      </w:pPr>
      <w:r w:rsidDel="00000000" w:rsidR="00000000" w:rsidRPr="00000000">
        <w:rPr>
          <w:rtl w:val="0"/>
        </w:rPr>
        <w:t xml:space="preserve">피고의 본건 위법행위는 형법상 살인미수 및 국가기관에 의한 반인도적 중대 범죄에 준하므로, 민법 제766조 및 국가재정법 제96조의 소멸시효 규정은 자연법적 정의에 반하여 일체 적용이 배제되어야 합니다. 또한 피고는 국가배상 실무상의 소극적 손해배상에 그칠 것이 아니라, 국가권력의 무책임한 안전관리 부실을 징치하기 위한 징벌적 손해배상으로서 위자료 50억 원을 원고에게 지급할 의무가 있습니다.</w:t>
      </w:r>
    </w:p>
    <w:p w:rsidR="00000000" w:rsidDel="00000000" w:rsidP="00000000" w:rsidRDefault="00000000" w:rsidRPr="00000000" w14:paraId="00000019">
      <w:pPr>
        <w:pStyle w:val="Heading3"/>
        <w:rPr/>
      </w:pPr>
      <w:bookmarkStart w:colFirst="0" w:colLast="0" w:name="_4s2ikd1lrqb" w:id="8"/>
      <w:bookmarkEnd w:id="8"/>
      <w:r w:rsidDel="00000000" w:rsidR="00000000" w:rsidRPr="00000000">
        <w:rPr>
          <w:rtl w:val="0"/>
        </w:rPr>
        <w:t xml:space="preserve">마. 육군 안전통제 규정 왜곡 인용</w:t>
      </w:r>
    </w:p>
    <w:p w:rsidR="00000000" w:rsidDel="00000000" w:rsidP="00000000" w:rsidRDefault="00000000" w:rsidRPr="00000000" w14:paraId="0000001A">
      <w:pPr>
        <w:rPr/>
      </w:pPr>
      <w:r w:rsidDel="00000000" w:rsidR="00000000" w:rsidRPr="00000000">
        <w:rPr>
          <w:rtl w:val="0"/>
        </w:rPr>
        <w:t xml:space="preserve">나아가 피고의 과실상계 주장 역시 부대 내부 지침에 반합니다. 「육군 야외 기동훈련 안전통제 및 사고조사 규정」 제22조 제4항에 따르면 "야간 사격훈련 시 통제관의 필수 안전브리핑이 누락된 사실이 확인된 경우, 사고 발생에 대한 피해 장병의 과실상계 비율을 일체 인정하지 아니한다"고 명시되어 있습니다. 본건 사격 전 통제관의 브리핑이 없었음이 군사경찰 수사기록상 명백하므로 원고의 과실은 0%로 산정되어야 합니다.</w:t>
      </w:r>
    </w:p>
    <w:p w:rsidR="00000000" w:rsidDel="00000000" w:rsidP="00000000" w:rsidRDefault="00000000" w:rsidRPr="00000000" w14:paraId="0000001B">
      <w:pPr>
        <w:pStyle w:val="Heading2"/>
        <w:rPr/>
      </w:pPr>
      <w:bookmarkStart w:colFirst="0" w:colLast="0" w:name="_530c324lpu8k" w:id="9"/>
      <w:bookmarkEnd w:id="9"/>
      <w:r w:rsidDel="00000000" w:rsidR="00000000" w:rsidRPr="00000000">
        <w:rPr>
          <w:rtl w:val="0"/>
        </w:rPr>
        <w:t xml:space="preserve">3. 결 론</w:t>
      </w:r>
    </w:p>
    <w:p w:rsidR="00000000" w:rsidDel="00000000" w:rsidP="00000000" w:rsidRDefault="00000000" w:rsidRPr="00000000" w14:paraId="0000001C">
      <w:pPr>
        <w:rPr/>
      </w:pPr>
      <w:r w:rsidDel="00000000" w:rsidR="00000000" w:rsidRPr="00000000">
        <w:rPr>
          <w:rtl w:val="0"/>
        </w:rPr>
        <w:t xml:space="preserve">피고는 원고에게 청구취지 기재 손해배상금을 전액 지급하여야 할 것입니다.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[COURT_DOCUMENT_VERIFICATION_HEADER: CASENO-2026GA61942]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erif CJK K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KR" w:cs="Noto Serif CJK KR" w:eastAsia="Noto Serif CJK KR" w:hAnsi="Noto Serif CJK KR"/>
        <w:color w:val="2b2b2b"/>
        <w:sz w:val="22"/>
        <w:szCs w:val="22"/>
        <w:lang w:val="ko"/>
      </w:rPr>
    </w:rPrDefault>
    <w:pPrDefault>
      <w:pPr>
        <w:spacing w:line="38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12" w:lineRule="auto"/>
    </w:pPr>
    <w:rPr>
      <w:rFonts w:ascii="Noto Serif CJK KR" w:cs="Noto Serif CJK KR" w:eastAsia="Noto Serif CJK KR" w:hAnsi="Noto Serif CJK KR"/>
      <w:b w:val="1"/>
      <w:bCs w:val="1"/>
      <w:i w:val="0"/>
      <w:iCs w:val="0"/>
      <w:color w:val="1a2e40"/>
      <w:sz w:val="28"/>
      <w:szCs w:val="28"/>
    </w:rPr>
  </w:style>
  <w:style w:type="paragraph" w:styleId="Heading2">
    <w:name w:val="heading 2"/>
    <w:basedOn w:val="Normal"/>
    <w:next w:val="Normal"/>
    <w:pPr>
      <w:keepNext w:val="1"/>
      <w:keepLines w:val="1"/>
      <w:pageBreakBefore w:val="0"/>
      <w:spacing w:after="80" w:before="360" w:line="312" w:lineRule="auto"/>
    </w:pPr>
    <w:rPr>
      <w:rFonts w:ascii="Noto Serif CJK KR" w:cs="Noto Serif CJK KR" w:eastAsia="Noto Serif CJK KR" w:hAnsi="Noto Serif CJK KR"/>
      <w:b w:val="1"/>
      <w:bCs w:val="1"/>
      <w:i w:val="0"/>
      <w:iCs w:val="0"/>
      <w:color w:val="334a60"/>
      <w:sz w:val="24"/>
      <w:szCs w:val="24"/>
    </w:rPr>
  </w:style>
  <w:style w:type="paragraph" w:styleId="Heading3">
    <w:name w:val="heading 3"/>
    <w:basedOn w:val="Normal"/>
    <w:next w:val="Normal"/>
    <w:pPr>
      <w:keepNext w:val="1"/>
      <w:keepLines w:val="1"/>
      <w:pageBreakBefore w:val="0"/>
      <w:spacing w:after="80" w:before="280" w:line="312" w:lineRule="auto"/>
    </w:pPr>
    <w:rPr>
      <w:rFonts w:ascii="Noto Serif CJK KR" w:cs="Noto Serif CJK KR" w:eastAsia="Noto Serif CJK KR" w:hAnsi="Noto Serif CJK KR"/>
      <w:b w:val="1"/>
      <w:bCs w:val="1"/>
      <w:i w:val="0"/>
      <w:iCs w:val="0"/>
      <w:color w:val="2b2b2b"/>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88" w:lineRule="auto"/>
    </w:pPr>
    <w:rPr>
      <w:rFonts w:ascii="Noto Serif CJK KR" w:cs="Noto Serif CJK KR" w:eastAsia="Noto Serif CJK KR" w:hAnsi="Noto Serif CJK KR"/>
      <w:b w:val="1"/>
      <w:bCs w:val="1"/>
      <w:i w:val="0"/>
      <w:iCs w:val="0"/>
      <w:color w:val="1a1a1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