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center"/>
        <w:rPr/>
      </w:pPr>
      <w:r>
        <w:rPr/>
        <w:t>AI Questions and Answers</w:t>
      </w:r>
    </w:p>
    <w:p>
      <w:pPr>
        <w:pStyle w:val="Heading1"/>
        <w:rPr/>
      </w:pPr>
      <w:r>
        <w:rPr/>
        <w:t>I already know that the catechism of the catholic church is broken out by 4 pillars.  However, there seem to be major themes that span these pillars that can be represented by terms such as the paschal mystery, covenant, the kingdom of God, and beatitude.  Can you identify other similar themes of the same categories?</w:t>
      </w:r>
    </w:p>
    <w:p>
      <w:pPr>
        <w:pStyle w:val="TextBody"/>
        <w:bidi w:val="0"/>
        <w:spacing w:before="0" w:after="0"/>
        <w:ind w:left="0" w:right="0" w:hanging="0"/>
        <w:jc w:val="left"/>
        <w:rPr/>
      </w:pPr>
      <w:r>
        <w:rPr/>
      </w:r>
    </w:p>
    <w:p>
      <w:pPr>
        <w:pStyle w:val="TextBody"/>
        <w:bidi w:val="0"/>
        <w:spacing w:before="0" w:after="0"/>
        <w:ind w:left="0" w:right="0" w:hanging="0"/>
        <w:jc w:val="left"/>
        <w:rPr/>
      </w:pPr>
      <w:r>
        <w:rPr/>
        <w:t>Certainly! The Catechism of the Catholic Church is a comprehensive guide to the Catholic faith, and there are many themes that span the four pillars. Here are some additional themes that you might find interesting: </w:t>
      </w:r>
    </w:p>
    <w:p>
      <w:pPr>
        <w:pStyle w:val="TextBody"/>
        <w:numPr>
          <w:ilvl w:val="0"/>
          <w:numId w:val="2"/>
        </w:numPr>
        <w:tabs>
          <w:tab w:val="clear" w:pos="1134"/>
          <w:tab w:val="left" w:pos="360" w:leader="none"/>
        </w:tabs>
        <w:bidi w:val="0"/>
        <w:spacing w:before="0" w:after="0"/>
        <w:ind w:left="360" w:right="0" w:hanging="283"/>
        <w:jc w:val="left"/>
        <w:rPr/>
      </w:pPr>
      <w:r>
        <w:rPr/>
        <w:t xml:space="preserve">Grace: The unmerited gift of God's love and favor, which is freely given to us and enables us to live a life of faith and holiness </w:t>
      </w:r>
      <w:hyperlink r:id="rId2" w:tgtFrame="_blank">
        <w:r>
          <w:rPr>
            <w:rStyle w:val="InternetLink"/>
          </w:rPr>
          <w:t>1</w:t>
        </w:r>
      </w:hyperlink>
      <w:r>
        <w:rPr/>
        <w:t>. </w:t>
      </w:r>
    </w:p>
    <w:p>
      <w:pPr>
        <w:pStyle w:val="TextBody"/>
        <w:numPr>
          <w:ilvl w:val="0"/>
          <w:numId w:val="2"/>
        </w:numPr>
        <w:tabs>
          <w:tab w:val="clear" w:pos="1134"/>
          <w:tab w:val="left" w:pos="360" w:leader="none"/>
        </w:tabs>
        <w:bidi w:val="0"/>
        <w:spacing w:before="0" w:after="0"/>
        <w:ind w:left="360" w:right="0" w:hanging="283"/>
        <w:jc w:val="left"/>
        <w:rPr/>
      </w:pPr>
      <w:r>
        <w:rPr/>
        <w:t xml:space="preserve">The Holy Spirit: The third person of the Trinity, who is present and active in the life of the Church and in the lives of individual believers </w:t>
      </w:r>
      <w:hyperlink r:id="rId3" w:tgtFrame="_blank">
        <w:r>
          <w:rPr>
            <w:rStyle w:val="InternetLink"/>
          </w:rPr>
          <w:t>1</w:t>
        </w:r>
      </w:hyperlink>
      <w:r>
        <w:rPr/>
        <w:t>. </w:t>
      </w:r>
    </w:p>
    <w:p>
      <w:pPr>
        <w:pStyle w:val="TextBody"/>
        <w:numPr>
          <w:ilvl w:val="0"/>
          <w:numId w:val="2"/>
        </w:numPr>
        <w:tabs>
          <w:tab w:val="clear" w:pos="1134"/>
          <w:tab w:val="left" w:pos="360" w:leader="none"/>
        </w:tabs>
        <w:bidi w:val="0"/>
        <w:spacing w:before="0" w:after="0"/>
        <w:ind w:left="360" w:right="0" w:hanging="283"/>
        <w:jc w:val="left"/>
        <w:rPr/>
      </w:pPr>
      <w:r>
        <w:rPr/>
        <w:t xml:space="preserve">The Communion of Saints: The spiritual union of all the faithful, both living and dead, who are united in Christ and share in his life and grace </w:t>
      </w:r>
      <w:hyperlink r:id="rId4" w:tgtFrame="_blank">
        <w:r>
          <w:rPr>
            <w:rStyle w:val="InternetLink"/>
          </w:rPr>
          <w:t>1</w:t>
        </w:r>
      </w:hyperlink>
      <w:r>
        <w:rPr/>
        <w:t>. </w:t>
      </w:r>
    </w:p>
    <w:p>
      <w:pPr>
        <w:pStyle w:val="TextBody"/>
        <w:numPr>
          <w:ilvl w:val="0"/>
          <w:numId w:val="2"/>
        </w:numPr>
        <w:tabs>
          <w:tab w:val="clear" w:pos="1134"/>
          <w:tab w:val="left" w:pos="360" w:leader="none"/>
        </w:tabs>
        <w:bidi w:val="0"/>
        <w:spacing w:before="0" w:after="0"/>
        <w:ind w:left="360" w:right="0" w:hanging="283"/>
        <w:jc w:val="left"/>
        <w:rPr/>
      </w:pPr>
      <w:r>
        <w:rPr/>
        <w:t xml:space="preserve">The Resurrection of the Body: The belief that at the end of time, all people will be raised from the dead and reunited with their bodies, which will be transformed and glorified </w:t>
      </w:r>
      <w:hyperlink r:id="rId5" w:tgtFrame="_blank">
        <w:r>
          <w:rPr>
            <w:rStyle w:val="InternetLink"/>
          </w:rPr>
          <w:t>1</w:t>
        </w:r>
      </w:hyperlink>
      <w:r>
        <w:rPr/>
        <w:t>. </w:t>
      </w:r>
    </w:p>
    <w:p>
      <w:pPr>
        <w:pStyle w:val="TextBody"/>
        <w:numPr>
          <w:ilvl w:val="0"/>
          <w:numId w:val="2"/>
        </w:numPr>
        <w:tabs>
          <w:tab w:val="clear" w:pos="1134"/>
          <w:tab w:val="left" w:pos="360" w:leader="none"/>
        </w:tabs>
        <w:bidi w:val="0"/>
        <w:spacing w:before="0" w:after="0"/>
        <w:ind w:left="360" w:right="0" w:hanging="283"/>
        <w:jc w:val="left"/>
        <w:rPr/>
      </w:pPr>
      <w:r>
        <w:rPr/>
        <w:t xml:space="preserve">The Social Teaching of the Church: The principles and values that guide the Church's approach to social and political issues, such as human dignity, the common good, solidarity, and subsidiarity </w:t>
      </w:r>
      <w:hyperlink r:id="rId6" w:tgtFrame="_blank">
        <w:r>
          <w:rPr>
            <w:rStyle w:val="InternetLink"/>
          </w:rPr>
          <w:t>2</w:t>
        </w:r>
      </w:hyperlink>
      <w:r>
        <w:rPr/>
        <w:t>. </w:t>
      </w:r>
    </w:p>
    <w:p>
      <w:pPr>
        <w:pStyle w:val="TextBody"/>
        <w:bidi w:val="0"/>
        <w:spacing w:before="0" w:after="0"/>
        <w:ind w:left="0" w:right="0" w:hanging="0"/>
        <w:jc w:val="left"/>
        <w:rPr/>
      </w:pPr>
      <w:r>
        <w:rPr/>
        <w:t>I hope this helps! Let me know if you have any other questions. </w:t>
      </w:r>
    </w:p>
    <w:p>
      <w:pPr>
        <w:pStyle w:val="TextBody"/>
        <w:bidi w:val="0"/>
        <w:spacing w:before="0" w:after="0"/>
        <w:ind w:left="0" w:right="0" w:hanging="0"/>
        <w:jc w:val="left"/>
        <w:rPr/>
      </w:pPr>
      <w:r>
        <w:rPr/>
        <w:t>Source(s) </w:t>
      </w:r>
    </w:p>
    <w:p>
      <w:pPr>
        <w:pStyle w:val="TextBody"/>
        <w:bidi w:val="0"/>
        <w:spacing w:before="0" w:after="0"/>
        <w:ind w:left="0" w:right="0" w:hanging="0"/>
        <w:jc w:val="left"/>
        <w:rPr/>
      </w:pPr>
      <w:r>
        <w:rPr/>
        <w:t xml:space="preserve">1. </w:t>
      </w:r>
      <w:hyperlink r:id="rId7" w:tgtFrame="_blank">
        <w:r>
          <w:rPr>
            <w:rStyle w:val="InternetLink"/>
          </w:rPr>
          <w:t>The Four Pillars of the Catechism of the Catholic Church</w:t>
        </w:r>
      </w:hyperlink>
      <w:r>
        <w:rPr/>
        <w:t> </w:t>
      </w:r>
    </w:p>
    <w:p>
      <w:pPr>
        <w:pStyle w:val="TextBody"/>
        <w:bidi w:val="0"/>
        <w:spacing w:before="0" w:after="0"/>
        <w:ind w:left="0" w:right="0" w:hanging="0"/>
        <w:jc w:val="left"/>
        <w:rPr/>
      </w:pPr>
      <w:r>
        <w:rPr/>
        <w:t xml:space="preserve">2. </w:t>
      </w:r>
      <w:hyperlink r:id="rId8" w:tgtFrame="_blank">
        <w:r>
          <w:rPr>
            <w:rStyle w:val="InternetLink"/>
          </w:rPr>
          <w:t>What are the 4 pillars of the church? - Catholic Church</w:t>
        </w:r>
      </w:hyperlink>
      <w:r>
        <w:rPr/>
        <w:t> </w:t>
      </w:r>
    </w:p>
    <w:p>
      <w:pPr>
        <w:pStyle w:val="TextBody"/>
        <w:bidi w:val="0"/>
        <w:spacing w:before="0" w:after="0"/>
        <w:ind w:left="0" w:right="0" w:hanging="0"/>
        <w:jc w:val="left"/>
        <w:rPr/>
      </w:pPr>
      <w:r>
        <w:rPr/>
        <w:t xml:space="preserve">3. </w:t>
      </w:r>
      <w:hyperlink r:id="rId9" w:tgtFrame="_blank">
        <w:r>
          <w:rPr>
            <w:rStyle w:val="InternetLink"/>
          </w:rPr>
          <w:t>What are the 4 pillars of the church? - Catholic Church</w:t>
        </w:r>
      </w:hyperlink>
      <w:r>
        <w:rPr/>
        <w:t> </w:t>
      </w:r>
    </w:p>
    <w:p>
      <w:pPr>
        <w:pStyle w:val="TextBody"/>
        <w:bidi w:val="0"/>
        <w:spacing w:before="0" w:after="0"/>
        <w:ind w:left="0" w:right="0" w:hanging="0"/>
        <w:jc w:val="left"/>
        <w:rPr/>
      </w:pPr>
      <w:r>
        <w:rPr/>
        <w:t xml:space="preserve">4. </w:t>
      </w:r>
      <w:hyperlink r:id="rId10" w:tgtFrame="_blank">
        <w:r>
          <w:rPr>
            <w:rStyle w:val="InternetLink"/>
          </w:rPr>
          <w:t>Four pillars of the catholic church</w:t>
        </w:r>
      </w:hyperlink>
      <w:r>
        <w:rPr/>
        <w:t> </w:t>
      </w:r>
    </w:p>
    <w:p>
      <w:pPr>
        <w:pStyle w:val="TextBody"/>
        <w:bidi w:val="0"/>
        <w:spacing w:before="0" w:after="0"/>
        <w:ind w:left="0" w:right="0" w:hanging="0"/>
        <w:jc w:val="left"/>
        <w:rPr/>
      </w:pPr>
      <w:r>
        <w:rPr/>
        <w:t xml:space="preserve">5. </w:t>
      </w:r>
      <w:hyperlink r:id="rId11" w:tgtFrame="_blank">
        <w:r>
          <w:rPr>
            <w:rStyle w:val="InternetLink"/>
          </w:rPr>
          <w:t>What Are the Pillars of Catholic Life? | Catholic Answers Q&amp;A</w:t>
        </w:r>
      </w:hyperlink>
      <w:r>
        <w:rPr/>
        <w:t> </w:t>
      </w:r>
    </w:p>
    <w:p>
      <w:pPr>
        <w:pStyle w:val="TextBody"/>
        <w:bidi w:val="0"/>
        <w:spacing w:before="0" w:after="0"/>
        <w:ind w:left="0" w:right="0" w:hanging="0"/>
        <w:jc w:val="left"/>
        <w:rPr/>
      </w:pPr>
      <w:r>
        <w:rPr/>
        <w:t> </w:t>
      </w:r>
    </w:p>
    <w:p>
      <w:pPr>
        <w:pStyle w:val="Normal"/>
        <w:bidi w:val="0"/>
        <w:jc w:val="left"/>
        <w:rPr/>
      </w:pPr>
      <w:r>
        <w:rPr/>
      </w:r>
    </w:p>
    <w:p>
      <w:pPr>
        <w:pStyle w:val="Heading1"/>
        <w:rPr/>
      </w:pPr>
      <w:r>
        <w:rPr/>
        <w:t>Using ccel.org as a source, what are the church father teachings on deification?</w:t>
      </w:r>
    </w:p>
    <w:p>
      <w:pPr>
        <w:pStyle w:val="TextBody"/>
        <w:rPr/>
      </w:pPr>
      <w:r>
        <w:rPr/>
        <w:t>Answer: Deification, also known as divinization or theosis, is the process of becoming more like God or attaining union with God. This doctrine was widely taught by the early church fathers, especially in the Eastern Orthodox tradition. According to ccel.org, some of the church father teachings on deification are:</w:t>
      </w:r>
    </w:p>
    <w:p>
      <w:pPr>
        <w:pStyle w:val="TextBody"/>
        <w:widowControl/>
        <w:numPr>
          <w:ilvl w:val="0"/>
          <w:numId w:val="3"/>
        </w:numPr>
        <w:tabs>
          <w:tab w:val="clear" w:pos="1134"/>
          <w:tab w:val="left" w:pos="0" w:leader="none"/>
        </w:tabs>
        <w:spacing w:before="0" w:after="0"/>
        <w:ind w:left="709" w:right="0" w:hanging="283"/>
        <w:rPr/>
      </w:pPr>
      <w:hyperlink r:id="rId12">
        <w:r>
          <w:rPr>
            <w:rStyle w:val="InternetLink"/>
            <w:b/>
            <w:b w:val="false"/>
            <w:bCs/>
            <w:i w:val="false"/>
            <w:caps w:val="false"/>
            <w:smallCaps w:val="false"/>
            <w:color w:val="000000"/>
            <w:spacing w:val="0"/>
            <w:sz w:val="28"/>
          </w:rPr>
          <w:t>St. Clement of Alexandria</w:t>
        </w:r>
        <w:r>
          <w:rPr>
            <w:rStyle w:val="InternetLink"/>
            <w:b w:val="false"/>
            <w:i w:val="false"/>
            <w:caps w:val="false"/>
            <w:smallCaps w:val="false"/>
            <w:color w:val="000000"/>
            <w:spacing w:val="0"/>
            <w:sz w:val="28"/>
          </w:rPr>
          <w:t xml:space="preserve"> (150-215 AD) wrote that “the Word of God became man, that thou mayest learn from man how man may become God” and that “if one knows himself, he will know God; and knowing God, he will be made like God” </w:t>
        </w:r>
      </w:hyperlink>
      <w:hyperlink r:id="rId13" w:tgtFrame="_blank">
        <w:r>
          <w:rPr>
            <w:rStyle w:val="InternetLink"/>
            <w:b w:val="false"/>
            <w:i w:val="false"/>
            <w:caps w:val="false"/>
            <w:smallCaps w:val="false"/>
            <w:color w:val="000000"/>
            <w:spacing w:val="0"/>
            <w:sz w:val="28"/>
          </w:rPr>
          <w:t>1</w:t>
        </w:r>
      </w:hyperlink>
      <w:r>
        <w:rPr>
          <w:b w:val="false"/>
          <w:i w:val="false"/>
          <w:caps w:val="false"/>
          <w:smallCaps w:val="false"/>
          <w:color w:val="000000"/>
          <w:spacing w:val="0"/>
          <w:sz w:val="28"/>
        </w:rPr>
        <w:t xml:space="preserve">. </w:t>
      </w:r>
    </w:p>
    <w:p>
      <w:pPr>
        <w:pStyle w:val="TextBody"/>
        <w:widowControl/>
        <w:numPr>
          <w:ilvl w:val="0"/>
          <w:numId w:val="3"/>
        </w:numPr>
        <w:tabs>
          <w:tab w:val="clear" w:pos="1134"/>
          <w:tab w:val="left" w:pos="0" w:leader="none"/>
        </w:tabs>
        <w:spacing w:before="0" w:after="0"/>
        <w:ind w:left="709" w:hanging="283"/>
        <w:rPr/>
      </w:pPr>
      <w:hyperlink r:id="rId14">
        <w:r>
          <w:rPr>
            <w:rStyle w:val="InternetLink"/>
            <w:b/>
            <w:b w:val="false"/>
            <w:bCs/>
            <w:i w:val="false"/>
            <w:caps w:val="false"/>
            <w:smallCaps w:val="false"/>
            <w:color w:val="000000"/>
            <w:spacing w:val="0"/>
            <w:sz w:val="28"/>
          </w:rPr>
          <w:t>St. Irenaeus</w:t>
        </w:r>
        <w:r>
          <w:rPr>
            <w:rStyle w:val="InternetLink"/>
            <w:b w:val="false"/>
            <w:i w:val="false"/>
            <w:caps w:val="false"/>
            <w:smallCaps w:val="false"/>
            <w:color w:val="000000"/>
            <w:spacing w:val="0"/>
            <w:sz w:val="28"/>
          </w:rPr>
          <w:t xml:space="preserve"> (130-202 AD) taught that “God became what we are in order to make us what he is himself” and that “we have not been made gods from the beginning, but at first merely men, then at length gods” </w:t>
        </w:r>
      </w:hyperlink>
      <w:hyperlink r:id="rId15" w:tgtFrame="_blank">
        <w:r>
          <w:rPr>
            <w:rStyle w:val="InternetLink"/>
            <w:b w:val="false"/>
            <w:i w:val="false"/>
            <w:caps w:val="false"/>
            <w:smallCaps w:val="false"/>
            <w:color w:val="000000"/>
            <w:spacing w:val="0"/>
            <w:sz w:val="28"/>
          </w:rPr>
          <w:t>1</w:t>
        </w:r>
      </w:hyperlink>
      <w:r>
        <w:rPr>
          <w:b w:val="false"/>
          <w:i w:val="false"/>
          <w:caps w:val="false"/>
          <w:smallCaps w:val="false"/>
          <w:color w:val="000000"/>
          <w:spacing w:val="0"/>
          <w:sz w:val="28"/>
        </w:rPr>
        <w:t xml:space="preserve">. </w:t>
      </w:r>
    </w:p>
    <w:p>
      <w:pPr>
        <w:pStyle w:val="TextBody"/>
        <w:widowControl/>
        <w:numPr>
          <w:ilvl w:val="0"/>
          <w:numId w:val="3"/>
        </w:numPr>
        <w:tabs>
          <w:tab w:val="clear" w:pos="1134"/>
          <w:tab w:val="left" w:pos="0" w:leader="none"/>
        </w:tabs>
        <w:spacing w:before="0" w:after="0"/>
        <w:ind w:left="709" w:hanging="283"/>
        <w:rPr/>
      </w:pPr>
      <w:hyperlink r:id="rId16">
        <w:r>
          <w:rPr>
            <w:rStyle w:val="InternetLink"/>
            <w:b/>
            <w:b w:val="false"/>
            <w:bCs/>
            <w:i w:val="false"/>
            <w:caps w:val="false"/>
            <w:smallCaps w:val="false"/>
            <w:color w:val="000000"/>
            <w:spacing w:val="0"/>
            <w:sz w:val="28"/>
          </w:rPr>
          <w:t>St. Athanasius</w:t>
        </w:r>
        <w:r>
          <w:rPr>
            <w:rStyle w:val="InternetLink"/>
            <w:b w:val="false"/>
            <w:i w:val="false"/>
            <w:caps w:val="false"/>
            <w:smallCaps w:val="false"/>
            <w:color w:val="000000"/>
            <w:spacing w:val="0"/>
            <w:sz w:val="28"/>
          </w:rPr>
          <w:t xml:space="preserve"> (296-373 AD) famously declared that “God became man so that man might become god” and that “the Son of God became man, that we might become god” </w:t>
        </w:r>
      </w:hyperlink>
      <w:hyperlink r:id="rId17" w:tgtFrame="_blank">
        <w:r>
          <w:rPr>
            <w:rStyle w:val="InternetLink"/>
            <w:b w:val="false"/>
            <w:i w:val="false"/>
            <w:caps w:val="false"/>
            <w:smallCaps w:val="false"/>
            <w:color w:val="000000"/>
            <w:spacing w:val="0"/>
            <w:sz w:val="28"/>
          </w:rPr>
          <w:t>1</w:t>
        </w:r>
      </w:hyperlink>
      <w:r>
        <w:rPr>
          <w:b w:val="false"/>
          <w:i w:val="false"/>
          <w:caps w:val="false"/>
          <w:smallCaps w:val="false"/>
          <w:color w:val="000000"/>
          <w:spacing w:val="0"/>
          <w:sz w:val="28"/>
        </w:rPr>
        <w:t xml:space="preserve">. </w:t>
      </w:r>
    </w:p>
    <w:p>
      <w:pPr>
        <w:pStyle w:val="TextBody"/>
        <w:widowControl/>
        <w:numPr>
          <w:ilvl w:val="0"/>
          <w:numId w:val="3"/>
        </w:numPr>
        <w:tabs>
          <w:tab w:val="clear" w:pos="1134"/>
          <w:tab w:val="left" w:pos="0" w:leader="none"/>
        </w:tabs>
        <w:spacing w:before="0" w:after="0"/>
        <w:ind w:left="709" w:hanging="283"/>
        <w:rPr/>
      </w:pPr>
      <w:hyperlink r:id="rId18">
        <w:r>
          <w:rPr>
            <w:rStyle w:val="InternetLink"/>
            <w:b/>
            <w:b w:val="false"/>
            <w:bCs/>
            <w:i w:val="false"/>
            <w:caps w:val="false"/>
            <w:smallCaps w:val="false"/>
            <w:color w:val="000000"/>
            <w:spacing w:val="0"/>
            <w:sz w:val="28"/>
          </w:rPr>
          <w:t>St. Basil the Great</w:t>
        </w:r>
        <w:r>
          <w:rPr>
            <w:rStyle w:val="InternetLink"/>
            <w:b w:val="false"/>
            <w:i w:val="false"/>
            <w:caps w:val="false"/>
            <w:smallCaps w:val="false"/>
            <w:color w:val="000000"/>
            <w:spacing w:val="0"/>
            <w:sz w:val="28"/>
          </w:rPr>
          <w:t xml:space="preserve"> (330-379 AD) explained that “through the Spirit we acquire a likeness to God; indeed, we attain what is beyond our most sublime aspirations—we become God” and that “becoming a god is the highest goal of all” </w:t>
        </w:r>
      </w:hyperlink>
      <w:hyperlink r:id="rId19" w:tgtFrame="_blank">
        <w:r>
          <w:rPr>
            <w:rStyle w:val="InternetLink"/>
            <w:b w:val="false"/>
            <w:i w:val="false"/>
            <w:caps w:val="false"/>
            <w:smallCaps w:val="false"/>
            <w:color w:val="000000"/>
            <w:spacing w:val="0"/>
            <w:sz w:val="28"/>
          </w:rPr>
          <w:t>1</w:t>
        </w:r>
      </w:hyperlink>
      <w:r>
        <w:rPr>
          <w:b w:val="false"/>
          <w:i w:val="false"/>
          <w:caps w:val="false"/>
          <w:smallCaps w:val="false"/>
          <w:color w:val="000000"/>
          <w:spacing w:val="0"/>
          <w:sz w:val="28"/>
        </w:rPr>
        <w:t xml:space="preserve">. </w:t>
      </w:r>
    </w:p>
    <w:p>
      <w:pPr>
        <w:pStyle w:val="TextBody"/>
        <w:widowControl/>
        <w:numPr>
          <w:ilvl w:val="0"/>
          <w:numId w:val="3"/>
        </w:numPr>
        <w:tabs>
          <w:tab w:val="clear" w:pos="1134"/>
          <w:tab w:val="left" w:pos="0" w:leader="none"/>
        </w:tabs>
        <w:spacing w:before="0" w:after="0"/>
        <w:ind w:left="709" w:hanging="283"/>
        <w:rPr/>
      </w:pPr>
      <w:hyperlink r:id="rId20">
        <w:r>
          <w:rPr>
            <w:rStyle w:val="InternetLink"/>
            <w:b/>
            <w:b w:val="false"/>
            <w:bCs/>
            <w:i w:val="false"/>
            <w:caps w:val="false"/>
            <w:smallCaps w:val="false"/>
            <w:color w:val="000000"/>
            <w:spacing w:val="0"/>
            <w:sz w:val="28"/>
          </w:rPr>
          <w:t>St. Gregory of Nyssa</w:t>
        </w:r>
        <w:r>
          <w:rPr>
            <w:rStyle w:val="InternetLink"/>
            <w:b w:val="false"/>
            <w:i w:val="false"/>
            <w:caps w:val="false"/>
            <w:smallCaps w:val="false"/>
            <w:color w:val="000000"/>
            <w:spacing w:val="0"/>
            <w:sz w:val="28"/>
          </w:rPr>
          <w:t xml:space="preserve"> (335-395 AD) stated that “the true end of our life is the Deity, and our union with Him” and that “the perfection of human nature consists in its participation in the divine nature” </w:t>
        </w:r>
      </w:hyperlink>
      <w:hyperlink r:id="rId21" w:tgtFrame="_blank">
        <w:r>
          <w:rPr>
            <w:rStyle w:val="InternetLink"/>
            <w:b w:val="false"/>
            <w:i w:val="false"/>
            <w:caps w:val="false"/>
            <w:smallCaps w:val="false"/>
            <w:color w:val="000000"/>
            <w:spacing w:val="0"/>
            <w:sz w:val="28"/>
          </w:rPr>
          <w:t>1</w:t>
        </w:r>
      </w:hyperlink>
      <w:r>
        <w:rPr>
          <w:b w:val="false"/>
          <w:i w:val="false"/>
          <w:caps w:val="false"/>
          <w:smallCaps w:val="false"/>
          <w:color w:val="000000"/>
          <w:spacing w:val="0"/>
          <w:sz w:val="28"/>
        </w:rPr>
        <w:t xml:space="preserve">. </w:t>
      </w:r>
    </w:p>
    <w:p>
      <w:pPr>
        <w:pStyle w:val="TextBody"/>
        <w:widowControl/>
        <w:numPr>
          <w:ilvl w:val="0"/>
          <w:numId w:val="3"/>
        </w:numPr>
        <w:tabs>
          <w:tab w:val="clear" w:pos="1134"/>
          <w:tab w:val="left" w:pos="0" w:leader="none"/>
        </w:tabs>
        <w:ind w:left="709" w:hanging="283"/>
        <w:rPr/>
      </w:pPr>
      <w:hyperlink r:id="rId22">
        <w:r>
          <w:rPr>
            <w:rStyle w:val="InternetLink"/>
            <w:b/>
            <w:b w:val="false"/>
            <w:bCs/>
            <w:i w:val="false"/>
            <w:caps w:val="false"/>
            <w:smallCaps w:val="false"/>
            <w:color w:val="000000"/>
            <w:spacing w:val="0"/>
            <w:sz w:val="28"/>
          </w:rPr>
          <w:t>St. Cyril of Alexandria</w:t>
        </w:r>
        <w:r>
          <w:rPr>
            <w:rStyle w:val="InternetLink"/>
            <w:b w:val="false"/>
            <w:i w:val="false"/>
            <w:caps w:val="false"/>
            <w:smallCaps w:val="false"/>
            <w:color w:val="000000"/>
            <w:spacing w:val="0"/>
            <w:sz w:val="28"/>
          </w:rPr>
          <w:t xml:space="preserve"> (376-444 AD) affirmed that “we shall become sons of God by partaking of the Holy Spirit” and that “we have all, with unveiled face, received the same image of the glory of God, and are being transformed into the same image” </w:t>
        </w:r>
      </w:hyperlink>
      <w:hyperlink r:id="rId23" w:tgtFrame="_blank">
        <w:r>
          <w:rPr>
            <w:rStyle w:val="InternetLink"/>
            <w:b w:val="false"/>
            <w:i w:val="false"/>
            <w:caps w:val="false"/>
            <w:smallCaps w:val="false"/>
            <w:color w:val="000000"/>
            <w:spacing w:val="0"/>
            <w:sz w:val="28"/>
          </w:rPr>
          <w:t>1</w:t>
        </w:r>
      </w:hyperlink>
      <w:r>
        <w:rPr>
          <w:b w:val="false"/>
          <w:i w:val="false"/>
          <w:caps w:val="false"/>
          <w:smallCaps w:val="false"/>
          <w:color w:val="000000"/>
          <w:spacing w:val="0"/>
          <w:sz w:val="28"/>
        </w:rPr>
        <w:t xml:space="preserve">. </w:t>
      </w:r>
    </w:p>
    <w:p>
      <w:pPr>
        <w:pStyle w:val="TextBody"/>
        <w:widowControl/>
        <w:rPr>
          <w:b w:val="false"/>
          <w:i w:val="false"/>
          <w:caps w:val="false"/>
          <w:smallCaps w:val="false"/>
          <w:color w:val="000000"/>
          <w:spacing w:val="0"/>
          <w:sz w:val="28"/>
        </w:rPr>
      </w:pPr>
      <w:r>
        <w:rPr>
          <w:b w:val="false"/>
          <w:i w:val="false"/>
          <w:caps w:val="false"/>
          <w:smallCaps w:val="false"/>
          <w:color w:val="000000"/>
          <w:spacing w:val="0"/>
          <w:sz w:val="28"/>
        </w:rPr>
        <w:t xml:space="preserve">These are some of the examples of the church father teachings on deification, using ccel.org as a source. </w:t>
      </w:r>
      <w:hyperlink r:id="rId24">
        <w:r>
          <w:rPr>
            <w:rStyle w:val="InternetLink"/>
            <w:b w:val="false"/>
            <w:i w:val="false"/>
            <w:caps w:val="false"/>
            <w:smallCaps w:val="false"/>
            <w:color w:val="000000"/>
            <w:spacing w:val="0"/>
            <w:sz w:val="28"/>
          </w:rPr>
          <w:t xml:space="preserve">You can find more information and references on this topic by visiting the website </w:t>
        </w:r>
      </w:hyperlink>
      <w:hyperlink r:id="rId25" w:tgtFrame="_blank">
        <w:r>
          <w:rPr>
            <w:rStyle w:val="InternetLink"/>
            <w:b w:val="false"/>
            <w:i w:val="false"/>
            <w:caps w:val="false"/>
            <w:smallCaps w:val="false"/>
            <w:color w:val="000000"/>
            <w:spacing w:val="0"/>
            <w:sz w:val="28"/>
          </w:rPr>
          <w:t>1</w:t>
        </w:r>
      </w:hyperlink>
    </w:p>
    <w:p>
      <w:pPr>
        <w:pStyle w:val="Heading1"/>
        <w:rPr/>
      </w:pPr>
      <w:r>
        <w:rPr/>
        <w:t>What paragraphs in the Catechism of the Catholic Church teach on the topic of the Paschal Mystery?</w:t>
      </w:r>
    </w:p>
    <w:p>
      <w:pPr>
        <w:pStyle w:val="TextBody"/>
        <w:widowControl/>
        <w:bidi w:val="0"/>
        <w:spacing w:before="0" w:after="0"/>
        <w:ind w:left="0" w:right="0" w:hanging="0"/>
        <w:jc w:val="left"/>
        <w:rPr/>
      </w:pPr>
      <w:r>
        <w:rPr/>
        <w:t xml:space="preserve">The </w:t>
      </w:r>
      <w:r>
        <w:rPr>
          <w:rStyle w:val="StrongEmphasis"/>
        </w:rPr>
        <w:t>Paschal Mystery</w:t>
      </w:r>
      <w:r>
        <w:rPr/>
        <w:t xml:space="preserve"> is a central doctrine of the Catholic Church that refers to the passion, death, and resurrection of Jesus Christ. The Catechism of the Catholic Church teaches about the Paschal Mystery in several paragraphs. </w:t>
      </w:r>
    </w:p>
    <w:p>
      <w:pPr>
        <w:pStyle w:val="TextBody"/>
        <w:rPr/>
      </w:pPr>
      <w:hyperlink r:id="rId26" w:tgtFrame="_blank">
        <w:r>
          <w:rPr>
            <w:rStyle w:val="InternetLink"/>
          </w:rPr>
          <w:t xml:space="preserve">Paragraph #1085 states that “In the liturgy of the Church, it is principally his own Paschal mystery that Christ signifies and makes present” </w:t>
        </w:r>
      </w:hyperlink>
      <w:hyperlink r:id="rId27" w:tgtFrame="_blank">
        <w:r>
          <w:rPr>
            <w:rStyle w:val="InternetLink"/>
          </w:rPr>
          <w:t>1</w:t>
        </w:r>
      </w:hyperlink>
      <w:r>
        <w:rPr/>
        <w:t>.</w:t>
      </w:r>
    </w:p>
    <w:p>
      <w:pPr>
        <w:pStyle w:val="TextBody"/>
        <w:rPr/>
      </w:pPr>
      <w:r>
        <w:rPr/>
        <w:t> </w:t>
      </w:r>
      <w:hyperlink r:id="rId28" w:tgtFrame="_blank">
        <w:r>
          <w:rPr>
            <w:rStyle w:val="InternetLink"/>
          </w:rPr>
          <w:t xml:space="preserve">Paragraph #654 explains that “We are brethren not by nature, but by the gift of grace, because that adoptive filiation gains us a real share in the life of the only Son, which was fully revealed in his Resurrection” </w:t>
        </w:r>
      </w:hyperlink>
      <w:hyperlink r:id="rId29" w:tgtFrame="_blank">
        <w:r>
          <w:rPr>
            <w:rStyle w:val="InternetLink"/>
          </w:rPr>
          <w:t>2</w:t>
        </w:r>
      </w:hyperlink>
      <w:r>
        <w:rPr/>
        <w:t>. </w:t>
      </w:r>
    </w:p>
    <w:p>
      <w:pPr>
        <w:pStyle w:val="TextBody"/>
        <w:rPr/>
      </w:pPr>
      <w:hyperlink r:id="rId30" w:tgtFrame="_blank">
        <w:r>
          <w:rPr>
            <w:rStyle w:val="InternetLink"/>
          </w:rPr>
          <w:t xml:space="preserve">Paragraph #512 of the Catechism of the Catholic Church mentions that the Creed speaks only about the mysteries of the Incarnation (conception and birth) and Paschal mystery (passion, crucifixion, death, burial, descent into hell, resurrection and ascension) </w:t>
        </w:r>
      </w:hyperlink>
      <w:hyperlink r:id="rId31" w:tgtFrame="_blank">
        <w:r>
          <w:rPr>
            <w:rStyle w:val="InternetLink"/>
          </w:rPr>
          <w:t>3</w:t>
        </w:r>
      </w:hyperlink>
      <w:r>
        <w:rPr/>
        <w:t xml:space="preserve">. </w:t>
      </w:r>
    </w:p>
    <w:p>
      <w:pPr>
        <w:pStyle w:val="TextBody"/>
        <w:rPr/>
      </w:pPr>
      <w:hyperlink r:id="rId32" w:tgtFrame="_blank">
        <w:r>
          <w:rPr>
            <w:rStyle w:val="InternetLink"/>
          </w:rPr>
          <w:t xml:space="preserve">Finally, the Paschal Mystery is celebrated and made present in the liturgy of the Church, and its saving effects are communicated through the sacraments, especially the Eucharist, which renews the paschal sacrifice of Christ as the sacrifice offered by the Church </w:t>
        </w:r>
      </w:hyperlink>
      <w:hyperlink r:id="rId33" w:tgtFrame="_blank">
        <w:r>
          <w:rPr>
            <w:rStyle w:val="InternetLink"/>
          </w:rPr>
          <w:t>4</w:t>
        </w:r>
      </w:hyperlink>
      <w:r>
        <w:rPr/>
        <w:t>.</w:t>
      </w:r>
    </w:p>
    <w:p>
      <w:pPr>
        <w:pStyle w:val="Normal"/>
        <w:widowControl/>
        <w:bidi w:val="0"/>
        <w:spacing w:before="0" w:after="0"/>
        <w:ind w:left="0" w:right="0" w:hanging="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Segoe UI" w:cs="Tahoma"/>
      <w:color w:val="000000"/>
      <w:kern w:val="0"/>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283"/>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rlingtondiocese.org/youth-ministry/rm_the_four_pillars_of_the_ccc.pdf" TargetMode="External"/><Relationship Id="rId3" Type="http://schemas.openxmlformats.org/officeDocument/2006/relationships/hyperlink" Target="https://www.arlingtondiocese.org/youth-ministry/rm_the_four_pillars_of_the_ccc.pdf" TargetMode="External"/><Relationship Id="rId4" Type="http://schemas.openxmlformats.org/officeDocument/2006/relationships/hyperlink" Target="https://www.arlingtondiocese.org/youth-ministry/rm_the_four_pillars_of_the_ccc.pdf" TargetMode="External"/><Relationship Id="rId5" Type="http://schemas.openxmlformats.org/officeDocument/2006/relationships/hyperlink" Target="https://www.arlingtondiocese.org/youth-ministry/rm_the_four_pillars_of_the_ccc.pdf" TargetMode="External"/><Relationship Id="rId6" Type="http://schemas.openxmlformats.org/officeDocument/2006/relationships/hyperlink" Target="https://bing.com/search?q=major+themes+4+pillars+catechism+catholic+church" TargetMode="External"/><Relationship Id="rId7" Type="http://schemas.openxmlformats.org/officeDocument/2006/relationships/hyperlink" Target="https://www.arlingtondiocese.org/youth-ministry/rm_the_four_pillars_of_the_ccc.pdf" TargetMode="External"/><Relationship Id="rId8" Type="http://schemas.openxmlformats.org/officeDocument/2006/relationships/hyperlink" Target="https://bing.com/search?q=major+themes+4+pillars+catechism+catholic+church" TargetMode="External"/><Relationship Id="rId9" Type="http://schemas.openxmlformats.org/officeDocument/2006/relationships/hyperlink" Target="https://elrenosacredheart.com/question-answer/what-are-the-4-pillars-of-the-catholic-church.html" TargetMode="External"/><Relationship Id="rId10" Type="http://schemas.openxmlformats.org/officeDocument/2006/relationships/hyperlink" Target="https://elrenosacredheart.com/interesting/four-pillars-of-the-catholic-church.html" TargetMode="External"/><Relationship Id="rId11" Type="http://schemas.openxmlformats.org/officeDocument/2006/relationships/hyperlink" Target="https://www.catholic.com/qa/what-are-the-pillars-of-catholic-life" TargetMode="External"/><Relationship Id="rId12" Type="http://schemas.openxmlformats.org/officeDocument/2006/relationships/hyperlink" Target="https://ccel.org/fathers" TargetMode="External"/><Relationship Id="rId13" Type="http://schemas.openxmlformats.org/officeDocument/2006/relationships/hyperlink" Target="https://ccel.org/fathers" TargetMode="External"/><Relationship Id="rId14" Type="http://schemas.openxmlformats.org/officeDocument/2006/relationships/hyperlink" Target="https://ccel.org/fathers" TargetMode="External"/><Relationship Id="rId15" Type="http://schemas.openxmlformats.org/officeDocument/2006/relationships/hyperlink" Target="https://ccel.org/fathers" TargetMode="External"/><Relationship Id="rId16" Type="http://schemas.openxmlformats.org/officeDocument/2006/relationships/hyperlink" Target="https://ccel.org/fathers" TargetMode="External"/><Relationship Id="rId17" Type="http://schemas.openxmlformats.org/officeDocument/2006/relationships/hyperlink" Target="https://ccel.org/fathers" TargetMode="External"/><Relationship Id="rId18" Type="http://schemas.openxmlformats.org/officeDocument/2006/relationships/hyperlink" Target="https://ccel.org/fathers" TargetMode="External"/><Relationship Id="rId19" Type="http://schemas.openxmlformats.org/officeDocument/2006/relationships/hyperlink" Target="https://ccel.org/fathers" TargetMode="External"/><Relationship Id="rId20" Type="http://schemas.openxmlformats.org/officeDocument/2006/relationships/hyperlink" Target="https://ccel.org/fathers" TargetMode="External"/><Relationship Id="rId21" Type="http://schemas.openxmlformats.org/officeDocument/2006/relationships/hyperlink" Target="https://ccel.org/fathers" TargetMode="External"/><Relationship Id="rId22" Type="http://schemas.openxmlformats.org/officeDocument/2006/relationships/hyperlink" Target="https://ccel.org/fathers" TargetMode="External"/><Relationship Id="rId23" Type="http://schemas.openxmlformats.org/officeDocument/2006/relationships/hyperlink" Target="https://ccel.org/fathers" TargetMode="External"/><Relationship Id="rId24" Type="http://schemas.openxmlformats.org/officeDocument/2006/relationships/hyperlink" Target="https://ccel.org/fathers" TargetMode="External"/><Relationship Id="rId25" Type="http://schemas.openxmlformats.org/officeDocument/2006/relationships/hyperlink" Target="https://ccel.org/fathers" TargetMode="External"/><Relationship Id="rId26" Type="http://schemas.openxmlformats.org/officeDocument/2006/relationships/hyperlink" Target="http://scborromeo.org/ccc/para/1085.htm" TargetMode="External"/><Relationship Id="rId27" Type="http://schemas.openxmlformats.org/officeDocument/2006/relationships/hyperlink" Target="http://scborromeo.org/ccc/para/1085.htm" TargetMode="External"/><Relationship Id="rId28" Type="http://schemas.openxmlformats.org/officeDocument/2006/relationships/hyperlink" Target="http://www.scborromeo.org/ccc/para/654.htm" TargetMode="External"/><Relationship Id="rId29" Type="http://schemas.openxmlformats.org/officeDocument/2006/relationships/hyperlink" Target="http://www.scborromeo.org/ccc/para/654.htm" TargetMode="External"/><Relationship Id="rId30" Type="http://schemas.openxmlformats.org/officeDocument/2006/relationships/hyperlink" Target="http://www.scborromeo.org/ccc/p122a3p3.htm" TargetMode="External"/><Relationship Id="rId31" Type="http://schemas.openxmlformats.org/officeDocument/2006/relationships/hyperlink" Target="http://www.scborromeo.org/ccc/p122a3p3.htm" TargetMode="External"/><Relationship Id="rId32" Type="http://schemas.openxmlformats.org/officeDocument/2006/relationships/hyperlink" Target="https://www.usccb.org/sites/default/files/flipbooks/catechism/893/" TargetMode="External"/><Relationship Id="rId33" Type="http://schemas.openxmlformats.org/officeDocument/2006/relationships/hyperlink" Target="https://www.usccb.org/sites/default/files/flipbooks/catechism/893/" TargetMode="Externa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LibreOffice/7.4.4.2$Windows_X86_64 LibreOffice_project/85569322deea74ec9134968a29af2df5663baa21</Application>
  <AppVersion>15.0000</AppVersion>
  <Pages>3</Pages>
  <Words>854</Words>
  <Characters>3986</Characters>
  <CharactersWithSpaces>4824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2024-01-29T06:29:35Z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