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Councils, Synods, Writers listed in the CCC Index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Using ccel.org as a source, please provide a short overview of the following Ecumenical Councils: Nicaea I, CONSTANTINOPLE I, EPHESUS, CHALCEDON. </w:t>
      </w:r>
    </w:p>
    <w:p>
      <w:pPr>
        <w:pStyle w:val="Heading1"/>
        <w:ind w:hanging="0" w:start="0"/>
        <w:rPr/>
      </w:pPr>
      <w:r>
        <w:rPr/>
        <w:t xml:space="preserve"> </w:t>
      </w:r>
      <w:r>
        <w:rPr>
          <w:rStyle w:val="Strong"/>
          <w:b/>
          <w:bCs/>
        </w:rPr>
        <w:t>Seven Ecumenical Councils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Certainly! Let’s delve into the </w:t>
      </w:r>
      <w:r>
        <w:rPr>
          <w:rStyle w:val="Strong"/>
        </w:rPr>
        <w:t>Seven Ecumenical Councils</w:t>
      </w:r>
      <w:r>
        <w:rPr/>
        <w:t>, significant gatherings in early Christian history. These councils shaped theological doctrine, church practice, and the unity of the Christian Church. Here’s a brief overview of each:</w:t>
      </w:r>
    </w:p>
    <w:p>
      <w:pPr>
        <w:pStyle w:val="Heading2"/>
        <w:ind w:hanging="0" w:start="0"/>
        <w:rPr/>
      </w:pPr>
      <w:hyperlink r:id="rId2">
        <w:r>
          <w:rPr>
            <w:rStyle w:val="Hyperlink"/>
            <w:b/>
            <w:bCs/>
          </w:rPr>
          <w:t>First Council of Nicaea (325 AD)</w:t>
        </w:r>
        <w:r>
          <w:rPr>
            <w:rStyle w:val="Hyperlink"/>
          </w:rPr>
          <w:t xml:space="preserve"> </w:t>
        </w:r>
      </w:hyperlink>
      <w:hyperlink r:id="rId3" w:tgtFrame="_blank">
        <w:r>
          <w:rPr>
            <w:rStyle w:val="Hyperlink"/>
          </w:rPr>
          <w:t>1</w:t>
        </w:r>
      </w:hyperlink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Purpose</w:t>
      </w:r>
      <w:r>
        <w:rPr/>
        <w:t>: Convened to address the Arian controversy, particularly the nature of Christ in relation to God the Father.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Key Outcome</w:t>
      </w:r>
      <w:r>
        <w:rPr/>
        <w:t>: The Nicene Creed was formulated, affirming Christ’s divinity and consubstantiality with the Father.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Significance</w:t>
      </w:r>
      <w:r>
        <w:rPr/>
        <w:t>: Established foundational Christological doctrine.</w:t>
      </w:r>
    </w:p>
    <w:p>
      <w:pPr>
        <w:pStyle w:val="Heading2"/>
        <w:ind w:hanging="0" w:start="0"/>
        <w:rPr/>
      </w:pPr>
      <w:hyperlink r:id="rId4">
        <w:r>
          <w:rPr>
            <w:rStyle w:val="Hyperlink"/>
            <w:b/>
            <w:bCs/>
          </w:rPr>
          <w:t>First Council of Constantinople (381 AD)</w:t>
        </w:r>
        <w:r>
          <w:rPr>
            <w:rStyle w:val="Hyperlink"/>
          </w:rPr>
          <w:t xml:space="preserve"> </w:t>
        </w:r>
      </w:hyperlink>
      <w:hyperlink r:id="rId5" w:tgtFrame="_blank">
        <w:r>
          <w:rPr>
            <w:rStyle w:val="Hyperlink"/>
          </w:rPr>
          <w:t>1</w:t>
        </w:r>
      </w:hyperlink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Purpose</w:t>
      </w:r>
      <w:r>
        <w:rPr/>
        <w:t>: Addressed the Arian heresy and further clarified the nature of the Holy Spirit.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Key Outcome</w:t>
      </w:r>
      <w:r>
        <w:rPr/>
        <w:t>: The Nicene-Constantinopolitan Creed (Nicene Creed) was reaffirmed, emphasizing the Holy Spirit’s role.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Significance</w:t>
      </w:r>
      <w:r>
        <w:rPr/>
        <w:t>: Strengthened the Trinitarian understanding.</w:t>
      </w:r>
    </w:p>
    <w:p>
      <w:pPr>
        <w:pStyle w:val="Heading2"/>
        <w:ind w:hanging="0" w:start="0"/>
        <w:rPr/>
      </w:pPr>
      <w:hyperlink r:id="rId6">
        <w:r>
          <w:rPr>
            <w:rStyle w:val="Hyperlink"/>
            <w:b/>
            <w:bCs/>
          </w:rPr>
          <w:t>Council of Ephesus (431 AD)</w:t>
        </w:r>
        <w:r>
          <w:rPr>
            <w:rStyle w:val="Hyperlink"/>
          </w:rPr>
          <w:t xml:space="preserve"> </w:t>
        </w:r>
      </w:hyperlink>
      <w:hyperlink r:id="rId7" w:tgtFrame="_blank">
        <w:r>
          <w:rPr>
            <w:rStyle w:val="Hyperlink"/>
          </w:rPr>
          <w:t>1</w:t>
        </w:r>
      </w:hyperlink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Purpose</w:t>
      </w:r>
      <w:r>
        <w:rPr/>
        <w:t>: Dealt with the Nestorian controversy, which questioned the unity of Christ’s divine and human natures.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Key Outcome</w:t>
      </w:r>
      <w:r>
        <w:rPr/>
        <w:t>: Affirmed the title “Theotokos” (Mother of God) for Mary, emphasizing Christ’s unity.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Significance</w:t>
      </w:r>
      <w:r>
        <w:rPr/>
        <w:t>: Clarified Christology and upheld Mary’s role.</w:t>
      </w:r>
    </w:p>
    <w:p>
      <w:pPr>
        <w:pStyle w:val="Heading2"/>
        <w:ind w:hanging="0" w:start="0"/>
        <w:rPr/>
      </w:pPr>
      <w:hyperlink r:id="rId8">
        <w:r>
          <w:rPr>
            <w:rStyle w:val="Hyperlink"/>
            <w:b/>
            <w:bCs/>
          </w:rPr>
          <w:t>Council of Chalcedon (451 AD)</w:t>
        </w:r>
        <w:r>
          <w:rPr>
            <w:rStyle w:val="Hyperlink"/>
          </w:rPr>
          <w:t xml:space="preserve"> </w:t>
        </w:r>
      </w:hyperlink>
      <w:hyperlink r:id="rId9" w:tgtFrame="_blank">
        <w:r>
          <w:rPr>
            <w:rStyle w:val="Hyperlink"/>
          </w:rPr>
          <w:t>1</w:t>
        </w:r>
      </w:hyperlink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Purpose</w:t>
      </w:r>
      <w:r>
        <w:rPr/>
        <w:t>: Addressed the Monophysite controversy, focusing on Christ’s nature.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Key Outcome</w:t>
      </w:r>
      <w:r>
        <w:rPr/>
        <w:t>: Affirmed the “two natures” (divine and human) in Christ without confusion or separation.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Significance</w:t>
      </w:r>
      <w:r>
        <w:rPr/>
        <w:t>: Established the Chalcedonian Definition.</w:t>
      </w:r>
    </w:p>
    <w:p>
      <w:pPr>
        <w:pStyle w:val="BodyText"/>
        <w:bidi w:val="0"/>
        <w:ind w:hanging="0"/>
        <w:jc w:val="start"/>
        <w:rPr/>
      </w:pPr>
      <w:r>
        <w:rPr/>
        <w:t>These councils played a crucial role in shaping Christian theology and remain relevant even today. Their decisions continue to guide the faith of millions worldwide.</w:t>
      </w:r>
    </w:p>
    <w:p>
      <w:pPr>
        <w:pStyle w:val="Heading2"/>
        <w:ind w:hanging="0" w:start="0"/>
        <w:rPr/>
      </w:pPr>
      <w:r>
        <w:rPr>
          <w:rStyle w:val="Strong"/>
          <w:b/>
          <w:bCs/>
        </w:rPr>
        <w:t>Second Council of Constantinople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Certainly! The </w:t>
      </w:r>
      <w:r>
        <w:rPr>
          <w:rStyle w:val="Strong"/>
        </w:rPr>
        <w:t>Second Council of Constantinople</w:t>
      </w:r>
      <w:r>
        <w:rPr/>
        <w:t>, also known as the </w:t>
      </w:r>
      <w:r>
        <w:rPr>
          <w:rStyle w:val="Strong"/>
        </w:rPr>
        <w:t>Fifth Ecumenical Council</w:t>
      </w:r>
      <w:r>
        <w:rPr/>
        <w:t>, took place from </w:t>
      </w:r>
      <w:r>
        <w:rPr>
          <w:rStyle w:val="Strong"/>
        </w:rPr>
        <w:t>May 5 to June 2, 553 AD</w:t>
      </w:r>
      <w:r>
        <w:rPr/>
        <w:t>. Here are the key points about this significant council: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trong"/>
        </w:rPr>
        <w:t>Purpose and Convocation</w:t>
      </w:r>
      <w:r>
        <w:rPr/>
        <w:t>: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Emperor Justinian I</w:t>
      </w:r>
      <w:r>
        <w:rPr/>
        <w:t> convened the council in </w:t>
      </w:r>
      <w:r>
        <w:rPr>
          <w:rStyle w:val="Strong"/>
        </w:rPr>
        <w:t>Constantinople</w:t>
      </w:r>
      <w:r>
        <w:rPr/>
        <w:t>.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start="0"/>
        <w:rPr/>
      </w:pPr>
      <w:r>
        <w:rPr/>
        <w:t>The council aimed to address theological controversies and render judgments on specific issues.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trong"/>
        </w:rPr>
        <w:t>Participants</w:t>
      </w:r>
      <w:r>
        <w:rPr/>
        <w:t>: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168 bishops</w:t>
      </w:r>
      <w:r>
        <w:rPr/>
        <w:t> assembled in the grand hall of </w:t>
      </w:r>
      <w:r>
        <w:rPr>
          <w:rStyle w:val="Strong"/>
        </w:rPr>
        <w:t>Hagia Sophia</w:t>
      </w:r>
      <w:r>
        <w:rPr/>
        <w:t> for the council.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trong"/>
        </w:rPr>
        <w:t>Topics and Decisions</w:t>
      </w:r>
      <w:r>
        <w:rPr/>
        <w:t>: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/>
        <w:t>The council rejected </w:t>
      </w:r>
      <w:r>
        <w:rPr>
          <w:rStyle w:val="Strong"/>
        </w:rPr>
        <w:t>Nestorianism</w:t>
      </w:r>
      <w:r>
        <w:rPr/>
        <w:t>, emphasizing the </w:t>
      </w:r>
      <w:r>
        <w:rPr>
          <w:rStyle w:val="Strong"/>
        </w:rPr>
        <w:t>unity of Christ’s person</w:t>
      </w:r>
      <w:r>
        <w:rPr/>
        <w:t> in both divine and human natures.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start="0"/>
        <w:rPr/>
      </w:pPr>
      <w:r>
        <w:rPr/>
        <w:t>It also addressed the teachings of </w:t>
      </w:r>
      <w:r>
        <w:rPr>
          <w:rStyle w:val="Strong"/>
        </w:rPr>
        <w:t>Origen and Evagrius</w:t>
      </w:r>
      <w:r>
        <w:rPr/>
        <w:t>.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start="0"/>
        <w:rPr/>
      </w:pPr>
      <w:r>
        <w:rPr/>
        <w:t>The council issued </w:t>
      </w:r>
      <w:r>
        <w:rPr>
          <w:rStyle w:val="Strong"/>
        </w:rPr>
        <w:t>14 canons</w:t>
      </w:r>
      <w:r>
        <w:rPr/>
        <w:t> related to </w:t>
      </w:r>
      <w:r>
        <w:rPr>
          <w:rStyle w:val="Strong"/>
        </w:rPr>
        <w:t>Christology</w:t>
      </w:r>
      <w:r>
        <w:rPr/>
        <w:t> and against the </w:t>
      </w:r>
      <w:r>
        <w:rPr>
          <w:rStyle w:val="Strong"/>
        </w:rPr>
        <w:t>Three Chapters</w:t>
      </w:r>
      <w:r>
        <w:rPr/>
        <w:t>.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start="0"/>
        <w:rPr/>
      </w:pPr>
      <w:r>
        <w:rPr/>
        <w:t>Additionally, </w:t>
      </w:r>
      <w:r>
        <w:rPr>
          <w:rStyle w:val="Strong"/>
        </w:rPr>
        <w:t>15 canons</w:t>
      </w:r>
      <w:r>
        <w:rPr/>
        <w:t> condemned specific aspects of Origenism.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trong"/>
        </w:rPr>
        <w:t>Recognition</w:t>
      </w:r>
      <w:r>
        <w:rPr/>
        <w:t>: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/>
        <w:t>The Second Council of Constantinople is recognized by both the </w:t>
      </w:r>
      <w:r>
        <w:rPr>
          <w:rStyle w:val="Strong"/>
        </w:rPr>
        <w:t>Eastern Orthodox Church</w:t>
      </w:r>
      <w:r>
        <w:rPr/>
        <w:t> and the </w:t>
      </w:r>
      <w:r>
        <w:rPr>
          <w:rStyle w:val="Strong"/>
        </w:rPr>
        <w:t>Catholic Church</w:t>
      </w:r>
      <w:r>
        <w:rPr/>
        <w:t>.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0" w:leader="none"/>
        </w:tabs>
        <w:ind w:hanging="0" w:start="30" w:end="30"/>
        <w:rPr/>
      </w:pPr>
      <w:hyperlink r:id="rId10" w:tgtFrame="_blank">
        <w:r>
          <w:rPr>
            <w:rStyle w:val="Hyperlink"/>
            <w:bdr w:val="single" w:sz="12" w:space="1" w:color="000000"/>
          </w:rPr>
          <w:t>It is also accepted by the </w:t>
        </w:r>
        <w:r>
          <w:rPr>
            <w:rStyle w:val="Hyperlink"/>
            <w:b/>
            <w:b/>
            <w:bCs/>
            <w:bdr w:val="single" w:sz="12" w:space="1" w:color="000000"/>
          </w:rPr>
          <w:t>Old Catholics</w:t>
        </w:r>
        <w:r>
          <w:rPr>
            <w:rStyle w:val="Hyperlink"/>
            <w:bdr w:val="single" w:sz="12" w:space="1" w:color="000000"/>
          </w:rPr>
          <w:t> and some other Christian denominations, although Protestant opinions vary</w:t>
        </w:r>
      </w:hyperlink>
      <w:hyperlink r:id="rId11" w:tgtFrame="_blank">
        <w:r>
          <w:rPr>
            <w:rStyle w:val="Hyperlink"/>
          </w:rPr>
          <w:t>1</w:t>
        </w:r>
      </w:hyperlink>
      <w:hyperlink r:id="rId12" w:tgtFrame="_blank">
        <w:r>
          <w:rPr>
            <w:rStyle w:val="Hyperlink"/>
          </w:rPr>
          <w:t>2</w:t>
        </w:r>
      </w:hyperlink>
      <w:hyperlink r:id="rId13" w:tgtFrame="_blank">
        <w:r>
          <w:rPr>
            <w:rStyle w:val="Hyperlink"/>
          </w:rPr>
          <w:t>3</w:t>
        </w:r>
      </w:hyperlink>
      <w:hyperlink r:id="rId14" w:tgtFrame="_blank">
        <w:r>
          <w:rPr>
            <w:rStyle w:val="Hyperlink"/>
          </w:rPr>
          <w:t>4</w:t>
        </w:r>
      </w:hyperlink>
      <w:hyperlink r:id="rId15" w:tgtFrame="_blank">
        <w:r>
          <w:rPr>
            <w:rStyle w:val="Hyperlink"/>
          </w:rPr>
          <w:t>5</w:t>
        </w:r>
      </w:hyperlink>
      <w:r>
        <w:rPr/>
        <w:t>.</w:t>
      </w:r>
    </w:p>
    <w:p>
      <w:pPr>
        <w:pStyle w:val="BodyText"/>
        <w:pBdr/>
        <w:ind w:hanging="0" w:start="0" w:end="0"/>
        <w:rPr/>
      </w:pPr>
      <w:r>
        <w:rPr/>
        <w:t>In summary, this council played a crucial role in shaping early Christian theology and addressing doctrinal disputes. Its decisions continue to influence Christian thought and practice.</w:t>
      </w:r>
    </w:p>
    <w:p>
      <w:pPr>
        <w:pStyle w:val="BodyText"/>
        <w:pBdr/>
        <w:ind w:hanging="0" w:start="0" w:end="0"/>
        <w:rPr/>
      </w:pPr>
      <w:r>
        <w:rPr/>
      </w:r>
    </w:p>
    <w:p>
      <w:pPr>
        <w:pStyle w:val="Heading2"/>
        <w:ind w:hanging="0" w:start="0"/>
        <w:rPr/>
      </w:pPr>
      <w:r>
        <w:rPr>
          <w:rStyle w:val="Strong"/>
          <w:b/>
          <w:bCs/>
        </w:rPr>
        <w:t>Third Council of Constantinople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The </w:t>
      </w:r>
      <w:r>
        <w:rPr>
          <w:rStyle w:val="Strong"/>
        </w:rPr>
        <w:t>Third Council of Constantinople</w:t>
      </w:r>
      <w:r>
        <w:rPr/>
        <w:t>, also known as the </w:t>
      </w:r>
      <w:r>
        <w:rPr>
          <w:rStyle w:val="Strong"/>
        </w:rPr>
        <w:t>Sixth Ecumenical Council</w:t>
      </w:r>
      <w:r>
        <w:rPr/>
        <w:t>, took place in </w:t>
      </w:r>
      <w:r>
        <w:rPr>
          <w:rStyle w:val="Strong"/>
        </w:rPr>
        <w:t>Constantinople</w:t>
      </w:r>
      <w:r>
        <w:rPr/>
        <w:t> from </w:t>
      </w:r>
      <w:r>
        <w:rPr>
          <w:rStyle w:val="Strong"/>
        </w:rPr>
        <w:t>680 to 681 AD</w:t>
      </w:r>
      <w:r>
        <w:rPr/>
        <w:t>. Here are the key points about this significant council: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trong"/>
        </w:rPr>
        <w:t>Purpose and Context</w:t>
      </w:r>
      <w:r>
        <w:rPr/>
        <w:t>:</w:t>
      </w:r>
    </w:p>
    <w:p>
      <w:pPr>
        <w:pStyle w:val="BodyText"/>
        <w:numPr>
          <w:ilvl w:val="1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/>
        <w:t>The council aimed to address the </w:t>
      </w:r>
      <w:r>
        <w:rPr>
          <w:rStyle w:val="Strong"/>
        </w:rPr>
        <w:t>Monothelite controversy</w:t>
      </w:r>
      <w:r>
        <w:rPr/>
        <w:t>.</w:t>
      </w:r>
    </w:p>
    <w:p>
      <w:pPr>
        <w:pStyle w:val="BodyText"/>
        <w:numPr>
          <w:ilvl w:val="1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start="0"/>
        <w:rPr/>
      </w:pPr>
      <w:r>
        <w:rPr/>
        <w:t>Monothelitism was a heretical belief that Christ had only one will (a divine will), denying His full humanity.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trong"/>
        </w:rPr>
        <w:t>Participants</w:t>
      </w:r>
      <w:r>
        <w:rPr/>
        <w:t>:</w:t>
      </w:r>
    </w:p>
    <w:p>
      <w:pPr>
        <w:pStyle w:val="BodyText"/>
        <w:numPr>
          <w:ilvl w:val="1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trong"/>
        </w:rPr>
        <w:t>174 bishops</w:t>
      </w:r>
      <w:r>
        <w:rPr/>
        <w:t> attended the council, representing both the </w:t>
      </w:r>
      <w:r>
        <w:rPr>
          <w:rStyle w:val="Strong"/>
        </w:rPr>
        <w:t>Eastern</w:t>
      </w:r>
      <w:r>
        <w:rPr/>
        <w:t> and </w:t>
      </w:r>
      <w:r>
        <w:rPr>
          <w:rStyle w:val="Strong"/>
        </w:rPr>
        <w:t>Western</w:t>
      </w:r>
      <w:r>
        <w:rPr/>
        <w:t> churches.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trong"/>
        </w:rPr>
        <w:t>Decisions and Canons</w:t>
      </w:r>
      <w:r>
        <w:rPr/>
        <w:t>:</w:t>
      </w:r>
    </w:p>
    <w:p>
      <w:pPr>
        <w:pStyle w:val="BodyText"/>
        <w:numPr>
          <w:ilvl w:val="1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/>
        <w:t>The council affirmed the </w:t>
      </w:r>
      <w:r>
        <w:rPr>
          <w:rStyle w:val="Strong"/>
        </w:rPr>
        <w:t>dyothelite</w:t>
      </w:r>
      <w:r>
        <w:rPr/>
        <w:t> position, asserting that Christ had </w:t>
      </w:r>
      <w:r>
        <w:rPr>
          <w:rStyle w:val="Strong"/>
        </w:rPr>
        <w:t>two wills</w:t>
      </w:r>
      <w:r>
        <w:rPr/>
        <w:t> (divine and human) without division or confusion.</w:t>
      </w:r>
    </w:p>
    <w:p>
      <w:pPr>
        <w:pStyle w:val="BodyText"/>
        <w:numPr>
          <w:ilvl w:val="1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start="0"/>
        <w:rPr/>
      </w:pPr>
      <w:r>
        <w:rPr/>
        <w:t>It condemned Monothelitism and the teachings of </w:t>
      </w:r>
      <w:r>
        <w:rPr>
          <w:rStyle w:val="Strong"/>
        </w:rPr>
        <w:t>Sergius I</w:t>
      </w:r>
      <w:r>
        <w:rPr/>
        <w:t>, </w:t>
      </w:r>
      <w:r>
        <w:rPr>
          <w:rStyle w:val="Strong"/>
        </w:rPr>
        <w:t>Honorius I</w:t>
      </w:r>
      <w:r>
        <w:rPr/>
        <w:t>, and </w:t>
      </w:r>
      <w:r>
        <w:rPr>
          <w:rStyle w:val="Strong"/>
        </w:rPr>
        <w:t>Pyrrhus</w:t>
      </w:r>
      <w:r>
        <w:rPr/>
        <w:t>.</w:t>
      </w:r>
    </w:p>
    <w:p>
      <w:pPr>
        <w:pStyle w:val="BodyText"/>
        <w:numPr>
          <w:ilvl w:val="1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start="0"/>
        <w:rPr/>
      </w:pPr>
      <w:r>
        <w:rPr/>
        <w:t>The council issued </w:t>
      </w:r>
      <w:r>
        <w:rPr>
          <w:rStyle w:val="Strong"/>
        </w:rPr>
        <w:t>27 canons</w:t>
      </w:r>
      <w:r>
        <w:rPr/>
        <w:t>, addressing various theological and disciplinary matters.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trong"/>
        </w:rPr>
        <w:t>Legacy and Recognition</w:t>
      </w:r>
      <w:r>
        <w:rPr/>
        <w:t>:</w:t>
      </w:r>
    </w:p>
    <w:p>
      <w:pPr>
        <w:pStyle w:val="BodyText"/>
        <w:numPr>
          <w:ilvl w:val="1"/>
          <w:numId w:val="4"/>
        </w:numPr>
        <w:pBdr/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/>
        <w:t>The Third Council of Constantinople is recognized by the </w:t>
      </w:r>
      <w:r>
        <w:rPr>
          <w:rStyle w:val="Strong"/>
        </w:rPr>
        <w:t>Eastern Orthodox Church</w:t>
      </w:r>
      <w:r>
        <w:rPr/>
        <w:t>, the </w:t>
      </w:r>
      <w:r>
        <w:rPr>
          <w:rStyle w:val="Strong"/>
        </w:rPr>
        <w:t>Catholic Church</w:t>
      </w:r>
      <w:r>
        <w:rPr/>
        <w:t>, and some other Christian denominations.</w:t>
      </w:r>
    </w:p>
    <w:p>
      <w:pPr>
        <w:pStyle w:val="BodyText"/>
        <w:numPr>
          <w:ilvl w:val="1"/>
          <w:numId w:val="4"/>
        </w:numPr>
        <w:pBdr/>
        <w:tabs>
          <w:tab w:val="clear" w:pos="709"/>
          <w:tab w:val="left" w:pos="0" w:leader="none"/>
        </w:tabs>
        <w:ind w:hanging="0" w:start="0"/>
        <w:rPr/>
      </w:pPr>
      <w:r>
        <w:rPr/>
        <w:t>Its decisions contributed to the development of </w:t>
      </w:r>
      <w:r>
        <w:rPr>
          <w:rStyle w:val="Strong"/>
        </w:rPr>
        <w:t>Christological</w:t>
      </w:r>
      <w:r>
        <w:rPr/>
        <w:t> and </w:t>
      </w:r>
      <w:r>
        <w:rPr>
          <w:rStyle w:val="Strong"/>
        </w:rPr>
        <w:t>ecumenical</w:t>
      </w:r>
      <w:r>
        <w:rPr/>
        <w:t> theology.</w:t>
      </w:r>
    </w:p>
    <w:p>
      <w:pPr>
        <w:pStyle w:val="BodyText"/>
        <w:pBdr/>
        <w:ind w:hanging="0" w:start="0" w:end="0"/>
        <w:rPr/>
      </w:pPr>
      <w:r>
        <w:rPr/>
        <w:t>In summary, this council played a crucial role in resolving the Monothelite controversy and reaffirming the orthodox understanding of Christ’s nature and wills. Its impact reverberates through Christian history and doctrine.</w:t>
      </w:r>
    </w:p>
    <w:p>
      <w:pPr>
        <w:pStyle w:val="Heading2"/>
        <w:ind w:hanging="0" w:start="0"/>
        <w:rPr/>
      </w:pPr>
      <w:r>
        <w:rPr>
          <w:rStyle w:val="Strong"/>
          <w:b/>
          <w:bCs/>
        </w:rPr>
        <w:t>Second Council of Nicaea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The </w:t>
      </w:r>
      <w:r>
        <w:rPr>
          <w:rStyle w:val="Strong"/>
        </w:rPr>
        <w:t>Second Council of Nicaea</w:t>
      </w:r>
      <w:r>
        <w:rPr/>
        <w:t>, also known as the </w:t>
      </w:r>
      <w:r>
        <w:rPr>
          <w:rStyle w:val="Strong"/>
        </w:rPr>
        <w:t>Seventh Ecumenical Council</w:t>
      </w:r>
      <w:r>
        <w:rPr/>
        <w:t>, convened in </w:t>
      </w:r>
      <w:r>
        <w:rPr>
          <w:rStyle w:val="Strong"/>
        </w:rPr>
        <w:t>787 AD</w:t>
      </w:r>
      <w:r>
        <w:rPr/>
        <w:t> in </w:t>
      </w:r>
      <w:r>
        <w:rPr>
          <w:rStyle w:val="Strong"/>
        </w:rPr>
        <w:t>Nicaea</w:t>
      </w:r>
      <w:r>
        <w:rPr/>
        <w:t> (present-day İznik, Turkey). Here are the key points about this significant council: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trong"/>
        </w:rPr>
        <w:t>Purpose and Context</w:t>
      </w:r>
      <w:r>
        <w:rPr/>
        <w:t>: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/>
        <w:t>The council aimed to resolve the </w:t>
      </w:r>
      <w:r>
        <w:rPr>
          <w:rStyle w:val="Strong"/>
        </w:rPr>
        <w:t>Iconoclastic Controversy</w:t>
      </w:r>
      <w:r>
        <w:rPr/>
        <w:t>.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0" w:leader="none"/>
        </w:tabs>
        <w:spacing w:before="0" w:after="0"/>
        <w:ind w:hanging="0" w:start="0"/>
        <w:rPr/>
      </w:pPr>
      <w:r>
        <w:rPr/>
        <w:t>This controversy had its roots in </w:t>
      </w:r>
      <w:r>
        <w:rPr>
          <w:rStyle w:val="Strong"/>
        </w:rPr>
        <w:t>726 AD</w:t>
      </w:r>
      <w:r>
        <w:rPr/>
        <w:t>, when </w:t>
      </w:r>
      <w:r>
        <w:rPr>
          <w:rStyle w:val="Strong"/>
        </w:rPr>
        <w:t>Byzantine Emperor Leo III</w:t>
      </w:r>
      <w:r>
        <w:rPr/>
        <w:t> issued a decree against the worship of </w:t>
      </w:r>
      <w:r>
        <w:rPr>
          <w:rStyle w:val="Strong"/>
        </w:rPr>
        <w:t>icons</w:t>
      </w:r>
      <w:r>
        <w:rPr/>
        <w:t> (religious images of Christ and the saints).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trong"/>
        </w:rPr>
        <w:t>Background</w:t>
      </w:r>
      <w:r>
        <w:rPr/>
        <w:t>: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/>
        <w:t>The veneration of icons had been banned by </w:t>
      </w:r>
      <w:r>
        <w:rPr>
          <w:rStyle w:val="Strong"/>
        </w:rPr>
        <w:t>Emperor Constantine V</w:t>
      </w:r>
      <w:r>
        <w:rPr/>
        <w:t> and supported by the </w:t>
      </w:r>
      <w:r>
        <w:rPr>
          <w:rStyle w:val="Strong"/>
        </w:rPr>
        <w:t>Council of Hieria</w:t>
      </w:r>
      <w:r>
        <w:rPr/>
        <w:t> in </w:t>
      </w:r>
      <w:r>
        <w:rPr>
          <w:rStyle w:val="Strong"/>
        </w:rPr>
        <w:t>754 AD</w:t>
      </w:r>
      <w:r>
        <w:rPr/>
        <w:t>, which controversially labeled itself as the </w:t>
      </w:r>
      <w:r>
        <w:rPr>
          <w:rStyle w:val="Strong"/>
        </w:rPr>
        <w:t>seventh ecumenical council</w:t>
      </w:r>
      <w:r>
        <w:rPr/>
        <w:t>.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0" w:leader="none"/>
        </w:tabs>
        <w:spacing w:before="0" w:after="0"/>
        <w:ind w:hanging="0" w:start="0"/>
        <w:rPr/>
      </w:pPr>
      <w:r>
        <w:rPr/>
        <w:t>However, the Second Council of Nicaea, held only </w:t>
      </w:r>
      <w:r>
        <w:rPr>
          <w:rStyle w:val="Strong"/>
        </w:rPr>
        <w:t>33 years later</w:t>
      </w:r>
      <w:r>
        <w:rPr/>
        <w:t>, overturned the decisions of the Council of Hieria.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0" w:leader="none"/>
        </w:tabs>
        <w:spacing w:before="0" w:after="0"/>
        <w:ind w:hanging="0" w:start="30" w:end="30"/>
        <w:rPr/>
      </w:pPr>
      <w:hyperlink r:id="rId16" w:tgtFrame="_blank">
        <w:r>
          <w:rPr>
            <w:rStyle w:val="Hyperlink"/>
            <w:bdr w:val="single" w:sz="12" w:space="1" w:color="000000"/>
          </w:rPr>
          <w:t>Both </w:t>
        </w:r>
        <w:r>
          <w:rPr>
            <w:rStyle w:val="Hyperlink"/>
            <w:b/>
            <w:b/>
            <w:bCs/>
            <w:bdr w:val="single" w:sz="12" w:space="1" w:color="000000"/>
          </w:rPr>
          <w:t>Catholic</w:t>
        </w:r>
        <w:r>
          <w:rPr>
            <w:rStyle w:val="Hyperlink"/>
            <w:bdr w:val="single" w:sz="12" w:space="1" w:color="000000"/>
          </w:rPr>
          <w:t> and </w:t>
        </w:r>
        <w:r>
          <w:rPr>
            <w:rStyle w:val="Hyperlink"/>
            <w:b/>
            <w:b/>
            <w:bCs/>
            <w:bdr w:val="single" w:sz="12" w:space="1" w:color="000000"/>
          </w:rPr>
          <w:t>Orthodox</w:t>
        </w:r>
        <w:r>
          <w:rPr>
            <w:rStyle w:val="Hyperlink"/>
            <w:bdr w:val="single" w:sz="12" w:space="1" w:color="000000"/>
          </w:rPr>
          <w:t> churches reject the Council of Hieria, as none of the </w:t>
        </w:r>
        <w:r>
          <w:rPr>
            <w:rStyle w:val="Hyperlink"/>
            <w:b/>
            <w:b/>
            <w:bCs/>
            <w:bdr w:val="single" w:sz="12" w:space="1" w:color="000000"/>
          </w:rPr>
          <w:t>five major patriarchs</w:t>
        </w:r>
        <w:r>
          <w:rPr>
            <w:rStyle w:val="Hyperlink"/>
            <w:bdr w:val="single" w:sz="12" w:space="1" w:color="000000"/>
          </w:rPr>
          <w:t> were represented there</w:t>
        </w:r>
      </w:hyperlink>
      <w:hyperlink r:id="rId17" w:tgtFrame="_blank">
        <w:r>
          <w:rPr>
            <w:rStyle w:val="Hyperlink"/>
          </w:rPr>
          <w:t>1</w:t>
        </w:r>
      </w:hyperlink>
      <w:hyperlink r:id="rId18" w:tgtFrame="_blank">
        <w:r>
          <w:rPr>
            <w:rStyle w:val="Hyperlink"/>
          </w:rPr>
          <w:t>2</w:t>
        </w:r>
      </w:hyperlink>
      <w:r>
        <w:rPr/>
        <w:t>.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trong"/>
        </w:rPr>
        <w:t>Decisions and Restoration</w:t>
      </w:r>
      <w:r>
        <w:rPr/>
        <w:t>: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/>
        <w:t>The Second Council of Nicaea aimed to </w:t>
      </w:r>
      <w:r>
        <w:rPr>
          <w:rStyle w:val="Strong"/>
        </w:rPr>
        <w:t>restore the use and veneration of icons</w:t>
      </w:r>
      <w:r>
        <w:rPr/>
        <w:t> that had been suppressed by imperial edict during the reign of </w:t>
      </w:r>
      <w:r>
        <w:rPr>
          <w:rStyle w:val="Strong"/>
        </w:rPr>
        <w:t>Leo III</w:t>
      </w:r>
      <w:r>
        <w:rPr/>
        <w:t>.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0" w:leader="none"/>
        </w:tabs>
        <w:spacing w:before="0" w:after="0"/>
        <w:ind w:hanging="0" w:start="0"/>
        <w:rPr/>
      </w:pPr>
      <w:r>
        <w:rPr/>
        <w:t>The council affirmed the importance of </w:t>
      </w:r>
      <w:r>
        <w:rPr>
          <w:rStyle w:val="Strong"/>
        </w:rPr>
        <w:t>holy images</w:t>
      </w:r>
      <w:r>
        <w:rPr/>
        <w:t> in Christian worship and sought to end the iconoclastic policies.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0" w:leader="none"/>
        </w:tabs>
        <w:spacing w:before="0" w:after="0"/>
        <w:ind w:hanging="0" w:start="0"/>
        <w:rPr/>
      </w:pPr>
      <w:r>
        <w:rPr/>
        <w:t>It recognized the value of icons in conveying spiritual truths and connecting believers to the divine.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trong"/>
        </w:rPr>
        <w:t>Recognition</w:t>
      </w:r>
      <w:r>
        <w:rPr/>
        <w:t>: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/>
        <w:t>The Second Council of Nicaea is recognized as the </w:t>
      </w:r>
      <w:r>
        <w:rPr>
          <w:rStyle w:val="Strong"/>
        </w:rPr>
        <w:t>last of the first seven ecumenical councils</w:t>
      </w:r>
      <w:r>
        <w:rPr/>
        <w:t> by the </w:t>
      </w:r>
      <w:r>
        <w:rPr>
          <w:rStyle w:val="Strong"/>
        </w:rPr>
        <w:t>Eastern Orthodox Church</w:t>
      </w:r>
      <w:r>
        <w:rPr/>
        <w:t>, the </w:t>
      </w:r>
      <w:r>
        <w:rPr>
          <w:rStyle w:val="Strong"/>
        </w:rPr>
        <w:t>Catholic Church</w:t>
      </w:r>
      <w:r>
        <w:rPr/>
        <w:t>, and other Christian denominations.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0" w:leader="none"/>
        </w:tabs>
        <w:ind w:hanging="0" w:start="0"/>
        <w:rPr/>
      </w:pPr>
      <w:r>
        <w:rPr/>
        <w:t>While </w:t>
      </w:r>
      <w:r>
        <w:rPr>
          <w:rStyle w:val="Strong"/>
        </w:rPr>
        <w:t>Protestant opinions</w:t>
      </w:r>
      <w:r>
        <w:rPr/>
        <w:t> on it vary, its impact on Christian theology and practice remains significant.</w:t>
      </w:r>
    </w:p>
    <w:p>
      <w:pPr>
        <w:pStyle w:val="BodyText"/>
        <w:pBdr/>
        <w:ind w:hanging="0" w:start="0" w:end="0"/>
        <w:rPr/>
      </w:pPr>
      <w:r>
        <w:rPr/>
        <w:t>In summary, this council played a crucial role in restoring the veneration of icons and affirming their place in Christian worship, bridging the gap between the material and the spiritual in religious devotion.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cel.org/ccel/schaff/npnf214.html" TargetMode="External"/><Relationship Id="rId3" Type="http://schemas.openxmlformats.org/officeDocument/2006/relationships/hyperlink" Target="https://ccel.org/ccel/schaff/npnf214.html" TargetMode="External"/><Relationship Id="rId4" Type="http://schemas.openxmlformats.org/officeDocument/2006/relationships/hyperlink" Target="https://ccel.org/ccel/schaff/npnf214.html" TargetMode="External"/><Relationship Id="rId5" Type="http://schemas.openxmlformats.org/officeDocument/2006/relationships/hyperlink" Target="https://ccel.org/ccel/schaff/npnf214.html" TargetMode="External"/><Relationship Id="rId6" Type="http://schemas.openxmlformats.org/officeDocument/2006/relationships/hyperlink" Target="https://ccel.org/ccel/schaff/npnf214.html" TargetMode="External"/><Relationship Id="rId7" Type="http://schemas.openxmlformats.org/officeDocument/2006/relationships/hyperlink" Target="https://ccel.org/ccel/schaff/npnf214.html" TargetMode="External"/><Relationship Id="rId8" Type="http://schemas.openxmlformats.org/officeDocument/2006/relationships/hyperlink" Target="https://ccel.org/ccel/schaff/npnf214.html" TargetMode="External"/><Relationship Id="rId9" Type="http://schemas.openxmlformats.org/officeDocument/2006/relationships/hyperlink" Target="https://ccel.org/ccel/schaff/npnf214.html" TargetMode="External"/><Relationship Id="rId10" Type="http://schemas.openxmlformats.org/officeDocument/2006/relationships/hyperlink" Target="https://en.wikipedia.org/wiki/Second_Council_of_Constantinople" TargetMode="External"/><Relationship Id="rId11" Type="http://schemas.openxmlformats.org/officeDocument/2006/relationships/hyperlink" Target="https://en.wikipedia.org/wiki/Second_Council_of_Constantinople" TargetMode="External"/><Relationship Id="rId12" Type="http://schemas.openxmlformats.org/officeDocument/2006/relationships/hyperlink" Target="https://www.encyclopedia.com/religion/encyclopedias-almanacs-transcripts-and-maps/constantinople-ii-council" TargetMode="External"/><Relationship Id="rId13" Type="http://schemas.openxmlformats.org/officeDocument/2006/relationships/hyperlink" Target="https://www.newworldencyclopedia.org/entry/Second_Council_of_Constantinople" TargetMode="External"/><Relationship Id="rId14" Type="http://schemas.openxmlformats.org/officeDocument/2006/relationships/hyperlink" Target="https://amazingbibletimeline.com/blog/ecumenical-council-of-constantinople/" TargetMode="External"/><Relationship Id="rId15" Type="http://schemas.openxmlformats.org/officeDocument/2006/relationships/hyperlink" Target="https://www.britannica.com/event/Second-Council-of-Constantinople-553" TargetMode="External"/><Relationship Id="rId16" Type="http://schemas.openxmlformats.org/officeDocument/2006/relationships/hyperlink" Target="https://en.wikipedia.org/wiki/Second_Council_of_Nicaea" TargetMode="External"/><Relationship Id="rId17" Type="http://schemas.openxmlformats.org/officeDocument/2006/relationships/hyperlink" Target="https://en.wikipedia.org/wiki/Second_Council_of_Nicaea" TargetMode="External"/><Relationship Id="rId18" Type="http://schemas.openxmlformats.org/officeDocument/2006/relationships/hyperlink" Target="https://www.britannica.com/event/Second-Council-of-Nicaea-787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LibreOffice/24.2.0.3$Windows_X86_64 LibreOffice_project/da48488a73ddd66ea24cf16bbc4f7b9c08e9bea1</Application>
  <AppVersion>15.0000</AppVersion>
  <Pages>3</Pages>
  <Words>960</Words>
  <Characters>5373</Characters>
  <CharactersWithSpaces>6215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2024-02-07T19:35:59Z</dcterms:created>
  <dc:creator/>
  <dc:description/>
  <dc:language>en-US</dc:language>
  <cp:lastModifiedBy/>
  <dcterms:modified xsi:type="dcterms:W3CDTF">2024-02-09T08:20:51Z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