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Digital Schakellokalen Solution Overview</w:t>
      </w:r>
    </w:p>
    <w:p>
      <w:pPr>
        <w:jc w:val="center"/>
      </w:pPr>
      <w:r>
        <w:rPr>
          <w:i/>
          <w:sz w:val="26"/>
        </w:rPr>
        <w:t>Consolidated solution overview for the Alliander Digital Schakellokalen tender response, with a dedicated section per architecture layer (business, enterprise, solution, hardware, network, data, security)</w:t>
      </w:r>
    </w:p>
    <w:p>
      <w:pPr>
        <w:jc w:val="center"/>
      </w:pPr>
      <w:r>
        <w:rPr>
          <w:sz w:val="20"/>
        </w:rPr>
        <w:t>Avanade Bid Team  |  2026-09-30</w:t>
      </w:r>
    </w:p>
    <w:p>
      <w:r>
        <w:br w:type="page"/>
      </w:r>
    </w:p>
    <w:p>
      <w:r>
        <w:t>&gt; Status: DRAFT. Working draft for internal bid team review, not yet cleared for submission to Alliander. Sections marked Placeholder have no content yet and are tracked as open work below.</w:t>
      </w:r>
    </w:p>
    <w:p>
      <w:pPr>
        <w:pStyle w:val="Heading1"/>
      </w:pPr>
      <w:r>
        <w:t>Purpose</w:t>
      </w:r>
    </w:p>
    <w:p>
      <w:r>
        <w:t>This is the single source of truth for the Digital Schakellokalen solution overview during the drafting phase. It replaces the earlier separate solution-overview, architecture-diagram, and draft-solution-response files, merged here to avoid duplication and drift. It also tracks completion status per architecture layer, since GC1 and GC2 scoring depends on a credible, complete architecture package, not a single diagram.</w:t>
      </w:r>
    </w:p>
    <w:p>
      <w:pPr>
        <w:pStyle w:val="Heading1"/>
      </w:pPr>
      <w:r>
        <w:t>Architecture Layers: Status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rPr>
              <w:t>Layer</w:t>
            </w:r>
          </w:p>
        </w:tc>
        <w:tc>
          <w:tcPr>
            <w:tcW w:type="dxa" w:w="2880"/>
            <w:shd w:val="clear" w:color="auto" w:fill="2F5496"/>
          </w:tcPr>
          <w:p>
            <w:r>
              <w:rPr>
                <w:b/>
                <w:color w:val="FFFFFF"/>
              </w:rPr>
              <w:t>Covers</w:t>
            </w:r>
          </w:p>
        </w:tc>
        <w:tc>
          <w:tcPr>
            <w:tcW w:type="dxa" w:w="2880"/>
            <w:shd w:val="clear" w:color="auto" w:fill="2F5496"/>
          </w:tcPr>
          <w:p>
            <w:r>
              <w:rPr>
                <w:b/>
                <w:color w:val="FFFFFF"/>
              </w:rPr>
              <w:t>Status</w:t>
            </w:r>
          </w:p>
        </w:tc>
      </w:tr>
      <w:tr>
        <w:tc>
          <w:tcPr>
            <w:tcW w:type="dxa" w:w="2880"/>
          </w:tcPr>
          <w:p>
            <w:r>
              <w:t>Business architecture</w:t>
            </w:r>
          </w:p>
        </w:tc>
        <w:tc>
          <w:tcPr>
            <w:tcW w:type="dxa" w:w="2880"/>
          </w:tcPr>
          <w:p>
            <w:r>
              <w:t>Stakeholders, training outcomes, scope boundary, value chain across the 8-year framework</w:t>
            </w:r>
          </w:p>
        </w:tc>
        <w:tc>
          <w:tcPr>
            <w:tcW w:type="dxa" w:w="2880"/>
          </w:tcPr>
          <w:p>
            <w:r>
              <w:t>Placeholder</w:t>
            </w:r>
          </w:p>
        </w:tc>
      </w:tr>
      <w:tr>
        <w:tc>
          <w:tcPr>
            <w:tcW w:type="dxa" w:w="2880"/>
          </w:tcPr>
          <w:p>
            <w:r>
              <w:t>Enterprise architecture</w:t>
            </w:r>
          </w:p>
        </w:tc>
        <w:tc>
          <w:tcPr>
            <w:tcW w:type="dxa" w:w="2880"/>
          </w:tcPr>
          <w:p>
            <w:r>
              <w:t>Fit with Alliander's existing systems (Archipel, LVS), portfolio and capability mapping</w:t>
            </w:r>
          </w:p>
        </w:tc>
        <w:tc>
          <w:tcPr>
            <w:tcW w:type="dxa" w:w="2880"/>
          </w:tcPr>
          <w:p>
            <w:r>
              <w:t>Placeholder</w:t>
            </w:r>
          </w:p>
        </w:tc>
      </w:tr>
      <w:tr>
        <w:tc>
          <w:tcPr>
            <w:tcW w:type="dxa" w:w="2880"/>
          </w:tcPr>
          <w:p>
            <w:r>
              <w:t>Solution architecture</w:t>
            </w:r>
          </w:p>
        </w:tc>
        <w:tc>
          <w:tcPr>
            <w:tcW w:type="dxa" w:w="2880"/>
          </w:tcPr>
          <w:p>
            <w:r>
              <w:t>The six-layer component model: physical, instrument, edge, digital twin, AI/agentic, experience</w:t>
            </w:r>
          </w:p>
        </w:tc>
        <w:tc>
          <w:tcPr>
            <w:tcW w:type="dxa" w:w="2880"/>
          </w:tcPr>
          <w:p>
            <w:r>
              <w:t>Drafted (suggested, not final)</w:t>
            </w:r>
          </w:p>
        </w:tc>
      </w:tr>
      <w:tr>
        <w:tc>
          <w:tcPr>
            <w:tcW w:type="dxa" w:w="2880"/>
          </w:tcPr>
          <w:p>
            <w:r>
              <w:t>Hardware architecture</w:t>
            </w:r>
          </w:p>
        </w:tc>
        <w:tc>
          <w:tcPr>
            <w:tcW w:type="dxa" w:w="2880"/>
          </w:tcPr>
          <w:p>
            <w:r>
              <w:t>Instrumentation and edge device design, fail-safe behaviour, field-replaceability</w:t>
            </w:r>
          </w:p>
        </w:tc>
        <w:tc>
          <w:tcPr>
            <w:tcW w:type="dxa" w:w="2880"/>
          </w:tcPr>
          <w:p>
            <w:r>
              <w:t>Drafted from recon facts</w:t>
            </w:r>
          </w:p>
        </w:tc>
      </w:tr>
      <w:tr>
        <w:tc>
          <w:tcPr>
            <w:tcW w:type="dxa" w:w="2880"/>
          </w:tcPr>
          <w:p>
            <w:r>
              <w:t>Network architecture</w:t>
            </w:r>
          </w:p>
        </w:tc>
        <w:tc>
          <w:tcPr>
            <w:tcW w:type="dxa" w:w="2880"/>
          </w:tcPr>
          <w:p>
            <w:r>
              <w:t>On-site industrial network and protocol stack, edge-to-cloud connectivity, offline operation, segmentation</w:t>
            </w:r>
          </w:p>
        </w:tc>
        <w:tc>
          <w:tcPr>
            <w:tcW w:type="dxa" w:w="2880"/>
          </w:tcPr>
          <w:p>
            <w:r>
              <w:t>Drafted from recon facts, protocol choice not yet confirmed</w:t>
            </w:r>
          </w:p>
        </w:tc>
      </w:tr>
      <w:tr>
        <w:tc>
          <w:tcPr>
            <w:tcW w:type="dxa" w:w="2880"/>
          </w:tcPr>
          <w:p>
            <w:r>
              <w:t>Data architecture</w:t>
            </w:r>
          </w:p>
        </w:tc>
        <w:tc>
          <w:tcPr>
            <w:tcW w:type="dxa" w:w="2880"/>
          </w:tcPr>
          <w:p>
            <w:r>
              <w:t>Digital twin data model, learning-data flows, EEA residency, retention</w:t>
            </w:r>
          </w:p>
        </w:tc>
        <w:tc>
          <w:tcPr>
            <w:tcW w:type="dxa" w:w="2880"/>
          </w:tcPr>
          <w:p>
            <w:r>
              <w:t>Placeholder</w:t>
            </w:r>
          </w:p>
        </w:tc>
      </w:tr>
      <w:tr>
        <w:tc>
          <w:tcPr>
            <w:tcW w:type="dxa" w:w="2880"/>
          </w:tcPr>
          <w:p>
            <w:r>
              <w:t>Security architecture</w:t>
            </w:r>
          </w:p>
        </w:tc>
        <w:tc>
          <w:tcPr>
            <w:tcW w:type="dxa" w:w="2880"/>
          </w:tcPr>
          <w:p>
            <w:r>
              <w:t>IAM/IGA integration, SIEM export, encryption, certifications, fail-safe independence</w:t>
            </w:r>
          </w:p>
        </w:tc>
        <w:tc>
          <w:tcPr>
            <w:tcW w:type="dxa" w:w="2880"/>
          </w:tcPr>
          <w:p>
            <w:r>
              <w:t>Drafted from recon facts</w:t>
            </w:r>
          </w:p>
        </w:tc>
      </w:tr>
    </w:tbl>
    <w:p/>
    <w:p>
      <w:pPr>
        <w:pStyle w:val="Heading1"/>
      </w:pPr>
      <w:r>
        <w:t>Architecture Summary</w:t>
      </w:r>
    </w:p>
    <w:p>
      <w:r>
        <w:t>The Digital Schakellokalen solution is a layered edge-to-cloud architecture. Unlike a typical cloud-first system, the defining constraint is that the on-site edge must keep training running through a temporary loss of internet connectivity (Bijlage L PERF-05); Avanade's design goes further and treats the edge as capable of running a full site with no dependency on internet breakout, syncing to the cloud only when connectivity is available.</w:t>
      </w:r>
    </w:p>
    <w:p>
      <w:r>
        <w:t>Architectural decisions driven directly by tender requirements:</w:t>
      </w:r>
    </w:p>
    <w:p>
      <w:pPr>
        <w:ind w:left="510" w:hanging="340"/>
      </w:pPr>
      <w:r>
        <w:t>1.</w:t>
        <w:tab/>
        <w:t>Edge-first compute. The on-site edge server is the system of record during a training session. Cloud synchronization happens asynchronously whenever connectivity allows (Bijlage L PERF-05).</w:t>
      </w:r>
    </w:p>
    <w:p>
      <w:pPr>
        <w:ind w:left="510" w:hanging="340"/>
      </w:pPr>
      <w:r>
        <w:t>2.</w:t>
        <w:tab/>
        <w:t>Fail-safe independence. Physical safety systems, interlocks, emergency stops, and lock-out/tag-out mechanisms sit outside the digital control loop entirely. A failure of the digital layer degrades to a predefined safe state and never disables physical safety (Bijlage L SAFE-01, SAFE-02).</w:t>
      </w:r>
    </w:p>
    <w:p>
      <w:pPr>
        <w:ind w:left="510" w:hanging="340"/>
      </w:pPr>
      <w:r>
        <w:t>3.</w:t>
        <w:tab/>
        <w:t>Hardware abstraction boundary. Hardware-specific protocols and drivers are confined to the integration layer, keeping the platform modular and the instrumented panels replaceable without redesigning the core solution (Bijlage L ITAR-03).</w:t>
      </w:r>
    </w:p>
    <w:p>
      <w:pPr>
        <w:ind w:left="510" w:hanging="340"/>
      </w:pPr>
      <w:r>
        <w:t>4.</w:t>
        <w:tab/>
        <w:t>Identity federation, not local authentication. Every identity touchpoint routes through Alliander's IAM platform; no local credential store exists anywhere in the solution, including on edge hardware (Bijlage V §3.1-3.2).</w:t>
      </w:r>
    </w:p>
    <w:p>
      <w:pPr>
        <w:ind w:left="510" w:hanging="340"/>
      </w:pPr>
      <w:r>
        <w:t>5.</w:t>
        <w:tab/>
        <w:t>EEA-only data residency. The digital twin and learning-data store are hosted exclusively within the EEA (Bijlage L IT-03, LCD11).</w:t>
      </w:r>
    </w:p>
    <w:p>
      <w:pPr>
        <w:pStyle w:val="Heading1"/>
      </w:pPr>
      <w:r>
        <w:t>Business Architecture</w:t>
      </w:r>
    </w:p>
    <w:p>
      <w:r>
        <w:t>&gt; Placeholder. Not yet developed. Should cover: stakeholder map (training organisation, trainees, IAM/security/SIEM teams, procurement — see the Hardware BRD for the current stakeholder list), the business outcomes the framework agreement is buying (scenario coverage, availability, scalability to new sites), the value chain across the 3+5x1-year contract term, and the scope split between the hardware partner and Avanade/Alliander in business terms rather than technical layers.</w:t>
      </w:r>
    </w:p>
    <w:p>
      <w:pPr>
        <w:pStyle w:val="Heading1"/>
      </w:pPr>
      <w:r>
        <w:t>Enterprise Architecture</w:t>
      </w:r>
    </w:p>
    <w:p>
      <w:r>
        <w:t>&gt; Placeholder. Not yet developed. Should cover: how the solution fits alongside Alliander's existing systems, Archipel (being replaced under a separate tender) and LVS (the existing learning management system, future integration required per GC3), capability mapping against Alliander's broader IT/OT portfolio, and how this solution avoids creating a parallel, disconnected system.</w:t>
      </w:r>
    </w:p>
    <w:p>
      <w:pPr>
        <w:pStyle w:val="Heading1"/>
      </w:pPr>
      <w:r>
        <w:t>Solution Architecture</w:t>
      </w:r>
    </w:p>
    <w:p>
      <w:r>
        <w:t>The diagram below is also available as an editable draw.io file: architecture-diagram.drawio. Open it in the draw.io desktop app, diagrams.net, or the VS Code draw.io extension.</w:t>
      </w:r>
    </w:p>
    <w:p>
      <w:r>
        <w:rPr>
          <w:rFonts w:ascii="Consolas" w:hAnsi="Consolas"/>
          <w:sz w:val="16"/>
        </w:rPr>
        <w:t>+===========================================+     +===========================================+</w:t>
        <w:br/>
        <w:t>|  PS: Partner Scope                        |     |  AS: Avanade / Alliander Scope             |</w:t>
        <w:br/>
        <w:t>|  Hardware Layer (offline-capable)         |     |  Digital Layer                             |</w:t>
        <w:br/>
        <w:t>|                                            |     |                                             |</w:t>
        <w:br/>
        <w:t>|  +--------------------------------------+ |     |  +--------------------------------------+   |</w:t>
        <w:br/>
        <w:t>|  | Layer 1 - Physical                  | |     |  | Layer 4 - Digital Twin               |   |</w:t>
        <w:br/>
        <w:t>|  | MV/LV switchgear, RMUs, breakers,   | |     |  | Authoritative network model,         |   |</w:t>
        <w:br/>
        <w:t>|  | meterkast, street lighting (FlexOV) | |     |  | live state, session history          |   |</w:t>
        <w:br/>
        <w:t>|  +------------------+-------------------+ |     |  +------------------+-------------------+   |</w:t>
        <w:br/>
        <w:t>|                     v                     |     |                     v                       |</w:t>
        <w:br/>
        <w:t>|  +--------------------------------------+ |     |  +--------------------------------------+   |</w:t>
        <w:br/>
        <w:t>|  | Layer 2 - Instrument                | |     |  | Layer 5 - AI &amp; Agentic                |   |</w:t>
        <w:br/>
        <w:t>|  | Sensors, relays, I/O modules,       | |     |  | Vision step validation, procedure    |   |</w:t>
        <w:br/>
        <w:t>|  | RFID/NFC, fault-injection points    | |     |  | copilot, fault engine, scoring       |   |</w:t>
        <w:br/>
        <w:t>|  +------------------+-------------------+ |     |  +------------------+-------------------+   |</w:t>
        <w:br/>
        <w:t>|                     v                     |     |                     v                       |</w:t>
        <w:br/>
        <w:t>|  +--------------------------------------+ |     |  +--------------------------------------+   |</w:t>
        <w:br/>
        <w:t>|  | Layer 3 - Connect (Edge)            |-|-----|-&gt;| Layer 6 - Experience                  |   |</w:t>
        <w:br/>
        <w:t>|  | On-site gateway + edge server       | | sync when connectivity available, async,    |   |</w:t>
        <w:br/>
        <w:t>|  | industrial protocol stack, UPS      | | not required for operation                  |   |</w:t>
        <w:br/>
        <w:t>|  | runs FULLY OFFLINE                  | |     |  | Instructor dashboard, trainee HMI,   |   |</w:t>
        <w:br/>
        <w:t>|  +--------------------------------------+ |     |  | optional AR/MR, voice                |   |</w:t>
        <w:br/>
        <w:t>|                                            |     |  +--------------------------------------+   |</w:t>
        <w:br/>
        <w:t>+===========================================+     +===========================================+</w:t>
        <w:br/>
        <w:t xml:space="preserve">        ^                                                    ^</w:t>
        <w:br/>
        <w:t xml:space="preserve">        | OIDC/OAuth2 + PKCE,                                | never overridden by</w:t>
        <w:br/>
        <w:t xml:space="preserve">        | SIEM export, no local                              |</w:t>
        <w:br/>
        <w:t xml:space="preserve">        | credential stores                                  |</w:t>
        <w:br/>
        <w:t xml:space="preserve">  +--------------------------+                    +--------------------------------+</w:t>
        <w:br/>
        <w:t xml:space="preserve">  | Alliander IAM            |                    | Physical safety systems         |</w:t>
        <w:br/>
        <w:t xml:space="preserve">  +--------------------------+                    | interlocks, e-stop, LOTO         |</w:t>
        <w:br/>
        <w:t xml:space="preserve">                                                    | INDEPENDENT of digital layer    |</w:t>
        <w:br/>
        <w:t xml:space="preserve">                                                    +--------------------------------+</w:t>
      </w:r>
    </w:p>
    <w:p/>
    <w:p>
      <w:pPr>
        <w:pStyle w:val="Heading2"/>
      </w:pPr>
      <w:r>
        <w:t>Legend</w:t>
      </w:r>
    </w:p>
    <w:p>
      <w:pPr>
        <w:pStyle w:val="ListBullet"/>
      </w:pPr>
      <w:r>
        <w:t>Solid arrow = data flow within a boundary</w:t>
      </w:r>
    </w:p>
    <w:p>
      <w:pPr>
        <w:pStyle w:val="ListBullet"/>
      </w:pPr>
      <w:r>
        <w:t>Dashed / labeled cross-link = cross-cutting or optional connection</w:t>
      </w:r>
    </w:p>
    <w:p>
      <w:pPr>
        <w:pStyle w:val="ListBullet"/>
      </w:pPr>
      <w:r>
        <w:t>Blue boxes (PS) = hardware partner delivery scope, offline-capable</w:t>
      </w:r>
    </w:p>
    <w:p>
      <w:pPr>
        <w:pStyle w:val="ListBullet"/>
      </w:pPr>
      <w:r>
        <w:t>Green boxes (AS) = Avanade/Alliander digital scope, cloud-hosted (EEA)</w:t>
      </w:r>
    </w:p>
    <w:p>
      <w:pPr>
        <w:pStyle w:val="ListBullet"/>
      </w:pPr>
      <w:r>
        <w:t>Orange boxes = cross-cutting concerns (identity, physical safety)</w:t>
      </w:r>
    </w:p>
    <w:p>
      <w:pPr>
        <w:pStyle w:val="Heading2"/>
      </w:pPr>
      <w:r>
        <w:t>Key Relationships</w:t>
      </w:r>
    </w:p>
    <w:p>
      <w:pPr>
        <w:pStyle w:val="ListBullet"/>
      </w:pPr>
      <w:r>
        <w:t>Layers 1 through 3 form the hardware partner's delivery scope; layer 3 is the only component that must keep a training session running through a temporary loss of internet connectivity.</w:t>
      </w:r>
    </w:p>
    <w:p>
      <w:pPr>
        <w:pStyle w:val="ListBullet"/>
      </w:pPr>
      <w:r>
        <w:t>The edge-to-cloud sync is asynchronous and best-effort; a training session never blocks on cloud reachability.</w:t>
      </w:r>
    </w:p>
    <w:p>
      <w:pPr>
        <w:pStyle w:val="ListBullet"/>
      </w:pPr>
      <w:r>
        <w:t>Alliander's IAM platform federates identity into the edge for trainee and instructor authentication, with no local credential store anywhere in the stack.</w:t>
      </w:r>
    </w:p>
    <w:p>
      <w:pPr>
        <w:pStyle w:val="ListBullet"/>
      </w:pPr>
      <w:r>
        <w:t>Physical safety systems remain entirely independent of the digital layer by design, satisfying SAFE-01 and SAFE-02.</w:t>
      </w:r>
    </w:p>
    <w:p>
      <w:pPr>
        <w:pStyle w:val="ListBullet"/>
      </w:pPr>
      <w:r>
        <w:t>Layers 4 through 6 are Avanade and Alliander's digital scope, hosted with EEA-only data residency.</w:t>
      </w:r>
    </w:p>
    <w:p>
      <w:pPr>
        <w:pStyle w:val="Heading1"/>
      </w:pPr>
      <w:r>
        <w:t>Hardware Architecture</w:t>
      </w:r>
    </w:p>
    <w:p>
      <w:r>
        <w:t>Grounded in the tender hardware recon and the Hardware BRD.</w:t>
      </w:r>
    </w:p>
    <w:p>
      <w:r>
        <w:t>In scope for the hardware partner (Aanbestedingsleidraad §1.5.4; Bijlage L HW-01, HW-02): relays, I/O boards, cabling, comparable control technology, smart cables, sensors, switches, plus all interface components needed to couple the digital solution to the existing physical training assets.</w:t>
      </w:r>
    </w:p>
    <w:p>
      <w:r>
        <w:t>Out of scope: the physical switchgear itself (already exists), generic physical infrastructure (standard cabling, power supplies, switchrooms), and measurement equipment (Aanbestedingsleidraad §1.5.5; Bijlage L SCOPE-04, MV-04).</w:t>
      </w:r>
    </w:p>
    <w:p>
      <w:r>
        <w:t>Design constraints that shape the hardware:</w:t>
      </w:r>
    </w:p>
    <w:p>
      <w:pPr>
        <w:pStyle w:val="ListBullet"/>
      </w:pPr>
      <w:r>
        <w:t>Fail-safe by default (SAFE-01). Every relay board, I/O module, and edge controller must default to a predefined safe state on power loss or communication loss: active scenarios terminated, outputs placed safe, physical safety provisions unaffected.</w:t>
      </w:r>
    </w:p>
    <w:p>
      <w:pPr>
        <w:pStyle w:val="ListBullet"/>
      </w:pPr>
      <w:r>
        <w:t>Hardware abstraction (ITAR-03). Hardware-specific protocols, drivers, and implementation detail live only in the integration/hardware layer, so panels are field-replaceable without redesigning the platform.</w:t>
      </w:r>
    </w:p>
    <w:p>
      <w:pPr>
        <w:pStyle w:val="ListBullet"/>
      </w:pPr>
      <w:r>
        <w:t>Reproducible, deterministic fault injection (Bijlage T general principles). Faults must be resettable by the instructor without interrupting other trainees, and reproducible identically across sessions; some scenarios (MK-07, MK-08) additionally require random per-phase/per-dwelling assignment.</w:t>
      </w:r>
    </w:p>
    <w:p>
      <w:pPr>
        <w:pStyle w:val="ListBullet"/>
      </w:pPr>
      <w:r>
        <w:t>Operating voltage for simulation hardware is 20-50V DC — an Avanade design intent carried from the 2023/2025 concept work, not yet confirmed in the tender documents themselves.</w:t>
      </w:r>
    </w:p>
    <w:p>
      <w:pPr>
        <w:pStyle w:val="ListBullet"/>
      </w:pPr>
      <w:r>
        <w:t>Intensive repeated use. Hardware must tolerate continuous training-environment duty cycles (Bijlage T general principles).</w:t>
      </w:r>
    </w:p>
    <w:p>
      <w:pPr>
        <w:pStyle w:val="ListBullet"/>
      </w:pPr>
      <w:r>
        <w:t>Lifecycle management (LCD08). Only actively vendor-supported hardware may be used; the contract must state explicit end-of-support dates for every component.</w:t>
      </w:r>
    </w:p>
    <w:p>
      <w:r>
        <w:t>Per-domain instrumentation needs (from the 31 Bijlage T core scenarios): individually addressable relay/modem control per street-lighting circuit (OV), per-meter and per-dwelling fault injection in the meter cabinet (MK), per-junction multi-fault simulation and phase-rotation signalling (LS), and signal-level fault injection on real MV switchgear (SVS, WEGA, SF-6 gauge) without exposing real MV voltage to trainees (MS). See the recon document's §5 for the full scenario-by-scenario breakdown.</w:t>
      </w:r>
    </w:p>
    <w:p>
      <w:pPr>
        <w:pStyle w:val="Heading1"/>
      </w:pPr>
      <w:r>
        <w:t>Network Architecture</w:t>
      </w:r>
    </w:p>
    <w:p>
      <w:r>
        <w:t>&gt; Protocol names below (OPC-UA, Modbus, MQTT) are an Avanade design assumption for an industrial edge gateway of this kind. They are not specified or confirmed anywhere in the tender documents and must be validated against the hardware partner's proposal and the site survey before being stated as fact in a submission.</w:t>
      </w:r>
    </w:p>
    <w:p>
      <w:r>
        <w:t>On-site network, per training environment (Haarlem and Zevenaar, 4 environments total):</w:t>
      </w:r>
    </w:p>
    <w:p>
      <w:pPr>
        <w:pStyle w:val="ListBullet"/>
      </w:pPr>
      <w:r>
        <w:t>An on-site edge gateway/server aggregates instrumentation signals (relays, I/O, sensors) over an industrial fieldbus/protocol stack — assumed OPC-UA and/or Modbus for switchgear I/O, MQTT for event/telemetry publishing — and exposes a single integration point to the digital layer above it (ITAR-03 hardware abstraction boundary).</w:t>
      </w:r>
    </w:p>
    <w:p>
      <w:pPr>
        <w:pStyle w:val="ListBullet"/>
      </w:pPr>
      <w:r>
        <w:t>The edge server is backed by UPS and is designed to keep a training session running through a temporary loss of the site's internet connection (PERF-05); it does not depend on reaching the cloud to execute or score a scenario.</w:t>
      </w:r>
    </w:p>
    <w:p>
      <w:pPr>
        <w:pStyle w:val="ListBullet"/>
      </w:pPr>
      <w:r>
        <w:t>Cloud synchronization is asynchronous and best-effort: session state, scenario results, and learning data upload to the digital twin when connectivity is available, and queue locally otherwise.</w:t>
      </w:r>
    </w:p>
    <w:p>
      <w:pPr>
        <w:pStyle w:val="ListBullet"/>
      </w:pPr>
      <w:r>
        <w:t>Multi-site isolation: Haarlem and Zevenaar are treated as independent network segments; a fault or outage at one site has no effect on the other.</w:t>
      </w:r>
    </w:p>
    <w:p>
      <w:r>
        <w:t>Edge-to-cloud connectivity:</w:t>
      </w:r>
    </w:p>
    <w:p>
      <w:pPr>
        <w:pStyle w:val="ListBullet"/>
      </w:pPr>
      <w:r>
        <w:t>All data traffic is encrypted in transit at TLS 1.2 minimum, TLS 1.3 preferred (Bijlage L IT-04).</w:t>
      </w:r>
    </w:p>
    <w:p>
      <w:pPr>
        <w:pStyle w:val="ListBullet"/>
      </w:pPr>
      <w:r>
        <w:t>No local password database or legacy/weak auth flow (Implicit Flow, ROPC, Basic Auth, NTLM) is permitted on any network-connected component, including edge gateways (Bijlage V §3.1).</w:t>
      </w:r>
    </w:p>
    <w:p>
      <w:pPr>
        <w:pStyle w:val="ListBullet"/>
      </w:pPr>
      <w:r>
        <w:t>Open APIs and open standards are required end to end to avoid vendor lock-in and to keep the architecture modular and scalable to additional training environments added under the framework (Bijlage N GC2, Bijlage L HW-24, HW-25).</w:t>
      </w:r>
    </w:p>
    <w:p>
      <w:r>
        <w:t>Open items: confirm the actual fieldbus/protocol choice with the hardware partner during the site survey; define VLAN/segmentation design and firewall rules between the OT instrumentation network, the edge server, and the IT network once a partner and physical topology are selected; this section should not be treated as final until that happens.</w:t>
      </w:r>
    </w:p>
    <w:p>
      <w:pPr>
        <w:pStyle w:val="Heading1"/>
      </w:pPr>
      <w:r>
        <w:t>Data Architecture</w:t>
      </w:r>
    </w:p>
    <w:p>
      <w:r>
        <w:t>&gt; Placeholder. Not yet developed. Should cover: the digital twin's data model (network topology, live state, scenario/fault state, session history — ITAR-06), the learning-data model captured for GC3 (trainee actions, outcomes, session dossiers), data flow between edge and cloud (what syncs, how often, conflict handling), retention policy, and the EEA-only storage boundary (Bijlage L IT-03, LCD11) including the required inventory of datacentres/cloud regions and their role (production/test/backup).</w:t>
      </w:r>
    </w:p>
    <w:p>
      <w:pPr>
        <w:pStyle w:val="Heading1"/>
      </w:pPr>
      <w:r>
        <w:t>Security Architecture</w:t>
      </w:r>
    </w:p>
    <w:p>
      <w:r>
        <w:t>Grounded in Bijlage V (IAM) and the relevant Bijlage L non-functional and cloud-provider requirements.</w:t>
      </w:r>
    </w:p>
    <w:p>
      <w:r>
        <w:t>Identity and access management — knock-out requirement. The solution must meet minimum security level A for both Access Management (AM) and Identity Governance and Administration (IGA), or the bid is disqualified outright (Bijlage V).</w:t>
      </w:r>
    </w:p>
    <w:p>
      <w:pPr>
        <w:pStyle w:val="ListBullet"/>
      </w:pPr>
      <w:r>
        <w:t>AM (level A): OIDC/OAuth 2.0 with Authorization Code flow + PKCE S256 preferred; SAML 2.0 acceptable as fallback. Implicit Flow, ROPC, Basic Auth, NTLM, and local password databases are all explicitly prohibited (Bijlage V §3.1).</w:t>
      </w:r>
    </w:p>
    <w:p>
      <w:pPr>
        <w:pStyle w:val="ListBullet"/>
      </w:pPr>
      <w:r>
        <w:t>IGA (level A): SailPoint connector preferred; SCIM 2.0 provisioning acceptable; manual provisioning is not acceptable above level A. Authentication events must be exportable to Alliander's SIEM (Bijlage V §3.2).</w:t>
      </w:r>
    </w:p>
    <w:p>
      <w:pPr>
        <w:pStyle w:val="ListBullet"/>
      </w:pPr>
      <w:r>
        <w:t>This applies to every network-connected component, including edge gateways and any device with a login interface (for example RFID/NFC trainee identification readers) — no local credential stores anywhere.</w:t>
      </w:r>
    </w:p>
    <w:p>
      <w:r>
        <w:t>Certifications (organisational, knock-out): ISO 27001 (or equivalent, or SOC 2 Type II covering the relevant services) and ISO 9001 (or equivalent) are both mandatory for the supplier (Aanbestedingsleidraad §4.1; Bijlage L LCD19).</w:t>
      </w:r>
    </w:p>
    <w:p>
      <w:r>
        <w:t>Encryption: TLS 1.2 minimum, TLS 1.3 preferred, for all data traffic (Bijlage L IT-04).</w:t>
      </w:r>
    </w:p>
    <w:p>
      <w:r>
        <w:t>Fail-safe / safety independence (also foundational to hardware and network design): the digital solution must never override, disable, or bypass physical safety provisions, and must fail to a safe state on malfunction, power loss, or communication loss (Bijlage L SAFE-01, SAFE-02).</w:t>
      </w:r>
    </w:p>
    <w:p>
      <w:r>
        <w:t>Open items: a full STRIDE-style threat model per component/boundary, and a formal risk analysis for working with live/energised components in training scenarios (required deliverable per Bijlage T), are not yet produced.</w:t>
      </w:r>
    </w:p>
    <w:p>
      <w:pPr>
        <w:pStyle w:val="Heading1"/>
      </w:pPr>
      <w:r>
        <w:t>Scope Boundary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rPr>
              <w:t>Layers</w:t>
            </w:r>
          </w:p>
        </w:tc>
        <w:tc>
          <w:tcPr>
            <w:tcW w:type="dxa" w:w="2880"/>
            <w:shd w:val="clear" w:color="auto" w:fill="2F5496"/>
          </w:tcPr>
          <w:p>
            <w:r>
              <w:rPr>
                <w:b/>
                <w:color w:val="FFFFFF"/>
              </w:rPr>
              <w:t>Scope owner</w:t>
            </w:r>
          </w:p>
        </w:tc>
        <w:tc>
          <w:tcPr>
            <w:tcW w:type="dxa" w:w="2880"/>
            <w:shd w:val="clear" w:color="auto" w:fill="2F5496"/>
          </w:tcPr>
          <w:p>
            <w:r>
              <w:rPr>
                <w:b/>
                <w:color w:val="FFFFFF"/>
              </w:rPr>
              <w:t>Operates</w:t>
            </w:r>
          </w:p>
        </w:tc>
      </w:tr>
      <w:tr>
        <w:tc>
          <w:tcPr>
            <w:tcW w:type="dxa" w:w="2880"/>
          </w:tcPr>
          <w:p>
            <w:r>
              <w:t>1-3 (Physical, Instrument, Connect)</w:t>
            </w:r>
          </w:p>
        </w:tc>
        <w:tc>
          <w:tcPr>
            <w:tcW w:type="dxa" w:w="2880"/>
          </w:tcPr>
          <w:p>
            <w:r>
              <w:t>Hardware partner</w:t>
            </w:r>
          </w:p>
        </w:tc>
        <w:tc>
          <w:tcPr>
            <w:tcW w:type="dxa" w:w="2880"/>
          </w:tcPr>
          <w:p>
            <w:r>
              <w:t>Fully offline-capable, on-site</w:t>
            </w:r>
          </w:p>
        </w:tc>
      </w:tr>
      <w:tr>
        <w:tc>
          <w:tcPr>
            <w:tcW w:type="dxa" w:w="2880"/>
          </w:tcPr>
          <w:p>
            <w:r>
              <w:t>4-6 (Digital Twin, AI &amp; Agentic, Experience)</w:t>
            </w:r>
          </w:p>
        </w:tc>
        <w:tc>
          <w:tcPr>
            <w:tcW w:type="dxa" w:w="2880"/>
          </w:tcPr>
          <w:p>
            <w:r>
              <w:t>Avanade / Alliander</w:t>
            </w:r>
          </w:p>
        </w:tc>
        <w:tc>
          <w:tcPr>
            <w:tcW w:type="dxa" w:w="2880"/>
          </w:tcPr>
          <w:p>
            <w:r>
              <w:t>Cloud, EEA-hosted, syncs asynchronously from the edge</w:t>
            </w:r>
          </w:p>
        </w:tc>
      </w:tr>
    </w:tbl>
    <w:p/>
    <w:p>
      <w:pPr>
        <w:pStyle w:val="Heading1"/>
      </w:pPr>
      <w:r>
        <w:t>Next Steps</w:t>
      </w:r>
    </w:p>
    <w:p>
      <w:pPr>
        <w:pStyle w:val="ListBullet"/>
      </w:pPr>
      <w:r>
        <w:t>Fill in the Business, Enterprise, and Data architecture placeholders above; none of them exist yet, and GC1/GC2 scoring depends on a credible, complete architecture package, not just the solution diagram.</w:t>
      </w:r>
    </w:p>
    <w:p>
      <w:pPr>
        <w:pStyle w:val="ListBullet"/>
      </w:pPr>
      <w:r>
        <w:t>Confirm the Network architecture's protocol assumptions (OPC-UA/Modbus/MQTT) with the hardware partner and the Zevenaar/Haarlem site survey before stating them as fact in a submission.</w:t>
      </w:r>
    </w:p>
    <w:p>
      <w:pPr>
        <w:pStyle w:val="ListBullet"/>
      </w:pPr>
      <w:r>
        <w:t>Confirm with the bid lead whether device-specific references (ABB SafeRing, WEGA, SVS) should remain indicative-only in the submitted version, consistent with the hardware BRD's guardrails.</w:t>
      </w:r>
    </w:p>
    <w:p>
      <w:pPr>
        <w:pStyle w:val="ListBullet"/>
      </w:pPr>
      <w:r>
        <w:t>Cross-check against the final RFP text once NvI 2 (if issued) closes any open questions.</w:t>
      </w:r>
    </w:p>
    <w:p>
      <w:pPr>
        <w:pStyle w:val="Heading1"/>
      </w:pPr>
      <w:r>
        <w:t>Related Documents</w:t>
      </w:r>
    </w:p>
    <w:p>
      <w:pPr>
        <w:pStyle w:val="ListBullet"/>
      </w:pPr>
      <w:r>
        <w:t>Hardware BRD — outcome-based hardware capability requirements for the IoT partner</w:t>
      </w:r>
    </w:p>
    <w:p>
      <w:pPr>
        <w:pStyle w:val="ListBullet"/>
      </w:pPr>
      <w:r>
        <w:t>Tender hardware recon — source reconnaissance from the RFP documents</w:t>
      </w:r>
    </w:p>
    <w:p>
      <w:pPr>
        <w:pStyle w:val="ListBullet"/>
      </w:pPr>
      <w:r>
        <w:t>architecture-diagram.drawio — editable source for the solution architecture 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Schakellokalen Solution Overview</dc:title>
  <dc:subject/>
  <dc:creator>Avanade Bid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