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Digital Schakellokalen Solution Overview</w:t>
      </w:r>
    </w:p>
    <w:p>
      <w:pPr>
        <w:jc w:val="center"/>
      </w:pPr>
      <w:r>
        <w:rPr>
          <w:i/>
          <w:sz w:val="26"/>
        </w:rPr>
        <w:t>Consolidated solution overview for the Alliander Digital Schakellokalen tender response, with a dedicated section per architecture layer (business, enterprise, solution, hardware, network, data, security)</w:t>
      </w:r>
    </w:p>
    <w:p>
      <w:pPr>
        <w:jc w:val="center"/>
      </w:pPr>
      <w:r>
        <w:rPr>
          <w:sz w:val="20"/>
        </w:rPr>
        <w:t>Avanade Bid Team  |  2026-09-30</w:t>
      </w:r>
    </w:p>
    <w:p>
      <w:r>
        <w:br w:type="page"/>
      </w:r>
    </w:p>
    <w:p>
      <w:r>
        <w:t>&gt; Status: DRAFT. Working draft for internal bid team review, not yet cleared for submission to Alliander. Sections marked Placeholder have no content yet and are tracked as open work below.</w:t>
      </w:r>
    </w:p>
    <w:p>
      <w:pPr>
        <w:pStyle w:val="Heading1"/>
      </w:pPr>
      <w:r>
        <w:t>Purpose</w:t>
      </w:r>
    </w:p>
    <w:p>
      <w:r>
        <w:t>This is the single source of truth for the Digital Schakellokalen solution overview during the drafting phase. It replaces the earlier separate solution-overview, architecture-diagram, and draft-solution-response files, merged here to avoid duplication and drift. It also tracks completion status per architecture layer, since GC1 and GC2 scoring depends on a credible, complete architecture package, not a single diagram.</w:t>
      </w:r>
    </w:p>
    <w:p>
      <w:pPr>
        <w:pStyle w:val="Heading1"/>
      </w:pPr>
      <w:r>
        <w:t>Architecture Layers: Status</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Pr>
                <w:b/>
                <w:color w:val="FFFFFF"/>
              </w:rPr>
              <w:t>Layer</w:t>
            </w:r>
          </w:p>
        </w:tc>
        <w:tc>
          <w:tcPr>
            <w:tcW w:type="dxa" w:w="2880"/>
            <w:shd w:val="clear" w:color="auto" w:fill="2F5496"/>
          </w:tcPr>
          <w:p>
            <w:r>
              <w:rPr>
                <w:b/>
                <w:color w:val="FFFFFF"/>
              </w:rPr>
              <w:t>Covers</w:t>
            </w:r>
          </w:p>
        </w:tc>
        <w:tc>
          <w:tcPr>
            <w:tcW w:type="dxa" w:w="2880"/>
            <w:shd w:val="clear" w:color="auto" w:fill="2F5496"/>
          </w:tcPr>
          <w:p>
            <w:r>
              <w:rPr>
                <w:b/>
                <w:color w:val="FFFFFF"/>
              </w:rPr>
              <w:t>Status</w:t>
            </w:r>
          </w:p>
        </w:tc>
      </w:tr>
      <w:tr>
        <w:tc>
          <w:tcPr>
            <w:tcW w:type="dxa" w:w="2880"/>
          </w:tcPr>
          <w:p>
            <w:r>
              <w:t>Business architecture</w:t>
            </w:r>
          </w:p>
        </w:tc>
        <w:tc>
          <w:tcPr>
            <w:tcW w:type="dxa" w:w="2880"/>
          </w:tcPr>
          <w:p>
            <w:r>
              <w:t>Stakeholders, training outcomes, scope boundary, value chain across the 8-year framework</w:t>
            </w:r>
          </w:p>
        </w:tc>
        <w:tc>
          <w:tcPr>
            <w:tcW w:type="dxa" w:w="2880"/>
          </w:tcPr>
          <w:p>
            <w:r>
              <w:t>Drafted from BRD + recon facts</w:t>
            </w:r>
          </w:p>
        </w:tc>
      </w:tr>
      <w:tr>
        <w:tc>
          <w:tcPr>
            <w:tcW w:type="dxa" w:w="2880"/>
          </w:tcPr>
          <w:p>
            <w:r>
              <w:t>Enterprise architecture</w:t>
            </w:r>
          </w:p>
        </w:tc>
        <w:tc>
          <w:tcPr>
            <w:tcW w:type="dxa" w:w="2880"/>
          </w:tcPr>
          <w:p>
            <w:r>
              <w:t>Fit with Alliander's existing systems (Archipel, LVS), portfolio and capability mapping</w:t>
            </w:r>
          </w:p>
        </w:tc>
        <w:tc>
          <w:tcPr>
            <w:tcW w:type="dxa" w:w="2880"/>
          </w:tcPr>
          <w:p>
            <w:r>
              <w:t>Drafted from recon facts, standards/framework fit still open</w:t>
            </w:r>
          </w:p>
        </w:tc>
      </w:tr>
      <w:tr>
        <w:tc>
          <w:tcPr>
            <w:tcW w:type="dxa" w:w="2880"/>
          </w:tcPr>
          <w:p>
            <w:r>
              <w:t>Solution architecture</w:t>
            </w:r>
          </w:p>
        </w:tc>
        <w:tc>
          <w:tcPr>
            <w:tcW w:type="dxa" w:w="2880"/>
          </w:tcPr>
          <w:p>
            <w:r>
              <w:t>The six-layer component model: physical, instrument, edge, digital twin, AI/agentic, experience</w:t>
            </w:r>
          </w:p>
        </w:tc>
        <w:tc>
          <w:tcPr>
            <w:tcW w:type="dxa" w:w="2880"/>
          </w:tcPr>
          <w:p>
            <w:r>
              <w:t>Drafted (suggested, not final)</w:t>
            </w:r>
          </w:p>
        </w:tc>
      </w:tr>
      <w:tr>
        <w:tc>
          <w:tcPr>
            <w:tcW w:type="dxa" w:w="2880"/>
          </w:tcPr>
          <w:p>
            <w:r>
              <w:t>Hardware architecture</w:t>
            </w:r>
          </w:p>
        </w:tc>
        <w:tc>
          <w:tcPr>
            <w:tcW w:type="dxa" w:w="2880"/>
          </w:tcPr>
          <w:p>
            <w:r>
              <w:t>Instrumentation and edge device design, fail-safe behaviour, field-replaceability</w:t>
            </w:r>
          </w:p>
        </w:tc>
        <w:tc>
          <w:tcPr>
            <w:tcW w:type="dxa" w:w="2880"/>
          </w:tcPr>
          <w:p>
            <w:r>
              <w:t>Drafted from recon facts</w:t>
            </w:r>
          </w:p>
        </w:tc>
      </w:tr>
      <w:tr>
        <w:tc>
          <w:tcPr>
            <w:tcW w:type="dxa" w:w="2880"/>
          </w:tcPr>
          <w:p>
            <w:r>
              <w:t>Network architecture</w:t>
            </w:r>
          </w:p>
        </w:tc>
        <w:tc>
          <w:tcPr>
            <w:tcW w:type="dxa" w:w="2880"/>
          </w:tcPr>
          <w:p>
            <w:r>
              <w:t>On-site industrial network and protocol stack, edge-to-cloud connectivity, offline operation, segmentation</w:t>
            </w:r>
          </w:p>
        </w:tc>
        <w:tc>
          <w:tcPr>
            <w:tcW w:type="dxa" w:w="2880"/>
          </w:tcPr>
          <w:p>
            <w:r>
              <w:t>Drafted from recon facts, protocol choice not yet confirmed</w:t>
            </w:r>
          </w:p>
        </w:tc>
      </w:tr>
      <w:tr>
        <w:tc>
          <w:tcPr>
            <w:tcW w:type="dxa" w:w="2880"/>
          </w:tcPr>
          <w:p>
            <w:r>
              <w:t>Data architecture</w:t>
            </w:r>
          </w:p>
        </w:tc>
        <w:tc>
          <w:tcPr>
            <w:tcW w:type="dxa" w:w="2880"/>
          </w:tcPr>
          <w:p>
            <w:r>
              <w:t>Digital twin data model, learning-data flows, EEA residency, retention</w:t>
            </w:r>
          </w:p>
        </w:tc>
        <w:tc>
          <w:tcPr>
            <w:tcW w:type="dxa" w:w="2880"/>
          </w:tcPr>
          <w:p>
            <w:r>
              <w:t>Drafted from recon facts, retention policy still open</w:t>
            </w:r>
          </w:p>
        </w:tc>
      </w:tr>
      <w:tr>
        <w:tc>
          <w:tcPr>
            <w:tcW w:type="dxa" w:w="2880"/>
          </w:tcPr>
          <w:p>
            <w:r>
              <w:t>Security architecture</w:t>
            </w:r>
          </w:p>
        </w:tc>
        <w:tc>
          <w:tcPr>
            <w:tcW w:type="dxa" w:w="2880"/>
          </w:tcPr>
          <w:p>
            <w:r>
              <w:t>IAM/IGA integration, SIEM export, encryption, certifications, fail-safe independence</w:t>
            </w:r>
          </w:p>
        </w:tc>
        <w:tc>
          <w:tcPr>
            <w:tcW w:type="dxa" w:w="2880"/>
          </w:tcPr>
          <w:p>
            <w:r>
              <w:t>Drafted from recon facts</w:t>
            </w:r>
          </w:p>
        </w:tc>
      </w:tr>
    </w:tbl>
    <w:p/>
    <w:p>
      <w:pPr>
        <w:pStyle w:val="Heading1"/>
      </w:pPr>
      <w:r>
        <w:t>Architecture Summary</w:t>
      </w:r>
    </w:p>
    <w:p>
      <w:r>
        <w:t>The Digital Schakellokalen solution is a layered edge-to-cloud architecture. Unlike a typical cloud-first system, the defining constraint is that the on-site edge must keep training running through a temporary loss of internet connectivity (Bijlage L PERF-05); Avanade's design goes further and treats the edge as capable of running a full site with no dependency on internet breakout, syncing to the cloud only when connectivity is available.</w:t>
      </w:r>
    </w:p>
    <w:p>
      <w:r>
        <w:t>Architectural decisions driven directly by tender requirements:</w:t>
      </w:r>
    </w:p>
    <w:p>
      <w:pPr>
        <w:ind w:left="510" w:hanging="340"/>
      </w:pPr>
      <w:r>
        <w:t>1.</w:t>
        <w:tab/>
        <w:t>Edge-first compute. The on-site edge server is the system of record during a training session. Cloud synchronization happens asynchronously whenever connectivity allows (Bijlage L PERF-05).</w:t>
      </w:r>
    </w:p>
    <w:p>
      <w:pPr>
        <w:ind w:left="510" w:hanging="340"/>
      </w:pPr>
      <w:r>
        <w:t>2.</w:t>
        <w:tab/>
        <w:t>Fail-safe independence. Physical safety systems, interlocks, emergency stops, and lock-out/tag-out mechanisms sit outside the digital control loop entirely. A failure of the digital layer degrades to a predefined safe state and never disables physical safety (Bijlage L SAFE-01, SAFE-02).</w:t>
      </w:r>
    </w:p>
    <w:p>
      <w:pPr>
        <w:ind w:left="510" w:hanging="340"/>
      </w:pPr>
      <w:r>
        <w:t>3.</w:t>
        <w:tab/>
        <w:t>Hardware abstraction boundary. Hardware-specific protocols and drivers are confined to the integration layer, keeping the platform modular and the instrumented panels replaceable without redesigning the core solution (Bijlage L ITAR-03).</w:t>
      </w:r>
    </w:p>
    <w:p>
      <w:pPr>
        <w:ind w:left="510" w:hanging="340"/>
      </w:pPr>
      <w:r>
        <w:t>4.</w:t>
        <w:tab/>
        <w:t>Identity federation, not local authentication. Every identity touchpoint routes through Alliander's IAM platform; no local credential store exists anywhere in the solution, including on edge hardware (Bijlage V §3.1-3.2).</w:t>
      </w:r>
    </w:p>
    <w:p>
      <w:pPr>
        <w:ind w:left="510" w:hanging="340"/>
      </w:pPr>
      <w:r>
        <w:t>5.</w:t>
        <w:tab/>
        <w:t>EEA-only data residency. The digital twin and learning-data store are hosted exclusively within the EEA (Bijlage L IT-03, LCD11).</w:t>
      </w:r>
    </w:p>
    <w:p>
      <w:pPr>
        <w:pStyle w:val="Heading1"/>
      </w:pPr>
      <w:r>
        <w:t>Business Architecture</w:t>
      </w:r>
    </w:p>
    <w:p>
      <w:r>
        <w:t>Grounded in the Hardware BRD and the tender hardware recon.</w:t>
      </w:r>
    </w:p>
    <w:p>
      <w:r>
        <w:t>Stakeholders: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2F5496"/>
          </w:tcPr>
          <w:p>
            <w:r>
              <w:rPr>
                <w:b/>
                <w:color w:val="FFFFFF"/>
              </w:rPr>
              <w:t>Stakeholder</w:t>
            </w:r>
          </w:p>
        </w:tc>
        <w:tc>
          <w:tcPr>
            <w:tcW w:type="dxa" w:w="4320"/>
            <w:shd w:val="clear" w:color="auto" w:fill="2F5496"/>
          </w:tcPr>
          <w:p>
            <w:r>
              <w:rPr>
                <w:b/>
                <w:color w:val="FFFFFF"/>
              </w:rPr>
              <w:t>Role</w:t>
            </w:r>
          </w:p>
        </w:tc>
      </w:tr>
      <w:tr>
        <w:tc>
          <w:tcPr>
            <w:tcW w:type="dxa" w:w="4320"/>
          </w:tcPr>
          <w:p>
            <w:r>
              <w:t>Alliander training and learning organisation</w:t>
            </w:r>
          </w:p>
        </w:tc>
        <w:tc>
          <w:tcPr>
            <w:tcW w:type="dxa" w:w="4320"/>
          </w:tcPr>
          <w:p>
            <w:r>
              <w:t>Defines training scenarios and pedagogy; primary user of the instructor dashboard and learning data</w:t>
            </w:r>
          </w:p>
        </w:tc>
      </w:tr>
      <w:tr>
        <w:tc>
          <w:tcPr>
            <w:tcW w:type="dxa" w:w="4320"/>
          </w:tcPr>
          <w:p>
            <w:r>
              <w:t>Alliander trainees and monteurs</w:t>
            </w:r>
          </w:p>
        </w:tc>
        <w:tc>
          <w:tcPr>
            <w:tcW w:type="dxa" w:w="4320"/>
          </w:tcPr>
          <w:p>
            <w:r>
              <w:t>End users of the physical instrumentation; perform switching operations and receive fault scenarios</w:t>
            </w:r>
          </w:p>
        </w:tc>
      </w:tr>
      <w:tr>
        <w:tc>
          <w:tcPr>
            <w:tcW w:type="dxa" w:w="4320"/>
          </w:tcPr>
          <w:p>
            <w:r>
              <w:t>Alliander IAM, security, and SIEM teams</w:t>
            </w:r>
          </w:p>
        </w:tc>
        <w:tc>
          <w:tcPr>
            <w:tcW w:type="dxa" w:w="4320"/>
          </w:tcPr>
          <w:p>
            <w:r>
              <w:t>Own the identity platform the solution must integrate with; consume authentication event exports</w:t>
            </w:r>
          </w:p>
        </w:tc>
      </w:tr>
      <w:tr>
        <w:tc>
          <w:tcPr>
            <w:tcW w:type="dxa" w:w="4320"/>
          </w:tcPr>
          <w:p>
            <w:r>
              <w:t>Alliander procurement and contract management</w:t>
            </w:r>
          </w:p>
        </w:tc>
        <w:tc>
          <w:tcPr>
            <w:tcW w:type="dxa" w:w="4320"/>
          </w:tcPr>
          <w:p>
            <w:r>
              <w:t>Own the framework agreement, SLA, and the 8-year contract term across up to 5 one-year extensions</w:t>
            </w:r>
          </w:p>
        </w:tc>
      </w:tr>
      <w:tr>
        <w:tc>
          <w:tcPr>
            <w:tcW w:type="dxa" w:w="4320"/>
          </w:tcPr>
          <w:p>
            <w:r>
              <w:t>Avanade bid and delivery team</w:t>
            </w:r>
          </w:p>
        </w:tc>
        <w:tc>
          <w:tcPr>
            <w:tcW w:type="dxa" w:w="4320"/>
          </w:tcPr>
          <w:p>
            <w:r>
              <w:t>Designs layers 4-6, authors the proposal, integrates the hardware partner's deliverables</w:t>
            </w:r>
          </w:p>
        </w:tc>
      </w:tr>
      <w:tr>
        <w:tc>
          <w:tcPr>
            <w:tcW w:type="dxa" w:w="4320"/>
          </w:tcPr>
          <w:p>
            <w:r>
              <w:t>IoT hardware partner</w:t>
            </w:r>
          </w:p>
        </w:tc>
        <w:tc>
          <w:tcPr>
            <w:tcW w:type="dxa" w:w="4320"/>
          </w:tcPr>
          <w:p>
            <w:r>
              <w:t>Sources, builds, enables, services, and supports layers 1-3</w:t>
            </w:r>
          </w:p>
        </w:tc>
      </w:tr>
    </w:tbl>
    <w:p/>
    <w:p>
      <w:r>
        <w:t>Business outcomes the framework agreement is buying:</w:t>
      </w:r>
    </w:p>
    <w:p>
      <w:pPr>
        <w:pStyle w:val="ListBullet"/>
      </w:pPr>
      <w:r>
        <w:t>Digital coverage of all 31 Bijlage T core training scenarios (10 OV, 11 MK, 5 LS, 5 MS), replacing instructor-only manual observation (Bijlage L ACC-03).</w:t>
      </w:r>
    </w:p>
    <w:p>
      <w:pPr>
        <w:pStyle w:val="ListBullet"/>
      </w:pPr>
      <w:r>
        <w:t>Objective, data-backed scoring of trainee sessions instead of subjective instructor judgement, feeding the GC3 learning-data ambition.</w:t>
      </w:r>
    </w:p>
    <w:p>
      <w:pPr>
        <w:pStyle w:val="ListBullet"/>
      </w:pPr>
      <w:r>
        <w:t>Training availability of at least 99% during training hours, with fallback scenarios proven at acceptance (Bijlage L PERF-03, PERF-04; Bijlage Q SLA).</w:t>
      </w:r>
    </w:p>
    <w:p>
      <w:pPr>
        <w:pStyle w:val="ListBullet"/>
      </w:pPr>
      <w:r>
        <w:t>Scalability: the same architecture absorbing additional training environments added under the framework, without redesign (Aanbestedingsleidraad §1.3; Bijlage N GC2).</w:t>
      </w:r>
    </w:p>
    <w:p>
      <w:r>
        <w:t>Value chain across the 8-year term: a 3-year base contract plus up to 5 one-year extensions (max. 8 years total). Implementation starts with a pilot/PoC on one representative training environment before broader rollout (Bijlage L IMP-03), then scales across the initial 4 environments (1 schakellokaal + 1 meetveld each in Haarlem and Zevenaar) and any further environments added later in the term.</w:t>
      </w:r>
    </w:p>
    <w:p>
      <w:r>
        <w:t>Scope boundary in business/commercial terms (Bijlage J pricing structure): hardware delivery ("Levering van Hardware") and hardware installation ("Aansluiten van hardwarecomponenten") are one-time, separately priced line items owned by the hardware partner. Ongoing hardware upkeep is folded into the annual "Technisch beheer en support" line, not billed as a separate hardware maintenance item. Avanade's software development, base licence, and functional/technical support line items cover layers 4-6. All pricing is all-in; no line items may be added after the questions deadline.</w:t>
      </w:r>
    </w:p>
    <w:p>
      <w:pPr>
        <w:pStyle w:val="Heading1"/>
      </w:pPr>
      <w:r>
        <w:t>Enterprise Architecture</w:t>
      </w:r>
    </w:p>
    <w:p>
      <w:r>
        <w:t>Grounded in the tender hardware recon §2-3.</w:t>
      </w:r>
    </w:p>
    <w:p>
      <w:r>
        <w:t>Existing Alliander systems this solution must coexist with:</w:t>
      </w:r>
    </w:p>
    <w:p>
      <w:pPr>
        <w:pStyle w:val="ListBullet"/>
      </w:pPr>
      <w:r>
        <w:t>Archipel — an existing system being replaced under a separate tender, out of scope here. The new platform must not depend on Archipel and must be able to operate independently of whatever replaces it (Aanbestedingsleidraad §1.5, interpreted).</w:t>
      </w:r>
    </w:p>
    <w:p>
      <w:pPr>
        <w:pStyle w:val="ListBullet"/>
      </w:pPr>
      <w:r>
        <w:t>LVS (Leer Volg Systeem) — Alliander's existing learning management system. Not an integration requirement today, but the platform must expose open APIs so future LVS integration is possible; LVS API-readiness is itself a GC3 quality-scoring dimension.</w:t>
      </w:r>
    </w:p>
    <w:p>
      <w:pPr>
        <w:pStyle w:val="ListBullet"/>
      </w:pPr>
      <w:r>
        <w:t>Alliander IAM — the one true integration knock-out (see Security Architecture). Every identity touchpoint in the solution, including edge hardware, routes through it.</w:t>
      </w:r>
    </w:p>
    <w:p>
      <w:r>
        <w:t>Operating-model constraint (Bijlage L Voorblad, explicit statement): Alliander is explicit that it does *not* want a generic enterprise simulation platform. It wants a pragmatic, manageable digital control layer, and trainers must be able to manage scenarios independently, without structural dependency on the supplier's development capacity after go-live. This shapes the enterprise fit: the solution should minimize ongoing custom-development dependency and favor configurable scenario management over code-level changes.</w:t>
      </w:r>
    </w:p>
    <w:p>
      <w:r>
        <w:t>Portfolio/capability mapping against Alliander's broader IT/OT estate: not specified anywhere in the tender documents read to date. No enterprise architecture framework (for example TOGAF, ArchiMate), reference architecture, or IT/OT segmentation standard is named by Alliander. This is a genuine open question rather than something inferable from available sources — worth raising if a further clarification round (NvI 2) opens.</w:t>
      </w:r>
    </w:p>
    <w:p>
      <w:pPr>
        <w:pStyle w:val="Heading1"/>
      </w:pPr>
      <w:r>
        <w:t>Solution Architecture</w:t>
      </w:r>
    </w:p>
    <w:p>
      <w:r>
        <w:t>The diagram below is rendered from the editable draw.io source: architecture-diagram.drawio. Open it in the draw.io desktop app, diagrams.net, or the VS Code draw.io extension to edit it, then export as PNG over architecture-diagram.png to refresh the image below.</w:t>
      </w:r>
    </w:p>
    <w:p>
      <w:r>
        <w:t>&gt; Image is stale. architecture-diagram.png was exported before the latest diagram fixes (the Layer 3 → Layer 6 live-view connection, and the hedged protocol/trainee-ID labels) and was exported with a dark background instead of the intended light-grey scope containers. Re-export from the current .drawio file before this goes into a submission.</w:t>
      </w:r>
    </w:p>
    <w:p>
      <w:pPr>
        <w:jc w:val="center"/>
      </w:pPr>
      <w:r>
        <w:drawing>
          <wp:inline xmlns:a="http://schemas.openxmlformats.org/drawingml/2006/main" xmlns:pic="http://schemas.openxmlformats.org/drawingml/2006/picture">
            <wp:extent cx="5760000" cy="5914286"/>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9"/>
                    <a:stretch>
                      <a:fillRect/>
                    </a:stretch>
                  </pic:blipFill>
                  <pic:spPr>
                    <a:xfrm>
                      <a:off x="0" y="0"/>
                      <a:ext cx="5760000" cy="5914286"/>
                    </a:xfrm>
                    <a:prstGeom prst="rect"/>
                  </pic:spPr>
                </pic:pic>
              </a:graphicData>
            </a:graphic>
          </wp:inline>
        </w:drawing>
      </w:r>
    </w:p>
    <w:p>
      <w:pPr>
        <w:jc w:val="center"/>
      </w:pPr>
      <w:r>
        <w:rPr>
          <w:i/>
          <w:sz w:val="18"/>
        </w:rPr>
        <w:t>Digital Schakellokalen solution architecture diagram: Partner Scope (Layers 1-3, hardware, offline-capable) on the left and Avanade/Alliander Scope (Layers 4-6, digital, cloud-hosted EEA) on the right, with Alliander IAM and physical safety systems shown as cross-cutting concerns below each column.</w:t>
      </w:r>
    </w:p>
    <w:p>
      <w:pPr>
        <w:pStyle w:val="Heading2"/>
      </w:pPr>
      <w:r>
        <w:t>Legend</w:t>
      </w:r>
    </w:p>
    <w:p>
      <w:pPr>
        <w:pStyle w:val="ListBullet"/>
      </w:pPr>
      <w:r>
        <w:t>Solid arrow = data flow within a boundary</w:t>
      </w:r>
    </w:p>
    <w:p>
      <w:pPr>
        <w:pStyle w:val="ListBullet"/>
      </w:pPr>
      <w:r>
        <w:t>Dashed / labeled cross-link = cross-cutting or optional connection</w:t>
      </w:r>
    </w:p>
    <w:p>
      <w:pPr>
        <w:pStyle w:val="ListBullet"/>
      </w:pPr>
      <w:r>
        <w:t>Blue boxes (PS) = hardware partner delivery scope, offline-capable</w:t>
      </w:r>
    </w:p>
    <w:p>
      <w:pPr>
        <w:pStyle w:val="ListBullet"/>
      </w:pPr>
      <w:r>
        <w:t>Green boxes (AS) = Avanade/Alliander digital scope, cloud-hosted (EEA)</w:t>
      </w:r>
    </w:p>
    <w:p>
      <w:pPr>
        <w:pStyle w:val="ListBullet"/>
      </w:pPr>
      <w:r>
        <w:t>Orange boxes = cross-cutting concerns (identity, physical safety)</w:t>
      </w:r>
    </w:p>
    <w:p>
      <w:pPr>
        <w:pStyle w:val="Heading2"/>
      </w:pPr>
      <w:r>
        <w:t>Key Relationships</w:t>
      </w:r>
    </w:p>
    <w:p>
      <w:pPr>
        <w:pStyle w:val="ListBullet"/>
      </w:pPr>
      <w:r>
        <w:t>Layers 1 through 3 form the hardware partner's delivery scope; layer 3 is the only component that must keep a training session running through a temporary loss of internet connectivity.</w:t>
      </w:r>
    </w:p>
    <w:p>
      <w:pPr>
        <w:pStyle w:val="ListBullet"/>
      </w:pPr>
      <w:r>
        <w:t>Layer 3 connects to Layer 6 directly over the local network for live instructor/trainee observation during a session; this connection does not depend on cloud reachability.</w:t>
      </w:r>
    </w:p>
    <w:p>
      <w:pPr>
        <w:pStyle w:val="ListBullet"/>
      </w:pPr>
      <w:r>
        <w:t>The edge-to-cloud sync (Layer 3 to Layer 4) is a separate, asynchronous, best-effort path; a training session never blocks on cloud reachability.</w:t>
      </w:r>
    </w:p>
    <w:p>
      <w:pPr>
        <w:pStyle w:val="ListBullet"/>
      </w:pPr>
      <w:r>
        <w:t>Alliander's IAM platform federates identity into the edge for trainee and instructor authentication, with no local credential store anywhere in the stack.</w:t>
      </w:r>
    </w:p>
    <w:p>
      <w:pPr>
        <w:pStyle w:val="ListBullet"/>
      </w:pPr>
      <w:r>
        <w:t>Physical safety systems remain entirely independent of the digital layer by design, satisfying SAFE-01 and SAFE-02.</w:t>
      </w:r>
    </w:p>
    <w:p>
      <w:pPr>
        <w:pStyle w:val="ListBullet"/>
      </w:pPr>
      <w:r>
        <w:t>Layers 4 through 6 are Avanade and Alliander's digital scope, hosted with EEA-only data residency.</w:t>
      </w:r>
    </w:p>
    <w:p>
      <w:pPr>
        <w:pStyle w:val="Heading1"/>
      </w:pPr>
      <w:r>
        <w:t>Hardware Architecture</w:t>
      </w:r>
    </w:p>
    <w:p>
      <w:r>
        <w:t>Grounded in the tender hardware recon and the Hardware BRD.</w:t>
      </w:r>
    </w:p>
    <w:p>
      <w:r>
        <w:t>In scope for the hardware partner (Aanbestedingsleidraad §1.5.4; Bijlage L HW-01, HW-02): relays, I/O boards, cabling, comparable control technology, smart cables, sensors, switches, plus all interface components needed to couple the digital solution to the existing physical training assets.</w:t>
      </w:r>
    </w:p>
    <w:p>
      <w:r>
        <w:t>Out of scope: the physical switchgear itself (already exists), generic physical infrastructure (standard cabling, power supplies, switchrooms), and measurement equipment (Aanbestedingsleidraad §1.5.5; Bijlage L SCOPE-04, MV-04).</w:t>
      </w:r>
    </w:p>
    <w:p>
      <w:r>
        <w:t>Design constraints that shape the hardware:</w:t>
      </w:r>
    </w:p>
    <w:p>
      <w:pPr>
        <w:pStyle w:val="ListBullet"/>
      </w:pPr>
      <w:r>
        <w:t>Fail-safe by default (SAFE-01). Every relay board, I/O module, and edge controller must default to a predefined safe state on power loss or communication loss: active scenarios terminated, outputs placed safe, physical safety provisions unaffected.</w:t>
      </w:r>
    </w:p>
    <w:p>
      <w:pPr>
        <w:pStyle w:val="ListBullet"/>
      </w:pPr>
      <w:r>
        <w:t>Hardware abstraction (ITAR-03). Hardware-specific protocols, drivers, and implementation detail live only in the integration/hardware layer, so panels are field-replaceable without redesigning the platform.</w:t>
      </w:r>
    </w:p>
    <w:p>
      <w:pPr>
        <w:pStyle w:val="ListBullet"/>
      </w:pPr>
      <w:r>
        <w:t>Reproducible, deterministic fault injection (Bijlage T general principles). Faults must be resettable by the instructor without interrupting other trainees, and reproducible identically across sessions; some scenarios (MK-07, MK-08) additionally require random per-phase/per-dwelling assignment.</w:t>
      </w:r>
    </w:p>
    <w:p>
      <w:pPr>
        <w:pStyle w:val="ListBullet"/>
      </w:pPr>
      <w:r>
        <w:t>Operating voltage for simulation hardware is 20-50V DC — an Avanade design intent carried from the 2023/2025 concept work, not yet confirmed in the tender documents themselves.</w:t>
      </w:r>
    </w:p>
    <w:p>
      <w:pPr>
        <w:pStyle w:val="ListBullet"/>
      </w:pPr>
      <w:r>
        <w:t>Intensive repeated use. Hardware must tolerate continuous training-environment duty cycles (Bijlage T general principles).</w:t>
      </w:r>
    </w:p>
    <w:p>
      <w:pPr>
        <w:pStyle w:val="ListBullet"/>
      </w:pPr>
      <w:r>
        <w:t>Lifecycle management (LCD08). Only actively vendor-supported hardware may be used; the contract must state explicit end-of-support dates for every component.</w:t>
      </w:r>
    </w:p>
    <w:p>
      <w:r>
        <w:t>Per-domain instrumentation needs (from the 31 Bijlage T core scenarios): individually addressable relay/modem control per street-lighting circuit (OV), per-meter and per-dwelling fault injection in the meter cabinet (MK), per-junction multi-fault simulation and phase-rotation signalling (LS), and signal-level fault injection on real MV switchgear (SVS, WEGA, SF-6 gauge) without exposing real MV voltage to trainees (MS). See the recon document's §5 for the full scenario-by-scenario breakdown.</w:t>
      </w:r>
    </w:p>
    <w:p>
      <w:pPr>
        <w:pStyle w:val="Heading1"/>
      </w:pPr>
      <w:r>
        <w:t>Network Architecture</w:t>
      </w:r>
    </w:p>
    <w:p>
      <w:r>
        <w:t>&gt; Protocol names below (OPC-UA, Modbus, MQTT) are an Avanade design assumption for an industrial edge gateway of this kind. They are not specified or confirmed anywhere in the tender documents and must be validated against the hardware partner's proposal and the site survey before being stated as fact in a submission.</w:t>
      </w:r>
    </w:p>
    <w:p>
      <w:r>
        <w:t>On-site network, per training environment (Haarlem and Zevenaar, 4 environments total):</w:t>
      </w:r>
    </w:p>
    <w:p>
      <w:pPr>
        <w:pStyle w:val="ListBullet"/>
      </w:pPr>
      <w:r>
        <w:t>An on-site edge gateway/server aggregates instrumentation signals (relays, I/O, sensors) over an industrial fieldbus/protocol stack — assumed OPC-UA and/or Modbus for switchgear I/O, MQTT for event/telemetry publishing — and exposes a single integration point to the digital layer above it (ITAR-03 hardware abstraction boundary).</w:t>
      </w:r>
    </w:p>
    <w:p>
      <w:pPr>
        <w:pStyle w:val="ListBullet"/>
      </w:pPr>
      <w:r>
        <w:t>The edge server is backed by UPS and is designed to keep a training session running through a temporary loss of the site's internet connection (PERF-05); it does not depend on reaching the cloud to execute or score a scenario.</w:t>
      </w:r>
    </w:p>
    <w:p>
      <w:pPr>
        <w:pStyle w:val="ListBullet"/>
      </w:pPr>
      <w:r>
        <w:t>Cloud synchronization is asynchronous and best-effort: session state, scenario results, and learning data upload to the digital twin when connectivity is available, and queue locally otherwise.</w:t>
      </w:r>
    </w:p>
    <w:p>
      <w:pPr>
        <w:pStyle w:val="ListBullet"/>
      </w:pPr>
      <w:r>
        <w:t>Multi-site isolation: Haarlem and Zevenaar are treated as independent network segments; a fault or outage at one site has no effect on the other.</w:t>
      </w:r>
    </w:p>
    <w:p>
      <w:r>
        <w:t>Edge-to-cloud connectivity:</w:t>
      </w:r>
    </w:p>
    <w:p>
      <w:pPr>
        <w:pStyle w:val="ListBullet"/>
      </w:pPr>
      <w:r>
        <w:t>All data traffic is encrypted in transit at TLS 1.2 minimum, TLS 1.3 preferred (Bijlage L IT-04).</w:t>
      </w:r>
    </w:p>
    <w:p>
      <w:pPr>
        <w:pStyle w:val="ListBullet"/>
      </w:pPr>
      <w:r>
        <w:t>No local password database or legacy/weak auth flow (Implicit Flow, ROPC, Basic Auth, NTLM) is permitted on any network-connected component, including edge gateways (Bijlage V §3.1).</w:t>
      </w:r>
    </w:p>
    <w:p>
      <w:pPr>
        <w:pStyle w:val="ListBullet"/>
      </w:pPr>
      <w:r>
        <w:t>Open APIs and open standards are required end to end to avoid vendor lock-in and to keep the architecture modular and scalable to additional training environments added under the framework (Bijlage N GC2, Bijlage L HW-24, HW-25).</w:t>
      </w:r>
    </w:p>
    <w:p>
      <w:r>
        <w:t>Open items: confirm the actual fieldbus/protocol choice with the hardware partner during the site survey; define VLAN/segmentation design and firewall rules between the OT instrumentation network, the edge server, and the IT network once a partner and physical topology are selected; this section should not be treated as final until that happens.</w:t>
      </w:r>
    </w:p>
    <w:p>
      <w:pPr>
        <w:pStyle w:val="Heading1"/>
      </w:pPr>
      <w:r>
        <w:t>Data Architecture</w:t>
      </w:r>
    </w:p>
    <w:p>
      <w:r>
        <w:t>Grounded in Bijlage L (ITAR-06, IT-03, IT-04, LCD11) and Bijlage N GC3.</w:t>
      </w:r>
    </w:p>
    <w:p>
      <w:r>
        <w:t>Digital twin data model: a central, authoritative digital network model representing both the physical and logical network — topology, live component state, active scenario/fault state, and session history (Bijlage L ITAR-06). This model is the basis for scenario analysis, simulation, validation, and learning-data extraction, and it is the same Layer 4 store referenced in the Solution Architecture.</w:t>
      </w:r>
    </w:p>
    <w:p>
      <w:r>
        <w:t>Learning-data model (GC3): trainee actions and outcomes captured per session — which scenario ran, what faults were injected, how the trainee responded, and the resulting score — structured as a session dossier. This is the dataset GC3 scores the solution against, and it is also the dataset that would eventually flow into LVS if that integration is built.</w:t>
      </w:r>
    </w:p>
    <w:p>
      <w:r>
        <w:t>Edge-to-cloud data flow: consistent with the Network Architecture design, session and scenario data is captured locally at the edge first (so a session never depends on cloud reachability), then synced asynchronously to the cloud-hosted digital twin and learning-data store when connectivity is available. Conflict handling and exact sync cadence are not yet designed.</w:t>
      </w:r>
    </w:p>
    <w:p>
      <w:r>
        <w:t>EEA-only residency (knock-out): all data is stored exclusively within the EEA — stated twice independently in Bijlage L (IT-03, and again under cloud-provider requirements as LCD11). The supplier must supply a complete, current inventory of every datacentre, cloud region, and storage service used, including physical country and role (production, test, backup, archival, failover); any change to storage locations must be reported to Alliander in advance for re-assessment.</w:t>
      </w:r>
    </w:p>
    <w:p>
      <w:r>
        <w:t>Encryption: data traffic is encrypted in transit at TLS 1.2 minimum, TLS 1.3 preferred (Bijlage L IT-04). Encryption at rest is not explicitly mandated in the tender documents read to date; treat industry-standard at-rest encryption (for example AES-256) as an Avanade design default pending confirmation, not a quoted tender requirement.</w:t>
      </w:r>
    </w:p>
    <w:p>
      <w:r>
        <w:t>Open items: retention period (how long session/learning data is kept, and any Alliander-driven deletion requirement) is not specified anywhere in the tender documents and needs a decision before this section can be called complete.</w:t>
      </w:r>
    </w:p>
    <w:p>
      <w:pPr>
        <w:pStyle w:val="Heading1"/>
      </w:pPr>
      <w:r>
        <w:t>Security Architecture</w:t>
      </w:r>
    </w:p>
    <w:p>
      <w:r>
        <w:t>Grounded in Bijlage V (IAM) and the relevant Bijlage L non-functional and cloud-provider requirements.</w:t>
      </w:r>
    </w:p>
    <w:p>
      <w:r>
        <w:t>Identity and access management — knock-out requirement. The solution must meet minimum security level A for both Access Management (AM) and Identity Governance and Administration (IGA), or the bid is disqualified outright (Bijlage V).</w:t>
      </w:r>
    </w:p>
    <w:p>
      <w:pPr>
        <w:pStyle w:val="ListBullet"/>
      </w:pPr>
      <w:r>
        <w:t>AM (level A): OIDC/OAuth 2.0 with Authorization Code flow + PKCE S256 preferred; SAML 2.0 acceptable as fallback. Implicit Flow, ROPC, Basic Auth, NTLM, and local password databases are all explicitly prohibited (Bijlage V §3.1).</w:t>
      </w:r>
    </w:p>
    <w:p>
      <w:pPr>
        <w:pStyle w:val="ListBullet"/>
      </w:pPr>
      <w:r>
        <w:t>IGA (level A): SailPoint connector preferred; SCIM 2.0 provisioning acceptable; manual provisioning is not acceptable above level A. Authentication events must be exportable to Alliander's SIEM (Bijlage V §3.2).</w:t>
      </w:r>
    </w:p>
    <w:p>
      <w:pPr>
        <w:pStyle w:val="ListBullet"/>
      </w:pPr>
      <w:r>
        <w:t>This applies to every network-connected component, including edge gateways and any device with a login interface (for example RFID/NFC trainee identification readers) — no local credential stores anywhere.</w:t>
      </w:r>
    </w:p>
    <w:p>
      <w:r>
        <w:t>Certifications (organisational, knock-out): ISO 27001 (or equivalent, or SOC 2 Type II covering the relevant services) and ISO 9001 (or equivalent) are both mandatory for the supplier (Aanbestedingsleidraad §4.1; Bijlage L LCD19).</w:t>
      </w:r>
    </w:p>
    <w:p>
      <w:r>
        <w:t>Encryption: TLS 1.2 minimum, TLS 1.3 preferred, for all data traffic (Bijlage L IT-04).</w:t>
      </w:r>
    </w:p>
    <w:p>
      <w:r>
        <w:t>Fail-safe / safety independence (also foundational to hardware and network design): the digital solution must never override, disable, or bypass physical safety provisions, and must fail to a safe state on malfunction, power loss, or communication loss (Bijlage L SAFE-01, SAFE-02).</w:t>
      </w:r>
    </w:p>
    <w:p>
      <w:r>
        <w:t>Open items: a full STRIDE-style threat model per component/boundary, and a formal risk analysis for working with live/energised components in training scenarios (required deliverable per Bijlage T), are not yet produced.</w:t>
      </w:r>
    </w:p>
    <w:p>
      <w:pPr>
        <w:pStyle w:val="Heading1"/>
      </w:pPr>
      <w:r>
        <w:t>Scope Boundary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2F5496"/>
          </w:tcPr>
          <w:p>
            <w:r>
              <w:rPr>
                <w:b/>
                <w:color w:val="FFFFFF"/>
              </w:rPr>
              <w:t>Layers</w:t>
            </w:r>
          </w:p>
        </w:tc>
        <w:tc>
          <w:tcPr>
            <w:tcW w:type="dxa" w:w="2880"/>
            <w:shd w:val="clear" w:color="auto" w:fill="2F5496"/>
          </w:tcPr>
          <w:p>
            <w:r>
              <w:rPr>
                <w:b/>
                <w:color w:val="FFFFFF"/>
              </w:rPr>
              <w:t>Scope owner</w:t>
            </w:r>
          </w:p>
        </w:tc>
        <w:tc>
          <w:tcPr>
            <w:tcW w:type="dxa" w:w="2880"/>
            <w:shd w:val="clear" w:color="auto" w:fill="2F5496"/>
          </w:tcPr>
          <w:p>
            <w:r>
              <w:rPr>
                <w:b/>
                <w:color w:val="FFFFFF"/>
              </w:rPr>
              <w:t>Operates</w:t>
            </w:r>
          </w:p>
        </w:tc>
      </w:tr>
      <w:tr>
        <w:tc>
          <w:tcPr>
            <w:tcW w:type="dxa" w:w="2880"/>
          </w:tcPr>
          <w:p>
            <w:r>
              <w:t>1-3 (Physical, Instrument, Connect)</w:t>
            </w:r>
          </w:p>
        </w:tc>
        <w:tc>
          <w:tcPr>
            <w:tcW w:type="dxa" w:w="2880"/>
          </w:tcPr>
          <w:p>
            <w:r>
              <w:t>Hardware partner</w:t>
            </w:r>
          </w:p>
        </w:tc>
        <w:tc>
          <w:tcPr>
            <w:tcW w:type="dxa" w:w="2880"/>
          </w:tcPr>
          <w:p>
            <w:r>
              <w:t>Fully offline-capable, on-site</w:t>
            </w:r>
          </w:p>
        </w:tc>
      </w:tr>
      <w:tr>
        <w:tc>
          <w:tcPr>
            <w:tcW w:type="dxa" w:w="2880"/>
          </w:tcPr>
          <w:p>
            <w:r>
              <w:t>4-6 (Digital Twin, AI &amp; Agentic, Experience)</w:t>
            </w:r>
          </w:p>
        </w:tc>
        <w:tc>
          <w:tcPr>
            <w:tcW w:type="dxa" w:w="2880"/>
          </w:tcPr>
          <w:p>
            <w:r>
              <w:t>Avanade / Alliander</w:t>
            </w:r>
          </w:p>
        </w:tc>
        <w:tc>
          <w:tcPr>
            <w:tcW w:type="dxa" w:w="2880"/>
          </w:tcPr>
          <w:p>
            <w:r>
              <w:t>Cloud, EEA-hosted, syncs asynchronously from the edge</w:t>
            </w:r>
          </w:p>
        </w:tc>
      </w:tr>
    </w:tbl>
    <w:p/>
    <w:p>
      <w:pPr>
        <w:pStyle w:val="Heading1"/>
      </w:pPr>
      <w:r>
        <w:t>Next Steps</w:t>
      </w:r>
    </w:p>
    <w:p>
      <w:pPr>
        <w:pStyle w:val="ListBullet"/>
      </w:pPr>
      <w:r>
        <w:t>Blocked on external input — confirm the Network architecture's protocol assumptions (OPC-UA/Modbus/MQTT) with the hardware partner and the Zevenaar/Haarlem site survey before stating them as fact in a submission. This cannot be resolved from the tender documents alone; it needs a conversation with the partner.</w:t>
      </w:r>
    </w:p>
    <w:p>
      <w:pPr>
        <w:pStyle w:val="ListBullet"/>
      </w:pPr>
      <w:r>
        <w:t>Decide the data retention policy (how long session/learning data is kept) — not specified in the tender documents; needs an Alliander- or Avanade-side decision.</w:t>
      </w:r>
    </w:p>
    <w:p>
      <w:pPr>
        <w:pStyle w:val="ListBullet"/>
      </w:pPr>
      <w:r>
        <w:t>Confirm whether Alliander has an enterprise architecture framework or IT/OT segmentation standard the solution should align to; not stated anywhere in the tender documents — a good candidate for an NvI 2 clarification question if another round opens.</w:t>
      </w:r>
    </w:p>
    <w:p>
      <w:pPr>
        <w:pStyle w:val="ListBullet"/>
      </w:pPr>
      <w:r>
        <w:t>Confirm with the bid lead whether device-specific references (ABB SafeRing, WEGA, SVS) should remain indicative-only in the submitted version, consistent with the hardware BRD's guardrails.</w:t>
      </w:r>
    </w:p>
    <w:p>
      <w:pPr>
        <w:pStyle w:val="ListBullet"/>
      </w:pPr>
      <w:r>
        <w:t>Cross-check against the final RFP text once NvI 2 (if issued) closes any open questions.</w:t>
      </w:r>
    </w:p>
    <w:p>
      <w:pPr>
        <w:pStyle w:val="ListBullet"/>
      </w:pPr>
      <w:r>
        <w:t>Get a solution-architecture review of this document before it goes to Kryptonite-style red-team review.</w:t>
      </w:r>
    </w:p>
    <w:p>
      <w:pPr>
        <w:pStyle w:val="Heading1"/>
      </w:pPr>
      <w:r>
        <w:t>Related Documents</w:t>
      </w:r>
    </w:p>
    <w:p>
      <w:pPr>
        <w:pStyle w:val="ListBullet"/>
      </w:pPr>
      <w:r>
        <w:t>Hardware BRD — outcome-based hardware capability requirements for the IoT partner</w:t>
      </w:r>
    </w:p>
    <w:p>
      <w:pPr>
        <w:pStyle w:val="ListBullet"/>
      </w:pPr>
      <w:r>
        <w:t>Tender hardware recon — source reconnaissance from the RFP documents</w:t>
      </w:r>
    </w:p>
    <w:p>
      <w:pPr>
        <w:pStyle w:val="ListBullet"/>
      </w:pPr>
      <w:r>
        <w:t>architecture-diagram.drawio — editable source for the solution architecture diagram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Schakellokalen Solution Overview</dc:title>
  <dc:subject/>
  <dc:creator>Avanade Bid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