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F851" w14:textId="77777777" w:rsidR="00611F5E" w:rsidRDefault="00164B3C">
      <w:pPr>
        <w:pStyle w:val="Heading1"/>
      </w:pPr>
      <w:r>
        <w:t>Import Reliance</w:t>
      </w:r>
    </w:p>
    <w:p w14:paraId="227017E4" w14:textId="68301273" w:rsidR="00611F5E" w:rsidRDefault="00164B3C">
      <w:r>
        <w:t>Import reliance is defined as the fraction of domestic consumption covered by net electricity imports over a period</w:t>
      </w:r>
      <w:r w:rsidR="00AE0B6D">
        <w:t xml:space="preserve"> of interest</w:t>
      </w:r>
      <w:r>
        <w:t xml:space="preserve">. This is a simple metric that is easy to interpret and commonly identified in the research literature on electricity supply security </w:t>
      </w:r>
      <w:r w:rsidR="006144D9">
        <w:fldChar w:fldCharType="begin"/>
      </w:r>
      <w:r w:rsidR="00EC4DCC">
        <w:instrText xml:space="preserve"> ADDIN ZOTERO_ITEM CSL_CITATION {"citationID":"vEhQMpVC","properties":{"formattedCitation":"[1\\uc0\\u8211{}4]","plainCitation":"[1–4]","noteIndex":0},"citationItems":[{"id":490,"uris":["http://zotero.org/users/9332412/items/ZNU3RJYM"],"itemData":{"id":490,"type":"article-journal","abstract":"The analysis of security of electricity supply (SoES) is particularly complex due to, among others, the liberalisation process and the increasing penetration of renewable energies. Larsen et al. [1] propose a framework based on twelve dimensions to evaluate SoES for a single jurisdiction. However, actions aimed at improving one dimension might impact others negatively, adversely affecting the overall system. Understanding how these dimensions are interrelated is thus a prerequisite for appropriate planning and resource allocation. We apply a Cross Impact Analysis (CIA) to these dimensions to determine the degree to which the different dimensions depend on each other. From this we derive an influence diagram to visualise the interdependencies and a scatter plot to categorise the dimensions as independent, driver, connector or outcome. Actions targeting the drivers or connectors are potentially the more effective ones a regulator can take, as the consequences will gradually ripple through the system. Having an integral view of the dimensions' interdependencies provides a better understanding of the higher-order changes an intervention may cause. This enables policymakers and regulators to identifying where in the system to intervene to achieve the desired effect with the least amount of resources and with as few undesirable side-effects as possible.","container-title":"Energy","DOI":"10.1016/j.energy.2017.06.095","ISSN":"0360-5442","journalAbbreviation":"Energy","page":"598-609","source":"ScienceDirect","title":"Interdependencies in security of electricity supply","volume":"135","author":[{"family":"Osorio","given":"Sebastian"},{"family":"Ackere","given":"Ann","non-dropping-particle":"van"},{"family":"Larsen","given":"Erik R."}],"issued":{"date-parts":[["2017",9,15]]}}},{"id":489,"uris":["http://zotero.org/users/9332412/items/T7QNQXF9"],"itemData":{"id":489,"type":"article-journal","abstract":"This article provides a synthesized, workable framework for analyzing national energy security policies and performance. Drawn from research interviews, survey results, a focused workshop, and an extensive literature review, this article proposes that energy security ought to be comprised of five dimensions related to availability, affordability, technology development, sustainability, and regulation. We then break these five dimensions down into 20 components related to security of supply and production, dependency, and diversification for availability; price stability, access and equity, decentralization, and low prices for affordability; innovation and research, safety and reliability, resilience, energy efficiency, and investment for technology development; land use, water, climate change, and air pollution for sustainability; and governance, trade, competition, and knowledge for sound regulation. Further still, our synthesis lists 320 simple indicators and 52 complex indicators that policymakers and scholars can use to analyze, measure, track, and compare national performance on energy security. The article concludes by offering implications for energy policy more broadly.","collection-title":"PRES 2010","container-title":"Energy","DOI":"10.1016/j.energy.2011.06.043","ISSN":"0360-5442","issue":"8","journalAbbreviation":"Energy","page":"5343-5355","source":"ScienceDirect","title":"Conceptualizing and measuring energy security: A synthesized approach","title-short":"Conceptualizing and measuring energy security","volume":"36","author":[{"family":"Sovacool","given":"Benjamin K."},{"family":"Mukherjee","given":"Ishani"}],"issued":{"date-parts":[["2011",8,1]]}}},{"id":530,"uris":["http://zotero.org/users/9332412/items/VIGYWWVW"],"itemData":{"id":530,"type":"article-journal","abstract":"Solar power imports to Europe from the deserts of North Africa, as foreseen in the Desertec concept, is one possible way to help decarbonising the European power sector by 2050. However, this approach raises questions of threats to European energy security in such an import scenario, particularly in the light of increasing import dependency and Russia's use of the \"energy weapon\" in recent years. In this paper we investigate the threat of North African countries using the Desertec electricity exports as an \"energy weapon\". We develop and use a new model to assess the interdependence - the bargaining power symmetry, operationalised as costs - of a disruption in a future renewable electricity trade between North Africa and Europe. If Europe maintains current capacity buffers, some demand-response capability and does not import much more than what is described in the Desertec scenario, it is susceptible to extortion and political pressure only if all five exporter countries unite in using the energy weapon. Europe is not vulnerable to extortion by an export cut from only one country, as the European capacity buffers are sufficient to restore the power supply: no single exporter country would have sustained bargaining power over Europe. © 2011 Elsevier Ltd.","container-title":"Energy Policy","DOI":"10.1016/J.ENPOL.2011.03.035","issue":"6","note":"publisher: Elsevier","page":"3380-3391","title":"Energy security and renewable electricity trade—Will Desertec make Europe vulnerable to the “energy weapon”?","volume":"39","author":[{"family":"Lilliestam","given":"Johan"},{"family":"Ellenbeck","given":"Saskia"}],"issued":{"date-parts":[["2011",6]]}}},{"id":524,"uris":["http://zotero.org/users/9332412/items/2U5U7MX3"],"itemData":{"id":524,"type":"article-journal","abstract":"Electricity supply plays a significantly important role in national economy and society development. Accordingly, the evaluation of electricity supply sustainability and security as an early warning method is beneficial for the decision-makers/policy-makers to take various measures to enhance electricity supply sustainability and security. This study aims at developing a multi-criteria decision analysis framework for electricity supply sustainability and security evaluation, and a total of nine metrics (i.e. Shannon-Weiner index, electricity import dependence, supply adequacy, rural electrification rate, electric power losses ratio, residential consumption ratio, electricity per Gross Domestic Product, electric power consumption per capita, and fossil fuel dependence) in four dimensions including availability and security of supply, affordability and reliability, energy and economic efficiency, and environmental stewardship were employed for electricity supply sustainability and security evaluation. Fuzzy Analytic Hierarchy Process which allows the users to use linguistic terms to express their opinions was used to determine the weights of the criteria which represent their relative importance in the evaluation of electricity supply sustainability and security. Grey Rational Analysis was used to prioritize the status of electricity supply sustainability and security of different countries in different years. The electricity supply sustainability and security of the five major emerging national economies (Brazil, Russia, India, China and South Africa) was studied in Chinese perspective by the proposed method.","container-title":"Journal of Cleaner Production","DOI":"10.1016/J.JCLEPRO.2017.10.167","note":"publisher: Elsevier","page":"438-453","title":"Evaluation of electricity supply sustainability and security: Multi-criteria decision analysis approach","volume":"172","author":[{"family":"Ren","given":"Jingzheng"},{"family":"Dong","given":"Liang"}],"issued":{"date-parts":[["2018",1]]}}}],"schema":"https://github.com/citation-style-language/schema/raw/master/csl-citation.json"} </w:instrText>
      </w:r>
      <w:r w:rsidR="006144D9">
        <w:fldChar w:fldCharType="separate"/>
      </w:r>
      <w:r w:rsidR="006144D9" w:rsidRPr="006144D9">
        <w:rPr>
          <w:rFonts w:cs="Times New Roman"/>
        </w:rPr>
        <w:t>[1–4]</w:t>
      </w:r>
      <w:r w:rsidR="006144D9">
        <w:fldChar w:fldCharType="end"/>
      </w:r>
      <w:r>
        <w:rPr>
          <w:color w:val="000000"/>
        </w:rPr>
        <w:t>, sometimes also referred to “import dependence</w:t>
      </w:r>
      <w:r>
        <w:t xml:space="preserve">.”  </w:t>
      </w:r>
    </w:p>
    <w:p w14:paraId="44394779" w14:textId="326153D4" w:rsidR="00297A9D" w:rsidRDefault="00DC6488" w:rsidP="00A708A0">
      <w:r>
        <w:fldChar w:fldCharType="begin"/>
      </w:r>
      <w:r>
        <w:instrText xml:space="preserve"> REF _Ref164131523 \h </w:instrText>
      </w:r>
      <w:r>
        <w:fldChar w:fldCharType="separate"/>
      </w:r>
      <w:r w:rsidR="006B3902">
        <w:t xml:space="preserve">Figure </w:t>
      </w:r>
      <w:r w:rsidR="006B3902">
        <w:rPr>
          <w:noProof/>
        </w:rPr>
        <w:t>1</w:t>
      </w:r>
      <w:r>
        <w:fldChar w:fldCharType="end"/>
      </w:r>
      <w:r>
        <w:t xml:space="preserve"> 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8B1FE1">
        <w:t xml:space="preserve"> in the U.S.</w:t>
      </w:r>
      <w:r w:rsidR="00E74F5D">
        <w:t xml:space="preserve"> from 2016-2023</w:t>
      </w:r>
      <w:r w:rsidR="00C0483D">
        <w:t xml:space="preserve"> were among</w:t>
      </w:r>
      <w:r w:rsidR="00E74F5D">
        <w:t xml:space="preserve"> </w:t>
      </w:r>
      <w:r w:rsidR="008F3B00">
        <w:t>balancing authorities</w:t>
      </w:r>
      <w:r w:rsidR="00E74F5D">
        <w:t xml:space="preserve">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w:t>
      </w:r>
      <w:r w:rsidR="00A808A6">
        <w:t>balancing authority</w:t>
      </w:r>
      <w:r w:rsidR="00C15A3C">
        <w:t>.</w:t>
      </w:r>
      <w:r w:rsidR="00791645">
        <w:t xml:space="preserve"> </w:t>
      </w:r>
      <w:r w:rsidR="00791645">
        <w:fldChar w:fldCharType="begin"/>
      </w:r>
      <w:r w:rsidR="00791645">
        <w:instrText xml:space="preserve"> REF _Ref177631068 \h </w:instrText>
      </w:r>
      <w:r w:rsidR="00791645">
        <w:fldChar w:fldCharType="separate"/>
      </w:r>
      <w:r w:rsidR="006B3902">
        <w:t xml:space="preserve">Table </w:t>
      </w:r>
      <w:r w:rsidR="006B3902">
        <w:rPr>
          <w:noProof/>
        </w:rPr>
        <w:t>1</w:t>
      </w:r>
      <w:r w:rsidR="00791645">
        <w:fldChar w:fldCharType="end"/>
      </w:r>
      <w:r w:rsidR="00791645">
        <w:t xml:space="preserve"> in the Appendix provides </w:t>
      </w:r>
      <w:r w:rsidR="00567ABD">
        <w:t xml:space="preserve">the import reliance numbers annually and across the full sample, for </w:t>
      </w:r>
      <w:r w:rsidR="00607A65">
        <w:t xml:space="preserve">U.S. </w:t>
      </w:r>
      <w:r w:rsidR="00A808A6">
        <w:t xml:space="preserve">balancing authorities </w:t>
      </w:r>
      <w:r w:rsidR="00567ABD">
        <w:t>with average demand greater than 500 MW.</w:t>
      </w:r>
    </w:p>
    <w:p w14:paraId="7FDE6966" w14:textId="427D89FC" w:rsidR="00DC6488" w:rsidRDefault="00CD652D" w:rsidP="00DC6488">
      <w:pPr>
        <w:keepNext/>
      </w:pPr>
      <w:r>
        <w:rPr>
          <w:noProof/>
        </w:rPr>
        <w:drawing>
          <wp:inline distT="0" distB="0" distL="0" distR="0" wp14:anchorId="53D22490" wp14:editId="10623A86">
            <wp:extent cx="5048250" cy="2724210"/>
            <wp:effectExtent l="0" t="0" r="0" b="0"/>
            <wp:docPr id="92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4183" cy="2738204"/>
                    </a:xfrm>
                    <a:prstGeom prst="rect">
                      <a:avLst/>
                    </a:prstGeom>
                    <a:noFill/>
                  </pic:spPr>
                </pic:pic>
              </a:graphicData>
            </a:graphic>
          </wp:inline>
        </w:drawing>
      </w:r>
    </w:p>
    <w:p w14:paraId="0CD68C4C" w14:textId="22505E7C" w:rsidR="00611F5E" w:rsidRPr="005F0494" w:rsidRDefault="00DC6488" w:rsidP="005F0494">
      <w:pPr>
        <w:pStyle w:val="Caption"/>
      </w:pPr>
      <w:bookmarkStart w:id="0" w:name="_Ref164131523"/>
      <w:r>
        <w:t xml:space="preserve">Figure </w:t>
      </w:r>
      <w:fldSimple w:instr=" SEQ Figure \* ARABIC ">
        <w:r w:rsidR="006B3902">
          <w:rPr>
            <w:noProof/>
          </w:rPr>
          <w:t>1</w:t>
        </w:r>
      </w:fldSimple>
      <w:bookmarkEnd w:id="0"/>
      <w:r>
        <w:t xml:space="preserve"> </w:t>
      </w:r>
      <w:r w:rsidR="00FE22F8">
        <w:t xml:space="preserve">Import share of </w:t>
      </w:r>
      <w:r w:rsidRPr="007D4D6F">
        <w:t>total electricity consumption by U.S. Balancing Authority, 2016-2023.</w:t>
      </w:r>
      <w:bookmarkStart w:id="1" w:name="_heading=h.gjdgxs" w:colFirst="0" w:colLast="0"/>
      <w:bookmarkEnd w:id="1"/>
    </w:p>
    <w:p w14:paraId="17F27C3B" w14:textId="42D77501" w:rsidR="00356A74" w:rsidRDefault="00A708A0" w:rsidP="00A708A0">
      <w:r>
        <w:t xml:space="preserve">There are a few additional import-dependent </w:t>
      </w:r>
      <w:r w:rsidR="008F3B00">
        <w:t>balancing authorities</w:t>
      </w:r>
      <w:r>
        <w:t xml:space="preserve"> shown in </w:t>
      </w:r>
      <w:r w:rsidR="005F0494">
        <w:fldChar w:fldCharType="begin"/>
      </w:r>
      <w:r w:rsidR="005F0494">
        <w:instrText xml:space="preserve"> REF _Ref164131523 \h </w:instrText>
      </w:r>
      <w:r w:rsidR="005F0494">
        <w:fldChar w:fldCharType="separate"/>
      </w:r>
      <w:r w:rsidR="006B3902">
        <w:t xml:space="preserve">Figure </w:t>
      </w:r>
      <w:r w:rsidR="006B3902">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 xml:space="preserve">44% reliant on imports over the sample </w:t>
      </w:r>
      <w:r w:rsidR="004311B5">
        <w:t>period</w:t>
      </w:r>
      <w:r w:rsidR="00D5627C">
        <w:t xml:space="preserve">; 67% of its imports were from Public Service Company of New Mexico and 30% from </w:t>
      </w:r>
      <w:r w:rsidR="006C7898">
        <w:t>Tucson</w:t>
      </w:r>
      <w:r w:rsidR="00D5627C">
        <w:t xml:space="preserve"> Electric Power</w:t>
      </w:r>
      <w:r w:rsidR="008D03E6">
        <w:t>.</w:t>
      </w:r>
    </w:p>
    <w:p w14:paraId="6AF08065" w14:textId="3751C4B5" w:rsidR="00A708A0" w:rsidRDefault="00F573A4" w:rsidP="00A708A0">
      <w:r>
        <w:t xml:space="preserve">Duke Energy Progress </w:t>
      </w:r>
      <w:r w:rsidR="0041185E">
        <w:t>(DEP)</w:t>
      </w:r>
      <w:r w:rsidR="006C7898">
        <w:t xml:space="preserve"> </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w:t>
      </w:r>
      <w:r w:rsidR="0041185E">
        <w:t xml:space="preserve">DEP east. </w:t>
      </w:r>
      <w:r w:rsidR="006144D9">
        <w:t>Most</w:t>
      </w:r>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D67994">
        <w:t xml:space="preserve">in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D67994">
        <w:t xml:space="preserve">if the </w:t>
      </w:r>
      <w:proofErr w:type="gramStart"/>
      <w:r w:rsidR="00356A74">
        <w:t>Duke</w:t>
      </w:r>
      <w:proofErr w:type="gramEnd"/>
      <w:r w:rsidR="00356A74">
        <w:t xml:space="preserve"> </w:t>
      </w:r>
      <w:r w:rsidR="00356A74">
        <w:lastRenderedPageBreak/>
        <w:t>parent company likely owns and controls much of the resources being traded across the multiple B</w:t>
      </w:r>
      <w:r w:rsidR="0099141B">
        <w:t>A</w:t>
      </w:r>
      <w:r w:rsidR="00356A74">
        <w:t>s it administers in the Carolinas</w:t>
      </w:r>
      <w:r w:rsidR="0099141B">
        <w:t>.</w:t>
      </w:r>
      <w:r w:rsidR="00356A74">
        <w:t xml:space="preserve"> </w:t>
      </w:r>
    </w:p>
    <w:p w14:paraId="7ECAADCA" w14:textId="0A198D3E" w:rsidR="00611F5E" w:rsidRDefault="005F24C5" w:rsidP="00DF533E">
      <w:r>
        <w:t xml:space="preserve">Duke Energy Florida </w:t>
      </w:r>
      <w:r w:rsidR="0041185E">
        <w:t xml:space="preserve">(DEF) </w:t>
      </w:r>
      <w:r>
        <w:t xml:space="preserve">is also relatively import-reliant at 24% compared to its neighboring </w:t>
      </w:r>
      <w:r w:rsidR="008F3B00">
        <w:t xml:space="preserve">systems. </w:t>
      </w:r>
      <w:r w:rsidR="00CD08CF">
        <w:t xml:space="preserve">It is relatively diverse in its sources of imports and, unlike the </w:t>
      </w:r>
      <w:proofErr w:type="gramStart"/>
      <w:r w:rsidR="00CD08CF">
        <w:t>Duke</w:t>
      </w:r>
      <w:proofErr w:type="gramEnd"/>
      <w:r w:rsidR="00CD08CF">
        <w:t xml:space="preserve"> </w:t>
      </w:r>
      <w:r w:rsidR="008F3B00">
        <w:t xml:space="preserve">balancing authorities </w:t>
      </w:r>
      <w:r w:rsidR="00CD08CF">
        <w:t xml:space="preserve">in the Carolinas, does not trade with company affiliates. Rather, 32% of its imports were from Florida Power &amp; Light, 26% from Florida Municipal Power Pool, </w:t>
      </w:r>
      <w:r w:rsidR="00F02149">
        <w:t xml:space="preserve">and </w:t>
      </w:r>
      <w:r w:rsidR="00CD08CF">
        <w:t>24% from Seminole Electric Cooperative. It also receives smaller levels of imports from Gainesville Regional Utilities, Southern Company, and Tampa Electric Company.</w:t>
      </w:r>
    </w:p>
    <w:p w14:paraId="3CE82663" w14:textId="6D400696" w:rsidR="000701D3" w:rsidRDefault="00164B3C" w:rsidP="000701D3">
      <w:r>
        <w:t xml:space="preserve">The import reliance metric is simple to calculate and interpret and provides an accurate perspective on the reliance of a balancing authority on electricity supply outside its </w:t>
      </w:r>
      <w:r w:rsidR="00A8344D">
        <w:t>control</w:t>
      </w:r>
      <w:r>
        <w:t xml:space="preserve">. In this way it presents a useful starting point for </w:t>
      </w:r>
      <w:proofErr w:type="gramStart"/>
      <w:r>
        <w:t>an analysis</w:t>
      </w:r>
      <w:proofErr w:type="gramEnd"/>
      <w:r>
        <w:t xml:space="preserve">. </w:t>
      </w:r>
      <w:r w:rsidR="000701D3">
        <w:t>The import reliance metric, while a useful descriptive statistic, is somewhat limited in describing reliability risk because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1462778B" w14:textId="62A620E1" w:rsidR="00611F5E" w:rsidRDefault="00164B3C">
      <w:r>
        <w:t xml:space="preserve">It is </w:t>
      </w:r>
      <w:proofErr w:type="gramStart"/>
      <w:r w:rsidR="000E09B6">
        <w:t>a;sp</w:t>
      </w:r>
      <w:proofErr w:type="gramEnd"/>
      <w:r w:rsidR="000E09B6">
        <w:t xml:space="preserve"> </w:t>
      </w:r>
      <w:r>
        <w:t>important to note that</w:t>
      </w:r>
      <w:r w:rsidR="000E09B6">
        <w:t xml:space="preserve"> high</w:t>
      </w:r>
      <w:r>
        <w:t xml:space="preserve"> “import reliance” is not necessarily a concern- there are likely good reasons when a </w:t>
      </w:r>
      <w:r w:rsidR="000E09B6">
        <w:t>system operator</w:t>
      </w:r>
      <w:r>
        <w:t xml:space="preserve"> imports electricity to supply local demand. </w:t>
      </w:r>
      <w:r w:rsidR="00287BDE">
        <w:t>Several</w:t>
      </w:r>
      <w:r>
        <w:t xml:space="preserve"> studies have shown economic efficiency gains from trade available when two regions </w:t>
      </w:r>
      <w:r w:rsidR="0042466D">
        <w:t xml:space="preserve">increase </w:t>
      </w:r>
      <w:r>
        <w:t>electricity trade</w:t>
      </w:r>
      <w:r w:rsidR="0042466D">
        <w:t xml:space="preserve"> </w:t>
      </w:r>
      <w:r w:rsidR="006144D9">
        <w:fldChar w:fldCharType="begin"/>
      </w:r>
      <w:r w:rsidR="00287BDE">
        <w:instrText xml:space="preserve"> ADDIN ZOTERO_ITEM CSL_CITATION {"citationID":"hpkC9jaG","properties":{"formattedCitation":"[5\\uc0\\u8211{}8]","plainCitation":"[5–8]","noteIndex":0},"citationItems":[{"id":538,"uris":["http://zotero.org/users/9332412/items/GLYVAGDT"],"itemData":{"id":538,"type":"article-journal","abstract":"Bangladesh, currently a low middle-income economy aspires to become a high middle income country by 2021. To achieve such aspiration, the country will have to ensure adequate power supply for its fast growing economy. Bangladesh lacks energy resources for power generation. This paper explores some of the power supply scenarios with special focus on power imports and higher use of renewables. Using the technology rich, least cost optimization model ‘The Integrated MARKAL-EFOM System (TIMES)’ the authors developed four possible future power supply scenarios for Bangladesh. These scenarios include an energy security framework (based on the Power System Master Plan (PSMP) 2016 report), a high power import scenario, a scenario with higher use of renewables and a combined high power import - high renewables development scenario. The analysis indicates that the present energy security framework ensures energy security with diversifying fuels used for power generation, however, scenarios with high power imports and a high share of renewables (including the combined scenario) bring down the cost of supplying power along with a reduction in expensive fossil fuel imports while maintaining energy security as fuel sources for power generation still remain diversified.","container-title":"Energy","DOI":"10.1016/j.energy.2018.04.169","title":"Bangladesh power supply scenarios on renewables and electricity import","volume":"155","author":[{"family":"Das","given":"Anjana"},{"family":"Halder","given":"Arideep"},{"family":"Mazumder","given":"Rahul"},{"family":"Saini","given":"Vinay Kumar"},{"family":"Parikh","given":"Jyoti"},{"family":"Parikh","given":"Kirit S."}],"issued":{"date-parts":[["2018"]]}},"label":"page"},{"id":485,"uris":["http://zotero.org/users/9332412/items/G2LQIN7I"],"itemData":{"id":485,"type":"article-journal","abstract":"Canadian hydropower resources offer a potentially attractive option for meeting decarbonization targets in the US Northeast region, where there are ambitious climate goals and nearby hydro resources in Quebec. Existing transmission capacity is, however, a limiting factor in expanding hydropower imports to the region. To examine the value of expanding transmission capacity from Quebec to the Northeast, we employ an integrated top-down bottom-up modeling framework (USREP-EleMod). This research was part of an Energy Modeling Forum effort, EMF34, with a goal of better characterizing linkages in energy markets across North America. The scenarios we examine exogenously expand transmission capacity by 10, 30, and 50% above existing capacity into the US Northeast (New York/New England), finding the value to the economy of these expansions ranging from $.38-$.49 per kWh imported into New York, and $.30-$.33 per kWh imported into New England by 2050. The scenarios include economy-wide emissions goals these states have set for themselves. The carbon limits we imposed raise fuel prices more than electricity prices and as a result we found greater electrification in the US Northeast region from 2030 onward, a result that one would not see using just an electricity sector model, demonstrating a main hypothesis of EMF34, that models that looked at more integration across energy markets would give deeper insight than more narrowly focused models.","container-title":"Energy Policy","DOI":"10.1016/j.enpol.2021.112261","ISSN":"0301-4215","journalAbbreviation":"Energy Policy","page":"112261","source":"ScienceDirect","title":"The role of cross-border electricity trade in transition to a low-carbon economy in the Northeastern U.S","volume":"154","author":[{"family":"Yuan","given":"Mei"},{"family":"Tapia-Ahumada","given":"Karen"},{"family":"Reilly","given":"John"}],"issued":{"date-parts":[["2021",7,1]]}},"label":"page"},{"id":484,"uris":["http://zotero.org/users/9332412/items/XQRBSMGK"],"itemData":{"id":484,"type":"report","abstract":"The uptake of renewable energy (RE) has been identified by a number of governments as a primary means for mitigating CO2 emissions from the electricity sector, and for making the transition to a low-carbon economy. The electric power output of some RE technologies, however, including those based on intermittent wind and solar energy, can vary considerably over short periods of time and thereby introduce instability into the electricity system. The risk of instability increases with higher shares of intermittent power sources connected to the electrical grid. Different means have been used to deal with this intermittency problem. Cross-border trade in electricity appears to be one of them since it enables countries to gain access to a more diversified portfolio of plants, producing over a wider geographic area. Preliminary results from an examination of the European electricity market confirm the importance of cross-border electricity trade in increasing the effective capacity factor of intermittent plants in the context of a growing share of intermittent renewables in the power sector. There are a number of policy issues that must first be addressed though, with some financial and administrative incentives provided to variable RE technologies discouraging RE producers from fully participating in electricity market operations and exerting downward pressure on wholesale electricity prices. The positive contribution that cross-border trade in electricity can make to address the variability problem not only depends on addressing challenges that renewable-energy technologies pose to electricity markets, but also necessitates the existence of an efficient cross-border electricity trading regime. Addressing those regulatory and administrative measures that are inhibiting growth in cross-border trade and the smooth operation of regional electricity markets would therefore help increase the potential for trade in electricity to facilitate growth in renewable energy.","event-place":"Paris","language":"en","note":"DOI: 10.1787/5k4869cdwnzr-en","publisher":"OECD","publisher-place":"Paris","source":"OECD iLibrary","title":"Cross-Border Trade in Electricity and the Development of Renewables-Based Electric Power: Lessons from Europe","title-short":"Cross-Border Trade in Electricity and the Development of Renewables-Based Electric Power","URL":"https://www.oecd-ilibrary.org/trade/cross-border-trade-in-electricity-and-the-development-of-renewables-based-electric-power_5k4869cdwnzr-en","author":[{"family":"Bahar","given":"Heymi"},{"family":"Sauvage","given":"Jehan"}],"accessed":{"date-parts":[["2024",8,26]]},"issued":{"date-parts":[["2013",4,8]]}},"label":"page"},{"id":483,"uris":["http://zotero.org/users/9332412/items/KLHGQ95J"],"itemData":{"id":483,"type":"article-journal","abstract":"Connecting two electrical grids allows power to be traded between the areas, which can improve reliability and lower electricity prices. Over the coming years, electrical networks will have to adapt to larger amounts of intermittent renewable generation. Here we use hourly data from 155 world-wide geographic regions to investigate how the value of connecting electrical grids changes as renewable generation is incorporated. We show across five continents that significantly more interconnections are cost effective in a 100% renewables scenario, and that the investment savings they result in can be 100 times higher. Furthermore, we show that many interconnections that are profitable with dispatchable generation are not profitable in a renewable generation scenario. Finally, we show that in many cases the interconnection only reduces the investments costs of one of the two regions — with the larger electricity market, in general, seeing a greater cost reduction.","container-title":"Applied Energy","DOI":"10.1016/j.apenergy.2022.119717","ISSN":"0306-2619","journalAbbreviation":"Applied Energy","page":"119717","source":"ScienceDirect","title":"The effect of renewable electricity generation on the value of cross-border interconnection","volume":"324","author":[{"family":"Crozier","given":"Constance"},{"family":"Baker","given":"Kyri"}],"issued":{"date-parts":[["2022",10,15]]}}}],"schema":"https://github.com/citation-style-language/schema/raw/master/csl-citation.json"} </w:instrText>
      </w:r>
      <w:r w:rsidR="006144D9">
        <w:fldChar w:fldCharType="separate"/>
      </w:r>
      <w:r w:rsidR="00287BDE" w:rsidRPr="00287BDE">
        <w:rPr>
          <w:rFonts w:cs="Times New Roman"/>
        </w:rPr>
        <w:t>[5–8]</w:t>
      </w:r>
      <w:r w:rsidR="006144D9">
        <w:fldChar w:fldCharType="end"/>
      </w:r>
      <w:r>
        <w:t xml:space="preserve">. </w:t>
      </w:r>
      <w:r w:rsidR="0042466D">
        <w:t xml:space="preserve">The </w:t>
      </w:r>
      <w:r>
        <w:t xml:space="preserve">magnitude and characteristics of electricity trade </w:t>
      </w:r>
      <w:r w:rsidR="00BD174B">
        <w:t xml:space="preserve">in any given system </w:t>
      </w:r>
      <w:r>
        <w:t>vary depending on the underlying characteristics of individual systems, including resource mix</w:t>
      </w:r>
      <w:r w:rsidR="00BD174B">
        <w:t>es</w:t>
      </w:r>
      <w:r>
        <w:t>, demand characteristics, geographic traits</w:t>
      </w:r>
      <w:r w:rsidR="00BD174B">
        <w:t xml:space="preserve">, and </w:t>
      </w:r>
      <w:r w:rsidR="00576746">
        <w:t xml:space="preserve">local </w:t>
      </w:r>
      <w:r w:rsidR="00BF0C31">
        <w:t>politics</w:t>
      </w:r>
      <w:r>
        <w:t xml:space="preserve">. </w:t>
      </w:r>
    </w:p>
    <w:p w14:paraId="62218963" w14:textId="77777777" w:rsidR="003F5689" w:rsidRDefault="00E94F0E">
      <w:r>
        <w:t xml:space="preserve">Despite economic efficiencies that can be realized from </w:t>
      </w:r>
      <w:r w:rsidR="0078182C">
        <w:t xml:space="preserve">regional trade, there </w:t>
      </w:r>
      <w:r w:rsidR="00164B3C">
        <w:t>are reasons why expanding electricity trade could be more costly than the available benefits.  One potentially significant barrier is if physical links connecting two BAs are already congested, alongside the sometimes-prohibitive cost of building new electric transmission lines</w:t>
      </w:r>
      <w:r w:rsidR="00F25179">
        <w:t xml:space="preserve"> </w:t>
      </w:r>
      <w:r w:rsidR="00F25179">
        <w:fldChar w:fldCharType="begin"/>
      </w:r>
      <w:r w:rsidR="00287BDE">
        <w:instrText xml:space="preserve"> ADDIN ZOTERO_ITEM CSL_CITATION {"citationID":"NQyvMDTo","properties":{"formattedCitation":"[9]","plainCitation":"[9]","noteIndex":0},"citationItems":[{"id":480,"uris":["http://zotero.org/users/9332412/items/G6UNYVVJ"],"itemData":{"id":480,"type":"article-journal","abstract":"This paper discusses the lessons learned from electricity sector liberalization over the last 20 years. The attributes of reform models that have exhibited good performance attributes are identified, drawing on empirical analysis of market structure, behavior and performance in many countries. Wholesale and retail market competition and network regulation performance evidence are discussed. Technical, economic, and political challenges to improving the efficiency of what continue to be partial liberalization programs in many countries are considered.","container-title":"The Energy Journal","DOI":"10.5547/ISSN0195-6574-EJ-Vol29-NoSI2-3","ISSN":"0195-6574","issue":"2_suppl","language":"en","note":"publisher: SAGE Publications","page":"9-42","source":"SAGE Journals","title":"Lessons Learned From Electricity Market Liberalization","volume":"29","author":[{"family":"Joskow","given":"Paul L."}],"issued":{"date-parts":[["2008",12,1]]}}}],"schema":"https://github.com/citation-style-language/schema/raw/master/csl-citation.json"} </w:instrText>
      </w:r>
      <w:r w:rsidR="00F25179">
        <w:fldChar w:fldCharType="separate"/>
      </w:r>
      <w:r w:rsidR="00287BDE" w:rsidRPr="00287BDE">
        <w:t>[9]</w:t>
      </w:r>
      <w:r w:rsidR="00F25179">
        <w:fldChar w:fldCharType="end"/>
      </w:r>
      <w:r w:rsidR="00164B3C">
        <w:t xml:space="preserve">. </w:t>
      </w:r>
      <w:r w:rsidR="005D0CB8">
        <w:t xml:space="preserve">Furthermore, the </w:t>
      </w:r>
      <w:r w:rsidR="00164B3C">
        <w:t xml:space="preserve">integration and associated regional efficiencies associated with electricity price equalization will produce some </w:t>
      </w:r>
      <w:r w:rsidR="005D0CB8">
        <w:t xml:space="preserve">economic </w:t>
      </w:r>
      <w:r w:rsidR="00164B3C">
        <w:t xml:space="preserve">losers </w:t>
      </w:r>
      <w:r w:rsidR="00F25179">
        <w:fldChar w:fldCharType="begin"/>
      </w:r>
      <w:r w:rsidR="00287BDE">
        <w:instrText xml:space="preserve"> ADDIN ZOTERO_ITEM CSL_CITATION {"citationID":"0fq0Tm6u","properties":{"formattedCitation":"[10]","plainCitation":"[10]","noteIndex":0},"citationItems":[{"id":479,"uris":["http://zotero.org/users/9332412/items/G4DI4CWX"],"itemData":{"id":479,"type":"article-journal","container-title":"The Energy Law Journal","language":"en","source":"Zotero","title":"Measuring the Benefits and Costs of Regional Electric Grid Integration","URL":"https://www.eba-net.org/wp-content/uploads/2023/02/10-147-184.pdf","volume":"28","author":[{"family":"Blumsack","given":"Seth"}],"issued":{"date-parts":[["2007"]]}}}],"schema":"https://github.com/citation-style-language/schema/raw/master/csl-citation.json"} </w:instrText>
      </w:r>
      <w:r w:rsidR="00F25179">
        <w:fldChar w:fldCharType="separate"/>
      </w:r>
      <w:r w:rsidR="00287BDE" w:rsidRPr="00287BDE">
        <w:t>[10]</w:t>
      </w:r>
      <w:r w:rsidR="00F25179">
        <w:fldChar w:fldCharType="end"/>
      </w:r>
      <w:r w:rsidR="00DD6F1C">
        <w:t xml:space="preserve">, </w:t>
      </w:r>
      <w:r w:rsidR="00164B3C">
        <w:t>includ</w:t>
      </w:r>
      <w:r w:rsidR="00DD6F1C">
        <w:t>ing</w:t>
      </w:r>
      <w:r w:rsidR="00164B3C">
        <w:t xml:space="preserve"> electricity customers </w:t>
      </w:r>
      <w:r w:rsidR="00DD6F1C">
        <w:t xml:space="preserve">who </w:t>
      </w:r>
      <w:r w:rsidR="00164B3C">
        <w:t>fac</w:t>
      </w:r>
      <w:r w:rsidR="00DD6F1C">
        <w:t>e</w:t>
      </w:r>
      <w:r w:rsidR="00164B3C">
        <w:t xml:space="preserve"> higher </w:t>
      </w:r>
      <w:r w:rsidR="007B5645">
        <w:t xml:space="preserve">prices after increasing </w:t>
      </w:r>
      <w:r w:rsidR="00164B3C">
        <w:t>expor</w:t>
      </w:r>
      <w:r w:rsidR="007B5645">
        <w:t xml:space="preserve">ts, </w:t>
      </w:r>
      <w:r w:rsidR="00164B3C">
        <w:t xml:space="preserve">and producers facing reduced profits </w:t>
      </w:r>
      <w:r w:rsidR="007B5645">
        <w:t xml:space="preserve">from imports </w:t>
      </w:r>
      <w:r w:rsidR="00F25179">
        <w:fldChar w:fldCharType="begin"/>
      </w:r>
      <w:r w:rsidR="00287BDE">
        <w:instrText xml:space="preserve"> ADDIN ZOTERO_ITEM CSL_CITATION {"citationID":"pwbBXZis","properties":{"formattedCitation":"[11]","plainCitation":"[11]","noteIndex":0},"citationItems":[{"id":478,"uris":["http://zotero.org/users/9332412/items/RDBJ4WKT"],"itemData":{"id":478,"type":"article-journal","abstract":"This paper focuses on how to promote regional cooperation in electricity. We begin by discussing the theory of international trade cooperation in electricity, with a view to discussing what preconditions might be important in facilitating wide area trading across national borders. We then develop lessons based on the comparison of four case studies. These include three regional developing country power pools – the Southern African Power pool (SAPP), West African Power pool (WAPP) and the Central American Power Market (MER). We contrast these with Northern Europe's Nord Pool. These cases highlight both the potential and difficulty of having cross-jurisdictional power pools. In the light of the theory and evidence we present, we draw key lessons in the areas of: preconditions for trading; necessary institutional arrangements; practicalities of timetabling; reasons to be hopeful about future prospects.","container-title":"Energy Policy","DOI":"10.1016/j.enpol.2015.09.007","ISSN":"0301-4215","journalAbbreviation":"Energy Policy","page":"628-638","source":"ScienceDirect","title":"The promotion of regional integration of electricity markets: Lessons for developing countries","title-short":"The promotion of regional integration of electricity markets","volume":"88","author":[{"family":"Oseni","given":"Musiliu O."},{"family":"Pollitt","given":"Michael G."}],"issued":{"date-parts":[["2016",1,1]]}}}],"schema":"https://github.com/citation-style-language/schema/raw/master/csl-citation.json"} </w:instrText>
      </w:r>
      <w:r w:rsidR="00F25179">
        <w:fldChar w:fldCharType="separate"/>
      </w:r>
      <w:r w:rsidR="00287BDE" w:rsidRPr="00287BDE">
        <w:t>[11]</w:t>
      </w:r>
      <w:r w:rsidR="00F25179">
        <w:fldChar w:fldCharType="end"/>
      </w:r>
      <w:r w:rsidR="00164B3C">
        <w:t xml:space="preserve">. </w:t>
      </w:r>
    </w:p>
    <w:p w14:paraId="2090D45C" w14:textId="6B2A7FB9" w:rsidR="00611F5E" w:rsidRDefault="00164B3C">
      <w:r>
        <w:t xml:space="preserve">Other factors to consider for a better understanding of the observed trading situation between </w:t>
      </w:r>
      <w:r w:rsidR="00423564">
        <w:t xml:space="preserve">two electricity systems include the </w:t>
      </w:r>
      <w:r>
        <w:t>political relationship</w:t>
      </w:r>
      <w:r w:rsidR="00423564">
        <w:t>s</w:t>
      </w:r>
      <w:r>
        <w:t xml:space="preserve"> between regions, market trading rules, and other institutional realities that could create to</w:t>
      </w:r>
      <w:r w:rsidR="004907D2">
        <w:t xml:space="preserve"> trad</w:t>
      </w:r>
      <w:r>
        <w:t>ing friction or other sources of risk associated with expanded trade</w:t>
      </w:r>
      <w:r w:rsidR="001803CB">
        <w:t xml:space="preserve"> </w:t>
      </w:r>
      <w:r w:rsidR="001803CB">
        <w:fldChar w:fldCharType="begin"/>
      </w:r>
      <w:r w:rsidR="00287BDE">
        <w:instrText xml:space="preserve"> ADDIN ZOTERO_ITEM CSL_CITATION {"citationID":"YYPPckXo","properties":{"formattedCitation":"[12]","plainCitation":"[12]","noteIndex":0},"citationItems":[{"id":477,"uris":["http://zotero.org/users/9332412/items/8CJS2Y7E"],"itemData":{"id":477,"type":"article-journal","abstract":"Purpose – This paper aims at assessing the actual use of interregional transmission lines and the opportunity cost of unused capacity. The 13 electric power lines connecting the province of Quebec (Canada) to its neighbours (New Brunswick, New England, New York, Ontario) are analysed for the years 2006, 2007 and 2008. Design/methodology/approach – Hourly electricity transmission data from the Quebec Open Access Same</w:instrText>
      </w:r>
      <w:r w:rsidR="00287BDE">
        <w:rPr>
          <w:rFonts w:ascii="Cambria Math" w:hAnsi="Cambria Math" w:cs="Cambria Math"/>
        </w:rPr>
        <w:instrText>‐</w:instrText>
      </w:r>
      <w:r w:rsidR="00287BDE">
        <w:instrText>Time Information System (OASIS) are analysed and matched with hourly market prices in New Brunswick, New England, New York and Ontario, for the years 2006, 2007 and 2008. Findings – Capacity factors of about 50 per cent are found for these lines. Although increasing from 2006 to 2008, this finding shows that interregional lines are far from being heavily congested. Furthermore, about 25 TWh of additional profitable exports could have taken place every year, given the market conditions and the availability of transmission lines. These exports represented an opportunity cost of about $1 billion per year. Research limitations/implications – Other network constraints and transaction costs could explain why these profitable transactions have not taken place. However, the lack of available energy most likely explains why exports were limited. The opportunity cost could also be overestimated by not taking into account the price impact of additional exports. Practical implications – Price regulation in Quebec (with priority given to local loads) should be reviewed to maximize economic efficiency and environmental benefits in the Northeast region. Originality/value – This is the first analysis of the use of interregional electricity transmission lines. It provides a preliminary estimate of the economic cost of not further integrating different neighbouring regions.","container-title":"International Journal of Energy Sector Management","DOI":"10.1108/17506220911005768","ISSN":"1750-6220","issue":"4","note":"publisher: Emerald Group Publishing Limited","page":"406-423","source":"Emerald Insight","title":"The value of unused interregional transmission: Estimating the opportunity cost for Quebec (Canada)","title-short":"The value of unused interregional transmission","volume":"3","author":[{"family":"Pineau","given":"Pierre</w:instrText>
      </w:r>
      <w:r w:rsidR="00287BDE">
        <w:rPr>
          <w:rFonts w:ascii="Cambria Math" w:hAnsi="Cambria Math" w:cs="Cambria Math"/>
        </w:rPr>
        <w:instrText>‐</w:instrText>
      </w:r>
      <w:r w:rsidR="00287BDE">
        <w:instrText xml:space="preserve">Olivier"},{"family":"Lefebvre","given":"Vincent"}],"issued":{"date-parts":[["2009",1,1]]}}}],"schema":"https://github.com/citation-style-language/schema/raw/master/csl-citation.json"} </w:instrText>
      </w:r>
      <w:r w:rsidR="001803CB">
        <w:fldChar w:fldCharType="separate"/>
      </w:r>
      <w:r w:rsidR="00287BDE" w:rsidRPr="00287BDE">
        <w:t>[12]</w:t>
      </w:r>
      <w:r w:rsidR="001803CB">
        <w:fldChar w:fldCharType="end"/>
      </w:r>
      <w:r>
        <w:t xml:space="preserve">. Sometimes regional integration is accompanied by efforts to expand BA territory, which can involve an expansion of centralized control over dispatch and resource adequacy </w:t>
      </w:r>
      <w:r w:rsidR="00C15D05">
        <w:t>for</w:t>
      </w:r>
      <w:r>
        <w:t xml:space="preserve"> a grid operator in one of the regions</w:t>
      </w:r>
      <w:r w:rsidR="00C15D05">
        <w:t xml:space="preserve">, </w:t>
      </w:r>
      <w:r w:rsidR="00A524F7">
        <w:t>which requires a level of acceptance from all local market participants and stakeholders</w:t>
      </w:r>
      <w:r>
        <w:t xml:space="preserve">. It is </w:t>
      </w:r>
      <w:r w:rsidR="00C03E8F">
        <w:t xml:space="preserve">often </w:t>
      </w:r>
      <w:r>
        <w:t xml:space="preserve">tempting </w:t>
      </w:r>
      <w:r w:rsidR="00C03E8F">
        <w:t xml:space="preserve">for analysts to consider </w:t>
      </w:r>
      <w:r>
        <w:t xml:space="preserve">trading opportunities from an economic efficiency lens without </w:t>
      </w:r>
      <w:r w:rsidR="00680ED5">
        <w:t xml:space="preserve">similarly </w:t>
      </w:r>
      <w:r>
        <w:t xml:space="preserve">considering the potentially significant political cooperation needed as a foundation for </w:t>
      </w:r>
      <w:r w:rsidR="00103B8C">
        <w:t xml:space="preserve">successful and </w:t>
      </w:r>
      <w:r>
        <w:t xml:space="preserve">lasting economic integration </w:t>
      </w:r>
      <w:r w:rsidR="00103B8C">
        <w:t xml:space="preserve">of regional electricity systems </w:t>
      </w:r>
      <w:r w:rsidR="001803CB">
        <w:fldChar w:fldCharType="begin"/>
      </w:r>
      <w:r w:rsidR="00287BDE">
        <w:instrText xml:space="preserve"> ADDIN ZOTERO_ITEM CSL_CITATION {"citationID":"GqPFt2Aj","properties":{"formattedCitation":"[13,14]","plainCitation":"[13,14]","noteIndex":0},"citationItems":[{"id":476,"uris":["http://zotero.org/users/9332412/items/YJZ8A5LD"],"itemData":{"id":476,"type":"article-journal","abstract":"Much focus has been placed in public policy discourses on defining energy security as independence from reliance on external hydrocarbon fuels. This definition provides little guidance about the benefits and risks to energy security from the integration of electrical power systems across nation-state lines. Instead of assuming energy independence is intrinsically more secure, this paper argues for utilizing a multi-dimensional energy security framework for evaluating electricity integration by evaluating perceptions of the energy security for shallow and deep electricity integration for Morocco. It argues that conceiving of Moroccan policymaker’s energy security goals only in terms of energy independence misunderstands the broader sustainable development and human security context of Morocco’s renewable electricity plans and overlooks its motivations for increasing electricity interdependence. The paper concludes with policy recommendations for global governance geared toward improving the security of transnational grids. First, electricity integration offers numerous energy security benefits, but these benefits could be negated if technological integration lacks a strong political foundation. Second, policymakers should distinguish between dependence and interdependence and prioritize the latter. Third, given the urgency of climate change, pollution, and energy poverty challenges, decision-makers should approach energy security, human security, and sustainable development as inseparable challenges.","collection-title":"Conflict, Cooperation, and Change in the Politics of Energy Interdependence","container-title":"Energy Research &amp; Social Science","DOI":"10.1016/j.erss.2016.12.008","ISSN":"2214-6296","journalAbbreviation":"Energy Research &amp; Social Science","page":"21-29","source":"ScienceDirect","title":"Evaluating the energy security of electricity interdependence: Perspectives from Morocco","title-short":"Evaluating the energy security of electricity interdependence","volume":"24","author":[{"family":"Moore","given":"Sharlissa"}],"issued":{"date-parts":[["2017",2,1]]}}},{"id":475,"uris":["http://zotero.org/users/9332412/items/NENLRNIS"],"itemData":{"id":475,"type":"article-journal","abstract":"This Perspective is attempted to broaden the scope of the debate on regional power connectivity to go beyond factors that are proximate to the electricity industry. It turns to major regionalist studies as a source of insights for identifying the wider connects of regional power connectivity, i.e., aspects of the geo-political, socio-economic, and cultural contexts that are significantly affected by, and affect the case for, regional power connectivity. These insights are then translated into three suggestions as to how to deepen regional power connectivity based on an appreciation of its wider connects. This Perspective represents a point of departure from the existing, industry-centric, perspective on the topic that is largely neglectful of the significance of the wider contexts within which regional power connectivity has been progressed. It therefore contributes to the development of more effective policy solutions for deepening regional power connectivity.","container-title":"Energy Research &amp; Social Science","DOI":"10.1016/j.erss.2022.102614","ISSN":"2214-6296","journalAbbreviation":"Energy Research &amp; Social Science","page":"102614","source":"ScienceDirect","title":"Deepening regional power connectivity: Beyond the industry-centric perspective","title-short":"Deepening regional power connectivity","volume":"90","author":[{"family":"Yang","given":"Muyi"},{"family":"Shi","given":"Xunpeng"},{"family":"Zhou","given":"Yuanbing"},{"family":"Xiang","given":"Junyong"},{"family":"Zhang","given":"Rui"}],"issued":{"date-parts":[["2022",8,1]]}}}],"schema":"https://github.com/citation-style-language/schema/raw/master/csl-citation.json"} </w:instrText>
      </w:r>
      <w:r w:rsidR="001803CB">
        <w:fldChar w:fldCharType="separate"/>
      </w:r>
      <w:r w:rsidR="00287BDE" w:rsidRPr="00287BDE">
        <w:t>[13,14]</w:t>
      </w:r>
      <w:r w:rsidR="001803CB">
        <w:fldChar w:fldCharType="end"/>
      </w:r>
      <w:r>
        <w:t>.</w:t>
      </w:r>
    </w:p>
    <w:p w14:paraId="0F78E650" w14:textId="35367BD9" w:rsidR="00611F5E" w:rsidRDefault="002D53E1">
      <w:r>
        <w:t>Finally, t</w:t>
      </w:r>
      <w:r w:rsidR="00164B3C">
        <w:t xml:space="preserve">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w:t>
      </w:r>
      <w:r w:rsidR="00164B3C">
        <w:lastRenderedPageBreak/>
        <w:t xml:space="preserve">that is heavily reliant on imports from a single </w:t>
      </w:r>
      <w:r w:rsidR="000806CB">
        <w:t xml:space="preserve">system </w:t>
      </w:r>
      <w:r w:rsidR="002D4C90">
        <w:t xml:space="preserve">operator </w:t>
      </w:r>
      <w:r w:rsidR="00164B3C">
        <w:t xml:space="preserve">may have higher risk. </w:t>
      </w:r>
      <w:r w:rsidR="00AD41F9">
        <w:t xml:space="preserve">This perspective is </w:t>
      </w:r>
      <w:r w:rsidR="00164B3C">
        <w:t>analyzed further in subsequent sections.</w:t>
      </w:r>
    </w:p>
    <w:p w14:paraId="2C283DF1" w14:textId="77777777" w:rsidR="00611F5E" w:rsidRDefault="00164B3C">
      <w:pPr>
        <w:pStyle w:val="Heading1"/>
      </w:pPr>
      <w:r>
        <w:t>Import Diversity</w:t>
      </w:r>
    </w:p>
    <w:p w14:paraId="4296DC5B" w14:textId="64F8537A" w:rsidR="00856351" w:rsidRDefault="00856351">
      <w:pPr>
        <w:rPr>
          <w:iCs/>
        </w:rPr>
      </w:pPr>
      <w:r>
        <w:rPr>
          <w:iCs/>
        </w:rPr>
        <w:t xml:space="preserve">A diverse set of import sources is beneficial for multiple reasons. Reduced dependency on one or a small number of exporters increases the probability of </w:t>
      </w:r>
      <w:proofErr w:type="gramStart"/>
      <w:r>
        <w:rPr>
          <w:iCs/>
        </w:rPr>
        <w:t>available</w:t>
      </w:r>
      <w:proofErr w:type="gramEnd"/>
      <w:r>
        <w:rPr>
          <w:iCs/>
        </w:rPr>
        <w:t xml:space="preserve"> supply when needed. Regions may have </w:t>
      </w:r>
      <w:r w:rsidR="00287BDE">
        <w:rPr>
          <w:iCs/>
        </w:rPr>
        <w:t xml:space="preserve">differences in weather and </w:t>
      </w:r>
      <w:r>
        <w:rPr>
          <w:iCs/>
        </w:rPr>
        <w:t xml:space="preserve">climate and weather, </w:t>
      </w:r>
      <w:r w:rsidR="00287BDE">
        <w:rPr>
          <w:iCs/>
        </w:rPr>
        <w:t xml:space="preserve">demand patterns, and technology mix, </w:t>
      </w:r>
      <w:r>
        <w:rPr>
          <w:iCs/>
        </w:rPr>
        <w:t>which can improve the availability of supply,</w:t>
      </w:r>
      <w:r w:rsidR="00287BDE">
        <w:rPr>
          <w:iCs/>
        </w:rPr>
        <w:t xml:space="preserve"> increase economic efficiency,</w:t>
      </w:r>
      <w:r>
        <w:rPr>
          <w:iCs/>
        </w:rPr>
        <w:t xml:space="preserve"> and may support mitigating local extreme events such as a heat wave, natural disaster, or infrastructure failure</w:t>
      </w:r>
      <w:r w:rsidR="0038353F">
        <w:rPr>
          <w:iCs/>
        </w:rPr>
        <w:t xml:space="preserve"> </w:t>
      </w:r>
      <w:r w:rsidR="0038353F">
        <w:rPr>
          <w:iCs/>
        </w:rPr>
        <w:fldChar w:fldCharType="begin"/>
      </w:r>
      <w:r w:rsidR="00287BDE">
        <w:rPr>
          <w:iCs/>
        </w:rPr>
        <w:instrText xml:space="preserve"> ADDIN ZOTERO_ITEM CSL_CITATION {"citationID":"YrJD9F13","properties":{"unsorted":true,"formattedCitation":"[15\\uc0\\u8211{}17]","plainCitation":"[15–17]","noteIndex":0},"citationItems":[{"id":482,"uris":["http://zotero.org/users/9332412/items/RHQ5ESWH"],"itemData":{"id":482,"type":"article-journal","abstract":"This paper develops a multi-country multi-sector general equilibrium model, integrating high-frequency electricity dispatch and trade decisions, to study the effects of electricity transmission infrastructure (TI) expansion and renewable energy (RE) penetration in Europe for gains from trade and carbon dioxide emissions in the power sector. TI can benefit or degrade environmental outcomes, depending on RE penetration: it complements emissions abatement by mitigating dispatch problems associated with volatile and spatially dispersed RE but also promotes higher average generation from low-cost coal if RE production is too low. Against the backdrop of European decarbonization and planned TI expansion, we find that emissions increase for current and targeted year-2020 levels of RE production and decrease for year-2030 targets. Enhanced TI yields sizeable gains from trade that depend positively on RE penetration, without creating large adverse impacts on regional equity.","container-title":"Journal of Environmental Economics and Management","DOI":"10.1016/j.jeem.2016.04.001","ISSN":"0095-0696","journalAbbreviation":"Journal of Environmental Economics and Management","page":"87-113","source":"ScienceDirect","title":"Cross-country electricity trade, renewable energy and European transmission infrastructure policy","volume":"79","author":[{"family":"Abrell","given":"Jan"},{"family":"Rausch","given":"Sebastian"}],"issued":{"date-parts":[["2016",9,1]]}}},{"id":1293,"uris":["http://zotero.org/users/9332412/items/69EHJBVW"],"itemData":{"id":1293,"type":"article-journal","abstract":"This paper develops a novel economic theory of two-way trade in a homogenous good, electricity. In this model of ‘reciprocal load smoothing,’ international trade provides insurance. As electricity demand is stochastic and correlated across jurisdictions, electric utilities can reduce their cost during peak periods by importing cheaper off-peak electricity from neighbouring jurisdictions. Two-way trade emerges in the presence of strongly convex marginal costs. Observed trade between Canadian provinces and US states strongly supports the theoretical model. Reciprocal load smoothing provides an economic rationale for integrating North America's fragmented interconnections into a continental ‘supergrid’ if technological progress in long-distance bulk transmission continues to reduce costs.","container-title":"Journal of International Economics","DOI":"10.1016/j.jinteco.2016.03.007","ISSN":"0022-1996","journalAbbreviation":"Journal of International Economics","page":"42-51","source":"ScienceDirect","title":"Cross-border trade in electricity","volume":"101","author":[{"family":"Antweiler","given":"Werner"}],"issued":{"date-parts":[["2016",7,1]]}},"label":"page"},{"id":520,"uris":["http://zotero.org/users/9332412/items/EH4LQACU"],"itemData":{"id":520,"type":"article-journal","abstract":"This paper presents empirically-estimated average hourly relationships between regional electricity trade in the western United States (US) and prices, emissions, and generation from 2015 through 2018. It provides new evidence of the short term impacts of integrating markets to inform electricity market policymakers. Consistent with economic theory, the analysis finds a negative relationship between electricity price in California and regional trade, conditional on local demand. Each 1 GWh increase in California electricity imports is associated with an average $0.15 per MWh decrease in the California Independent System Operator’s (CAISO) wholesale electricity price. There is a net-negative short-term relationship between CO2 emissions in California and electricity imports that is partially offset by positive emissions from exporting neighbors. Specifically, each 1 GWh increase in regional trade is associated with a net 70-ton average decrease in CO2 emissions across the western U.S., conditional on demand levels. The results provide evidence that electricity imports mostly displace natural gas generation on the margin in the California electricity market. A small positive relationship is observed between short-run SO2 and NOx emissions in neighboring regions and California electricity imports. The magnitude of the SO2 and NOx results suggest an average increase of 0.1 MWh from neighboring coal plants is associated with a 1 MWh increase in imports to California.","container-title":"International Journal of Sustainable Energy Planning and Management","DOI":"10.5278/ijsepm.3416","title":"Integrating energy markets: Implications of increasing electricity trade on prices and emissions in the Western United States","volume":"25","author":[{"family":"Dahlke","given":"Steven"}],"issued":{"date-parts":[["2020"]]}}}],"schema":"https://github.com/citation-style-language/schema/raw/master/csl-citation.json"} </w:instrText>
      </w:r>
      <w:r w:rsidR="0038353F">
        <w:rPr>
          <w:iCs/>
        </w:rPr>
        <w:fldChar w:fldCharType="separate"/>
      </w:r>
      <w:r w:rsidR="00287BDE" w:rsidRPr="00287BDE">
        <w:rPr>
          <w:rFonts w:cs="Times New Roman"/>
        </w:rPr>
        <w:t>[15–17]</w:t>
      </w:r>
      <w:r w:rsidR="0038353F">
        <w:rPr>
          <w:iCs/>
        </w:rPr>
        <w:fldChar w:fldCharType="end"/>
      </w:r>
      <w:r>
        <w:rPr>
          <w:iCs/>
        </w:rPr>
        <w:t>.</w:t>
      </w:r>
      <w:r w:rsidR="0064266F">
        <w:rPr>
          <w:iCs/>
        </w:rPr>
        <w:t xml:space="preserve"> On the other hand, </w:t>
      </w:r>
      <w:r w:rsidR="00AF3017">
        <w:rPr>
          <w:iCs/>
        </w:rPr>
        <w:t xml:space="preserve">achieving import diversity through additional </w:t>
      </w:r>
      <w:r w:rsidR="0064266F">
        <w:rPr>
          <w:iCs/>
        </w:rPr>
        <w:t>trad</w:t>
      </w:r>
      <w:r w:rsidR="00AF3017">
        <w:rPr>
          <w:iCs/>
        </w:rPr>
        <w:t>ing relationships</w:t>
      </w:r>
      <w:r w:rsidR="0064266F">
        <w:rPr>
          <w:iCs/>
        </w:rPr>
        <w:t xml:space="preserve"> with </w:t>
      </w:r>
      <w:r w:rsidR="00AF3017">
        <w:rPr>
          <w:iCs/>
        </w:rPr>
        <w:t xml:space="preserve">neighboring systems </w:t>
      </w:r>
      <w:r w:rsidR="0064266F">
        <w:rPr>
          <w:iCs/>
        </w:rPr>
        <w:t xml:space="preserve">may </w:t>
      </w:r>
      <w:r w:rsidR="00AF3017">
        <w:rPr>
          <w:iCs/>
        </w:rPr>
        <w:t>require</w:t>
      </w:r>
      <w:r w:rsidR="0064266F">
        <w:rPr>
          <w:iCs/>
        </w:rPr>
        <w:t xml:space="preserve"> </w:t>
      </w:r>
      <w:r w:rsidR="00086274">
        <w:rPr>
          <w:iCs/>
        </w:rPr>
        <w:t xml:space="preserve">managing </w:t>
      </w:r>
      <w:r w:rsidR="0064266F">
        <w:rPr>
          <w:iCs/>
        </w:rPr>
        <w:t xml:space="preserve">greater transaction costs and administrative </w:t>
      </w:r>
      <w:r w:rsidR="00086274">
        <w:rPr>
          <w:iCs/>
        </w:rPr>
        <w:t>requirements</w:t>
      </w:r>
      <w:r w:rsidR="0064266F">
        <w:rPr>
          <w:iCs/>
        </w:rPr>
        <w:t xml:space="preserve">, as different </w:t>
      </w:r>
      <w:r w:rsidR="00086274">
        <w:rPr>
          <w:iCs/>
        </w:rPr>
        <w:t>balancing authorities</w:t>
      </w:r>
      <w:r w:rsidR="0064266F">
        <w:rPr>
          <w:iCs/>
        </w:rPr>
        <w:t xml:space="preserve"> have varying </w:t>
      </w:r>
      <w:r w:rsidR="00A701D0">
        <w:rPr>
          <w:iCs/>
        </w:rPr>
        <w:t xml:space="preserve">trading procedures </w:t>
      </w:r>
      <w:r w:rsidR="00A701D0">
        <w:rPr>
          <w:iCs/>
        </w:rPr>
        <w:fldChar w:fldCharType="begin"/>
      </w:r>
      <w:r w:rsidR="00596E5F">
        <w:rPr>
          <w:iCs/>
        </w:rPr>
        <w:instrText xml:space="preserve"> ADDIN ZOTERO_ITEM CSL_CITATION {"citationID":"R1jP3Exv","properties":{"unsorted":true,"formattedCitation":"[18]","plainCitation":"[18]","noteIndex":0},"citationItems":[{"id":1289,"uris":["http://zotero.org/users/9332412/items/YCQK2S4D"],"itemData":{"id":1289,"type":"report","abstract":"There are 'seams' when TSOs (Transmission System Operators) do not perform the same tasks in the same manner on the different sides of their borders. Seams are consequential for electricity systems because power flows are strongly interactive where interconnected grids link many TSOs and countries like in the EU. Seams are very consequential in the EU because we have a common continental open market while access to the grids, congestion management, and balancing of the flows are performed by individual TSOs. It took 20 years to the EU to really address this 'seams' issue: why? How did it change and how far? Will the EU new 'Network Codes' finally create a seamless EU interconnected system and internal market? Or not?","genre":"Working Paper","language":"en","note":"Accepted: 2017-09-22T13:24:12Z\nISSN: 1028-3625","source":"cadmus.eui.eu","title":"Twenty years to address electricity market and system seams issues in the European Union : why? why not?","title-short":"Twenty years to address electricity market and system seams issues in the European Union","URL":"https://cadmus.eui.eu/handle/1814/48048","author":[{"family":"Glachant","given":"Jean-Michel"}],"accessed":{"date-parts":[["2024",9,8]]},"issued":{"date-parts":[["2017"]]}}}],"schema":"https://github.com/citation-style-language/schema/raw/master/csl-citation.json"} </w:instrText>
      </w:r>
      <w:r w:rsidR="00A701D0">
        <w:rPr>
          <w:iCs/>
        </w:rPr>
        <w:fldChar w:fldCharType="separate"/>
      </w:r>
      <w:r w:rsidR="00596E5F" w:rsidRPr="00596E5F">
        <w:t>[18]</w:t>
      </w:r>
      <w:r w:rsidR="00A701D0">
        <w:rPr>
          <w:iCs/>
        </w:rPr>
        <w:fldChar w:fldCharType="end"/>
      </w:r>
      <w:r w:rsidR="00A701D0">
        <w:rPr>
          <w:iCs/>
        </w:rPr>
        <w:t xml:space="preserve">. Furthermore, expanding the physical links across </w:t>
      </w:r>
      <w:r w:rsidR="00082542">
        <w:rPr>
          <w:iCs/>
        </w:rPr>
        <w:t>systems</w:t>
      </w:r>
      <w:r w:rsidR="00A701D0">
        <w:rPr>
          <w:iCs/>
        </w:rPr>
        <w:t xml:space="preserve"> needed to </w:t>
      </w:r>
      <w:r w:rsidR="00DD5D80">
        <w:rPr>
          <w:iCs/>
        </w:rPr>
        <w:t xml:space="preserve">enhance diversity </w:t>
      </w:r>
      <w:r w:rsidR="00A701D0">
        <w:rPr>
          <w:iCs/>
        </w:rPr>
        <w:t xml:space="preserve">can be </w:t>
      </w:r>
      <w:r w:rsidR="002D2DBE">
        <w:rPr>
          <w:iCs/>
        </w:rPr>
        <w:t xml:space="preserve">slowed down </w:t>
      </w:r>
      <w:r w:rsidR="00A701D0">
        <w:rPr>
          <w:iCs/>
        </w:rPr>
        <w:t xml:space="preserve">by incompatible infrastructure cost allocation </w:t>
      </w:r>
      <w:r w:rsidR="00DD5D80">
        <w:rPr>
          <w:iCs/>
        </w:rPr>
        <w:t xml:space="preserve">and development </w:t>
      </w:r>
      <w:r w:rsidR="00A701D0">
        <w:rPr>
          <w:iCs/>
        </w:rPr>
        <w:t xml:space="preserve">procedures </w:t>
      </w:r>
      <w:r w:rsidR="002D2DBE">
        <w:rPr>
          <w:iCs/>
        </w:rPr>
        <w:t xml:space="preserve">across regions </w:t>
      </w:r>
      <w:r w:rsidR="00A701D0">
        <w:rPr>
          <w:iCs/>
        </w:rPr>
        <w:fldChar w:fldCharType="begin"/>
      </w:r>
      <w:r w:rsidR="00DD5D80">
        <w:rPr>
          <w:iCs/>
        </w:rPr>
        <w:instrText xml:space="preserve"> ADDIN ZOTERO_ITEM CSL_CITATION {"citationID":"lsVK2PZL","properties":{"unsorted":true,"formattedCitation":"[19,20]","plainCitation":"[19,20]","noteIndex":0},"citationItems":[{"id":1287,"uris":["http://zotero.org/users/9332412/items/U97IIA3J"],"itemData":{"id":1287,"type":"report","publisher":"R Street Institute","source":"JSTOR","title":"Efficient Solutions for Issues in Electricity Seams","URL":"https://www.jstor.org/stable/resrep30569","author":[{"family":"Kavulla","given":"Travis"}],"accessed":{"date-parts":[["2024",9,8]]},"issued":{"date-parts":[["2019"]]}},"label":"page"},{"id":1291,"uris":["http://zotero.org/users/9332412/items/SDJP3VC7"],"itemData":{"id":1291,"type":"article-journal","container-title":"George Washington Journal of Energy and Environmental Law","journalAbbreviation":"Geo. Wash. J. Energy &amp; Env't L.","page":"82","title":"Do Grid Operators Dream of Electric Seams?: Coordinating Interregional Transmission Stakeholders to Improve Energy Deliverability","title-short":"Do Grid Operators Dream of Electric Seams?","volume":"13","author":[{"family":"Li","given":"Divina"}],"issued":{"date-parts":[["2022"]]}}}],"schema":"https://github.com/citation-style-language/schema/raw/master/csl-citation.json"} </w:instrText>
      </w:r>
      <w:r w:rsidR="00A701D0">
        <w:rPr>
          <w:iCs/>
        </w:rPr>
        <w:fldChar w:fldCharType="separate"/>
      </w:r>
      <w:r w:rsidR="00DD5D80" w:rsidRPr="00DD5D80">
        <w:t>[19,20]</w:t>
      </w:r>
      <w:r w:rsidR="00A701D0">
        <w:rPr>
          <w:iCs/>
        </w:rPr>
        <w:fldChar w:fldCharType="end"/>
      </w:r>
      <w:r w:rsidR="00A701D0">
        <w:rPr>
          <w:iCs/>
        </w:rPr>
        <w:t>.</w:t>
      </w:r>
    </w:p>
    <w:p w14:paraId="0747C5FC" w14:textId="2982B829" w:rsidR="00014F09" w:rsidRDefault="0038353F" w:rsidP="00014F09">
      <w:pPr>
        <w:rPr>
          <w:color w:val="000000"/>
        </w:rPr>
      </w:pPr>
      <w:r>
        <w:rPr>
          <w:iCs/>
        </w:rPr>
        <w:t xml:space="preserve">It is useful in this context to apply a metric </w:t>
      </w:r>
      <w:r w:rsidR="00122546">
        <w:rPr>
          <w:iCs/>
        </w:rPr>
        <w:t xml:space="preserve">for </w:t>
      </w:r>
      <w:r>
        <w:rPr>
          <w:iCs/>
        </w:rPr>
        <w:t xml:space="preserve">quantifying </w:t>
      </w:r>
      <w:r w:rsidR="00122546">
        <w:rPr>
          <w:iCs/>
        </w:rPr>
        <w:t xml:space="preserve">and comparing </w:t>
      </w:r>
      <w:r w:rsidR="003F5C29">
        <w:rPr>
          <w:iCs/>
        </w:rPr>
        <w:t>import diversity</w:t>
      </w:r>
      <w:r>
        <w:rPr>
          <w:iCs/>
        </w:rPr>
        <w:t xml:space="preserve">. </w:t>
      </w:r>
      <w:r w:rsidR="003C0D21">
        <w:rPr>
          <w:iCs/>
        </w:rPr>
        <w:t>T</w:t>
      </w:r>
      <w:r>
        <w:rPr>
          <w:iCs/>
        </w:rPr>
        <w:t>he Shannon Diversity Index</w:t>
      </w:r>
      <w:r w:rsidR="003C0D21">
        <w:rPr>
          <w:iCs/>
        </w:rPr>
        <w:t xml:space="preserve"> is useful for this application. </w:t>
      </w:r>
      <w:r w:rsidR="003C0D21">
        <w:rPr>
          <w:color w:val="000000"/>
        </w:rPr>
        <w:t xml:space="preserve">It </w:t>
      </w:r>
      <w:r w:rsidR="005E444D">
        <w:rPr>
          <w:color w:val="000000"/>
        </w:rPr>
        <w:t xml:space="preserve">was </w:t>
      </w:r>
      <w:r w:rsidR="003C0D21">
        <w:rPr>
          <w:color w:val="000000"/>
        </w:rPr>
        <w:t xml:space="preserve">initially applied through </w:t>
      </w:r>
      <w:r w:rsidR="00402F1D">
        <w:rPr>
          <w:color w:val="000000"/>
        </w:rPr>
        <w:t>information</w:t>
      </w:r>
      <w:r w:rsidR="008E5C0B">
        <w:rPr>
          <w:color w:val="000000"/>
        </w:rPr>
        <w:t xml:space="preserve"> </w:t>
      </w:r>
      <w:r w:rsidR="00295051" w:rsidRPr="00295051">
        <w:rPr>
          <w:color w:val="000000"/>
        </w:rPr>
        <w:t xml:space="preserve">theory </w:t>
      </w:r>
      <w:r w:rsidR="005E444D">
        <w:rPr>
          <w:color w:val="000000"/>
        </w:rPr>
        <w:t xml:space="preserve">to measure </w:t>
      </w:r>
      <w:r w:rsidR="00466BE8">
        <w:rPr>
          <w:color w:val="000000"/>
        </w:rPr>
        <w:t xml:space="preserve">the </w:t>
      </w:r>
      <w:r w:rsidR="00DD6380">
        <w:rPr>
          <w:color w:val="000000"/>
        </w:rPr>
        <w:t xml:space="preserve">quantity of information </w:t>
      </w:r>
      <w:r w:rsidR="00E25254">
        <w:rPr>
          <w:color w:val="000000"/>
        </w:rPr>
        <w:t>in</w:t>
      </w:r>
      <w:r w:rsidR="005C3B3D">
        <w:rPr>
          <w:color w:val="000000"/>
        </w:rPr>
        <w:t>cluded in</w:t>
      </w:r>
      <w:r w:rsidR="00955682">
        <w:rPr>
          <w:color w:val="000000"/>
        </w:rPr>
        <w:t xml:space="preserve"> a </w:t>
      </w:r>
      <w:r w:rsidR="00012C55">
        <w:rPr>
          <w:color w:val="000000"/>
        </w:rPr>
        <w:t>communication signal</w:t>
      </w:r>
      <w:r w:rsidR="00955682">
        <w:rPr>
          <w:color w:val="000000"/>
        </w:rPr>
        <w:t xml:space="preserve"> </w:t>
      </w:r>
      <w:r w:rsidR="00692699">
        <w:rPr>
          <w:color w:val="000000"/>
        </w:rPr>
        <w:fldChar w:fldCharType="begin"/>
      </w:r>
      <w:r>
        <w:rPr>
          <w:color w:val="000000"/>
        </w:rPr>
        <w:instrText xml:space="preserve"> ADDIN ZOTERO_ITEM CSL_CITATION {"citationID":"tyLj8ulh","properties":{"formattedCitation":"[21]","plainCitation":"[21]","noteIndex":0},"citationItems":[{"id":522,"uris":["http://zotero.org/users/9332412/items/RGA4KMYV"],"itemData":{"id":522,"type":"article-journal","container-title":"The Bell System Technical Journal","DOI":"10.1002/j.1538-7305.1948.tb01338.x","issue":"3","page":"379-423","title":"A mathematical theory of communication","volume":"27","author":[{"family":"Shannon","given":"C E"}],"issued":{"date-parts":[["1948"]]}}}],"schema":"https://github.com/citation-style-language/schema/raw/master/csl-citation.json"} </w:instrText>
      </w:r>
      <w:r w:rsidR="00692699">
        <w:rPr>
          <w:color w:val="000000"/>
        </w:rPr>
        <w:fldChar w:fldCharType="separate"/>
      </w:r>
      <w:r w:rsidRPr="0038353F">
        <w:t>[21]</w:t>
      </w:r>
      <w:r w:rsidR="00692699">
        <w:rPr>
          <w:color w:val="000000"/>
        </w:rPr>
        <w:fldChar w:fldCharType="end"/>
      </w:r>
      <w:r w:rsidR="00295051" w:rsidRPr="00295051">
        <w:rPr>
          <w:color w:val="000000"/>
        </w:rPr>
        <w:t xml:space="preserve">. </w:t>
      </w:r>
      <w:r w:rsidR="005E444D">
        <w:rPr>
          <w:color w:val="000000"/>
        </w:rPr>
        <w:t xml:space="preserve">Since then, it </w:t>
      </w:r>
      <w:r w:rsidR="00955682">
        <w:rPr>
          <w:color w:val="000000"/>
        </w:rPr>
        <w:t>ha</w:t>
      </w:r>
      <w:r w:rsidR="00B13ECD">
        <w:rPr>
          <w:color w:val="000000"/>
        </w:rPr>
        <w:t>s</w:t>
      </w:r>
      <w:r w:rsidR="00295051" w:rsidRPr="00295051">
        <w:rPr>
          <w:color w:val="000000"/>
        </w:rPr>
        <w:t xml:space="preserve"> </w:t>
      </w:r>
      <w:r w:rsidR="008A3776">
        <w:rPr>
          <w:color w:val="000000"/>
        </w:rPr>
        <w:t xml:space="preserve">been </w:t>
      </w:r>
      <w:r w:rsidR="00295051" w:rsidRPr="00295051">
        <w:rPr>
          <w:color w:val="000000"/>
        </w:rPr>
        <w:t>applied as a measure of diversity for a range of applications, notably in ecologic systems</w:t>
      </w:r>
      <w:r w:rsidR="00402F1D">
        <w:rPr>
          <w:color w:val="000000"/>
        </w:rPr>
        <w:t xml:space="preserve"> </w:t>
      </w:r>
      <w:r w:rsidR="00EC4DCC">
        <w:rPr>
          <w:color w:val="000000"/>
        </w:rPr>
        <w:fldChar w:fldCharType="begin"/>
      </w:r>
      <w:r>
        <w:rPr>
          <w:color w:val="000000"/>
        </w:rPr>
        <w:instrText xml:space="preserve"> ADDIN ZOTERO_ITEM CSL_CITATION {"citationID":"N38IZlgg","properties":{"formattedCitation":"[22,23]","plainCitation":"[22,23]","noteIndex":0},"citationItems":[{"id":454,"uris":["http://zotero.org/users/9332412/items/6V2W43Q3"],"itemData":{"id":454,"type":"article-journal","note":"publisher: Real Academia de Ciencias y Artes de Barcelona","source":"Google Scholar","title":"Information theory in ecology","URL":"https://digital.csic.es/handle/10261/284346","author":[{"family":"Margalef","given":"Ramon"}],"accessed":{"date-parts":[["2024",8,27]]},"issued":{"date-parts":[["1973"]]}}},{"id":453,"uris":["http://zotero.org/users/9332412/items/FHGJUC66"],"itemData":{"id":453,"type":"article-journal","abstract":"Information content may be used as a measure of the diversity of a many-species biological collection. The diversity of small collections, all of whose members can be identified and counted, is defined by Brillouin's measure of information. With larger collections it becomes necessary to estimate diversity; what is estimated is Shannon's measure of information which is a function of the population proportions of the several species. Different methods of estimation are appropriate for different types of collections. If the collection can be randomly sampled and the total number of species is known, Basharin's formula may be used. With a random sample from a population containing an unknown number of species, Good's method is sometimes applicable. With a patchy population of sessile organisms, such as a plant community, random samples are unobtainable since the contents of a randomly placed quadrat are not a random sample of the parent population. To estimate the diversity of such a community a method is proposed whereby the sample size is progressively increased by addition of new quadrats; as this is done the diversity of the pooled sample increases and then levels off. The mean increment in total diversity that results from enlarging the sample still more then provides an estimate of the diversity per individual in the whole population.","container-title":"Journal of Theoretical Biology","DOI":"10.1016/0022-5193(66)90013-0","ISSN":"0022-5193","journalAbbreviation":"Journal of Theoretical Biology","page":"131-144","source":"ScienceDirect","title":"The measurement of diversity in different types of biological collections","volume":"13","author":[{"family":"Pielou","given":"E. C."}],"issued":{"date-parts":[["1966",12,1]]}}}],"schema":"https://github.com/citation-style-language/schema/raw/master/csl-citation.json"} </w:instrText>
      </w:r>
      <w:r w:rsidR="00EC4DCC">
        <w:rPr>
          <w:color w:val="000000"/>
        </w:rPr>
        <w:fldChar w:fldCharType="separate"/>
      </w:r>
      <w:r w:rsidRPr="0038353F">
        <w:t>[22,23]</w:t>
      </w:r>
      <w:r w:rsidR="00EC4DCC">
        <w:rPr>
          <w:color w:val="000000"/>
        </w:rPr>
        <w:fldChar w:fldCharType="end"/>
      </w:r>
      <w:r w:rsidR="00295051" w:rsidRPr="00295051">
        <w:rPr>
          <w:color w:val="000000"/>
        </w:rPr>
        <w:t xml:space="preserve"> </w:t>
      </w:r>
      <w:r w:rsidR="005B712A">
        <w:rPr>
          <w:color w:val="000000"/>
        </w:rPr>
        <w:t xml:space="preserve">and economics </w:t>
      </w:r>
      <w:r w:rsidR="005B712A">
        <w:rPr>
          <w:color w:val="000000"/>
        </w:rPr>
        <w:fldChar w:fldCharType="begin"/>
      </w:r>
      <w:r>
        <w:rPr>
          <w:color w:val="000000"/>
        </w:rPr>
        <w:instrText xml:space="preserve"> ADDIN ZOTERO_ITEM CSL_CITATION {"citationID":"oLhydeUO","properties":{"formattedCitation":"[24]","plainCitation":"[24]","noteIndex":0},"citationItems":[{"id":1265,"uris":["http://zotero.org/users/9332412/items/8HETGSHS"],"itemData":{"id":1265,"type":"article-journal","container-title":"Science Policy Research Unit (SPRU), Electronic Working Papers Series, Paper","note":"publisher: Citeseer","page":"1–156","source":"Google Scholar","title":"On the economics and analysis of diversity","volume":"28","author":[{"family":"Stirling","given":"Andrew"}],"issued":{"date-parts":[["1998"]]}}}],"schema":"https://github.com/citation-style-language/schema/raw/master/csl-citation.json"} </w:instrText>
      </w:r>
      <w:r w:rsidR="005B712A">
        <w:rPr>
          <w:color w:val="000000"/>
        </w:rPr>
        <w:fldChar w:fldCharType="separate"/>
      </w:r>
      <w:r w:rsidRPr="0038353F">
        <w:t>[24]</w:t>
      </w:r>
      <w:r w:rsidR="005B712A">
        <w:rPr>
          <w:color w:val="000000"/>
        </w:rPr>
        <w:fldChar w:fldCharType="end"/>
      </w:r>
      <w:r w:rsidR="003C0D21">
        <w:rPr>
          <w:color w:val="000000"/>
        </w:rPr>
        <w:t>.</w:t>
      </w:r>
      <w:r w:rsidR="00014F09">
        <w:rPr>
          <w:color w:val="000000"/>
        </w:rPr>
        <w:t xml:space="preserve"> </w:t>
      </w:r>
    </w:p>
    <w:p w14:paraId="09E8C5D8" w14:textId="6F840E9D" w:rsidR="003C0D21" w:rsidRPr="00C62DF2" w:rsidRDefault="00014F09" w:rsidP="003C0D21">
      <w:r>
        <w:t xml:space="preserve">The Shannon Diversity Index </w:t>
      </w:r>
      <w:r>
        <w:rPr>
          <w:iCs/>
        </w:rPr>
        <w:t xml:space="preserve">(herein “diversity index”) </w:t>
      </w:r>
      <w:r>
        <w:t>has</w:t>
      </w:r>
      <w:r w:rsidR="00FB4AAC">
        <w:t xml:space="preserve"> also</w:t>
      </w:r>
      <w:r>
        <w:t xml:space="preserve"> been widely considered in energy security-focused studies as a metric for diversity of primary energy and energy import sources, commonly at the nation-state level </w:t>
      </w:r>
      <w:r w:rsidR="00381D54">
        <w:t xml:space="preserve">as part of geo-political energy analysis </w:t>
      </w:r>
      <w:r>
        <w:fldChar w:fldCharType="begin"/>
      </w:r>
      <w:r>
        <w:instrText xml:space="preserve"> ADDIN ZOTERO_ITEM CSL_CITATION {"citationID":"6XTIEyTN","properties":{"unsorted":true,"formattedCitation":"[27\\uc0\\u8211{}41]","plainCitation":"[27–41]","noteIndex":0},"citationItems":[{"id":462,"uris":["http://zotero.org/users/9332412/items/TXUYSFD4"],"itemData":{"id":462,"type":"article-journal","abstract":"Global concerns for the security of energy have steadily been on the increase and are expected to become a major issue over the next few decades. Urgent policy response is thus essential. However, little attempt has been made at defining both energy security and energy metrics. In this study, we provide such metrics and apply them to four major energy sources in the Korean electricity market: coal, oil, liquefied natural gas, and nuclear. In our approach, we measure the cost of energy security in terms of supply disruption and price volatility, and we consider the degree of concentration in energy supply and demand using the Hirschman–Herfindahl index (HHI). Due to its balanced fuel supply and demand, relatively stable price, and high abundance, we find nuclear energy to be the most competitive energy source in terms of energy security in the Korean electricity market. LNG, on the other hand, was found to have the highest cost in term of energy security due to its high concentration in supply and demand, and its high price volatility. In addition, in terms of cost, we find that economic security dominates supply security, and as such, it is the main factor in the total security cost. Within the confines of concern for global energy security, our study both broadens our understanding of energy security and enables a strategic approach in the portfolio management of energy consumption.","container-title":"Applied Energy","DOI":"10.1016/j.apenergy.2008.11.028","ISSN":"0306-2619","issue":"10","journalAbbreviation":"Applied Energy","page":"1894-1901","source":"ScienceDirect","title":"The analysis of security cost for different energy sources","volume":"86","author":[{"family":"Jun","given":"Eunju"},{"family":"Kim","given":"Wonjoon"},{"family":"Chang","given":"Soon Heung"}],"issued":{"date-parts":[["2009",10,1]]}}},{"id":460,"uris":["http://zotero.org/users/9332412/items/MN7RZL3X"],"itemData":{"id":460,"type":"article-journal","abstract":"The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resources.","collection-title":"China Energy Efficiency","container-title":"Energy Policy","DOI":"10.1016/j.enpol.2009.02.006","ISSN":"0301-4215","issue":"6","journalAbbreviation":"Energy Policy","page":"2166-2181","source":"ScienceDirect","title":"Indicators for energy security","volume":"37","author":[{"family":"Kruyt","given":"Bert"},{"family":"Vuuren","given":"D. P.","non-dropping-particle":"van"},{"family":"Vries","given":"H. J. M.","non-dropping-particle":"de"},{"family":"Groenenberg","given":"H."}],"issued":{"date-parts":[["2009",6,1]]}}},{"id":470,"uris":["http://zotero.org/users/9332412/items/2J5AN7SN"],"itemData":{"id":470,"type":"article-journal","abstract":"Facing the risk and uncertainty inherent in social and economic development, many countries have adopted an energy supply diversification strategy in their energy security policy to control the energy import risk and cost to ensure that sufficient energy can be obtained at an affordable price level. Diversification helps the energy system respond to external changes and shocks. Diversification can also lessen the vulnerability of a single energy source to supply shocks and the market power of various energy supply sources. This study develops the “diversity reliability index” and “co-vary diversity reliability index” based on the Hirschman–Herfindahl and Shannon–Wiener indices, investigates the contribution of different energy sources to the energy system, and analyzes the covariance between various energies and their impacts on energy security to determine the impact of energy diversity in reducing the risk of energy supply shortages and cost fluctuations.","container-title":"Renewable and Sustainable Energy Reviews","DOI":"10.1016/j.rser.2013.03.021","ISSN":"1364-0321","journalAbbreviation":"Renewable and Sustainable Energy Reviews","page":"9-20","source":"ScienceDirect","title":"Energy security and improvements in the function of diversity indices—Taiwan energy supply structure case study","volume":"24","author":[{"family":"Chuang","given":"Ming Chih"},{"family":"Ma","given":"Hwong Wen"}],"issued":{"date-parts":[["2013",8,1]]}}},{"id":464,"uris":["http://zotero.org/users/9332412/items/7WZQ9TKG"],"itemData":{"id":464,"type":"article-journal","abstract":"An “Aggregated Energy Security Performance Indicator (AESPI)” has been developed by considering 25 individual indicators representing social, economy and environmental dimensions. The principle used, data required and the methodology for the development of AESPI have been detailed. AESPI requires time series data for its development and its value ranges from 0 to 10. The characteristics of AESPI have been compared with the existing indicators in terms of methodology, data requirements, analysis possible and the applications. The advantages of AESPI is that it not only assists in knowing the past energy security status of a country, but also helps in assessing the future status considering the energy policies and plans of the country, thus enabling the monitoring of the impacts of the policies.","container-title":"Applied Energy","DOI":"10.1016/j.apenergy.2012.10.027","ISSN":"0306-2619","journalAbbreviation":"Applied Energy","page":"653-670","source":"ScienceDirect","title":"An aggregated energy security performance indicator","volume":"103","author":[{"family":"Martchamadol","given":"Jutamanee"},{"family":"Kumar","given":"S."}],"issued":{"date-parts":[["2013",3,1]]}}},{"id":463,"uris":["http://zotero.org/users/9332412/items/8FMTSLUN"],"itemData":{"id":463,"type":"article-journal","abstract":"How would a low-carbon energy transformation affect energy security? This paper proposes a framework to evaluate energy security under long-term energy scenarios generated by integrated assessment models. Energy security is defined as low vulnerability of vital energy systems, delineated along geographic and sectoral boundaries. The proposed framework considers vulnerability as a combination of risks associated with inter-regional energy trade and resilience reflected in energy intensity and diversity of energy sources and technologies. We apply this framework to 43 scenarios generated by the MESSAGE model as part of the Global Energy Assessment, including one baseline scenario and 42 ‘low-carbon’ scenarios where the global mean temperature increase is limited to 2°C over the pre-industrial level. By and large, low-carbon scenarios are associated with lower energy trade and higher diversity of energy options, especially in the transport sector. A few risks do emerge under low-carbon scenarios in the latter half of the century. They include potentially high trade in natural gas and hydrogen and low diversity of electricity sources. Trade is typically lower in scenarios which emphasize demand-side policies as well as non-tradable energy sources (nuclear and renewables) while diversity is higher in scenarios which limit the penetration of intermittent renewables.","container-title":"Energy Policy","DOI":"10.1016/j.enpol.2013.10.051","ISSN":"0301-4215","journalAbbreviation":"Energy Policy","page":"743-760","source":"ScienceDirect","title":"Energy security under de-carbonization scenarios: An assessment framework and evaluation under different technology and policy choices","title-short":"Energy security under de-carbonization scenarios","volume":"65","author":[{"family":"Jewell","given":"Jessica"},{"family":"Cherp","given":"Aleh"},{"family":"Riahi","given":"Keywan"}],"issued":{"date-parts":[["2014",2,1]]}}},{"id":473,"uris":["http://zotero.org/users/9332412/items/Z9HFGVSP"],"itemData":{"id":473,"type":"article-journal","abstract":"In order to maintain or improve a jurisdiction's energy security, its energy system needs to meet the demands of its energy services with affordable and preferably environmentally acceptable flows of energy. Since diversity can be a factor in the long-term survival of a system, having a diversity of energy flows is frequently treated as a proxy for energy security. This paper examines the relationship between energy security and the diversity of an energy system's energy flows using a set of energy security indicators and the Shannon–Wiener diversity index. Although diversity may be considered necessary for maintaining and improving energy security, the quantitative analysis of the relationship shows that an energy flow considered diverse need not be secure and that a secure energy flow need not be considered diverse. Examples of this relationship are included. These findings can prove useful to policy makers and energy analysts when developing transition strategies for a jurisdiction's energy system.","container-title":"Energy","DOI":"10.1016/j.energy.2014.05.108","ISSN":"0360-5442","journalAbbreviation":"Energy","page":"137-144","source":"ScienceDirect","title":"Energy security and the diversity of energy flows in an energy system","volume":"73","author":[{"family":"Ranjan","given":"Ashish"},{"family":"Hughes","given":"Larry"}],"issued":{"date-parts":[["2014",8,14]]}}},{"id":468,"uris":["http://zotero.org/users/9332412/items/MTZ88W4B"],"itemData":{"id":468,"type":"article-journal","abstract":"Various metrics exist for energy security assessment along with a diffuse array of different strategies for improving national performance. These independent and interacted metrics overlap, however, and are rarely considered systematically. The objective of this study is to translate often subjective concepts of energy security into more objective criteria, to investigate the cause-effect relationships among these different metrics, and to provide some recommendations for the stakeholders to draft efficacious measures for enhancing energy security. To accomplish this feat, the study utilizes a DEMATEL (Fuzzy Decision-making Trial and Evaluation Laboratory) methodology to analyze collected data, reveal cause-effect relationships, and prioritize energy security strategies. To apply our theoretical results in practice, we include a brief case study of China. We conclude that the availability and affordability dimensions of energy security are most impactful to a nation's overall energy security, and that the promotion of renewable energy and diversification are compelling national energy security strategies, both for China and other countries.","container-title":"Energy","DOI":"10.1016/j.energy.2014.08.083","ISSN":"0360-5442","journalAbbreviation":"Energy","page":"838-849","source":"ScienceDirect","title":"Quantifying, measuring, and strategizing energy security: Determining the most meaningful dimensions and metrics","title-short":"Quantifying, measuring, and strategizing energy security","volume":"76","author":[{"family":"Ren","given":"Jingzheng"},{"family":"Sovacool","given":"Benjamin K."}],"issued":{"date-parts":[["2014",11,1]]}}},{"id":474,"uris":["http://zotero.org/users/9332412/items/DLP465N6"],"itemData":{"id":474,"type":"article-journal","abstract":"Energy security has been an actively studied area in recent years. Various facets have been covered in the literature. Based on a survey of 104 studies from 2001 to June 2014, this paper reports the findings on the following: energy security definitions, changes in the themes of these definitions, energy security indexes, specific focused areas and methodological issues in the construction of these indexes, and energy security in the wider context of national energy policy. It is found that the definition of energy security is contextual and dynamic in nature. The scope of energy security has also expanded, with a growing emphasis on dimensions such as environmental sustainability and energy efficiency. Significant differences among studies are observed in the way in which energy security indexes are framed and constructed. These variations introduce challenges in comparing the findings among studies. Based on these findings, recommendations on studying energy security and the construction of energy security indexes are presented.","container-title":"Renewable and Sustainable Energy Reviews","DOI":"10.1016/j.rser.2014.10.064","ISSN":"1364-0321","journalAbbreviation":"Renewable and Sustainable Energy Reviews","page":"1077-1093","source":"ScienceDirect","title":"Energy security: Definitions, dimensions and indexes","title-short":"Energy security","volume":"42","author":[{"family":"Ang","given":"B. W."},{"family":"Choong","given":"W. L."},{"family":"Ng","given":"T. S."}],"issued":{"date-parts":[["2015",2,1]]}}},{"id":471,"uris":["http://zotero.org/users/9332412/items/ASEUKAQD"],"itemData":{"id":471,"type":"article-journal","abstract":"This study presents an assessment of Indonesia's energy security performance through measurement of its energy security index for the selected years of 2008–2013. This study conceptualizes energy security as consisting of five dimensions: availability, affordability, accessibility, acceptability and efficiency. These dimensions are selected through a review of energy security concepts that are widely used in previous publications. The dimensions are composed into 14 indicators used to assess energy security. This study analyzed 71 countries to assess the energy security performance. The indicators were normalized using the min – max method and weighted based on principal component analysis or equal weighting. Based on the analysis, Indonesia's energy security performance shows an increasing trend between 2008 and 2013; this increase was due to the improvements of the availability, affordability and accessibility dimensions. The average value of Indonesia's energy security index throughout the selected years is 0.473. The ESI result from 71 countries shows that Indonesia ranks 55.","container-title":"Energy","DOI":"10.1016/j.energy.2016.05.100","ISSN":"0360-5442","journalAbbreviation":"Energy","page":"364-376","source":"ScienceDirect","title":"An assessment of Indonesia's energy security index and comparison with seventy countries","volume":"111","author":[{"family":"Erahman","given":"Qodri Febrilian"},{"family":"Purwanto","given":"Widodo Wahyu"},{"family":"Sudibandriyo","given":"Mahmud"},{"family":"Hidayatno","given":"Akhmad"}],"issued":{"date-parts":[["2016",9,15]]}}},{"id":469,"uris":["http://zotero.org/users/9332412/items/FCQRBS6K"],"itemData":{"id":469,"type":"article-journal","abstract":"China has been the world's largest energy consumer and producer for many years, yet while myriad studies have investigated Chinese performance on energy metrics compared to other countries, few to none have looked internally at Chinese provinces. This paper firstly develops a five-dimensional evaluation system centered on the energy security dimensions of availability and diversity, affordability and equality, technology and efficiency, environmental sustainability, and governance and innovation. It then correlates these dimensions to 20 distinct energy security metrics that are used to assess the energy security performance of 30 Chinese provinces, divided into eight regions. Our results reveal both trends in energy policy and practice as well as provincial status of comparative energy security for the year 2013. We find, for instance, that there is no province which performs well in all five of the energy security dimensions, and that all provinces confronted threats related to energy availability and diversity. We also demonstrate that in comparative terms, the Middle Reaches of Yellow River and the Northwest were the most energy-secure, while the Middle Reaches of Yangtze River and the Northeast were least energy-secure.","container-title":"Energy","DOI":"10.1016/j.energy.2016.12.030","ISSN":"0360-5442","journalAbbreviation":"Energy","page":"825-836","source":"ScienceDirect","title":"Measuring energy security performance within China: Toward an inter-provincial prospective","title-short":"Measuring energy security performance within China","volume":"125","author":[{"family":"Zhang","given":"Long"},{"family":"Yu","given":"Jing"},{"family":"Sovacool","given":"Benjamin K."},{"family":"Ren","given":"Jingzheng"}],"issued":{"date-parts":[["2017",4,15]]}}},{"id":472,"uris":["http://zotero.org/users/9332412/items/LFBE2P7F"],"itemData":{"id":472,"type":"article-journal","abstract":"It is vitally important for all countries to ensure they have a secure energy supply. This is especially true for European Union (EU) countries, because of geopolitical considerations and ongoing reforms of energy markets. This study applied time-series clustering approaches and three energy security indicators based on the Shannon–Wiener diversity index. The aim was to enhance understanding of how energy security of EU countries, in terms of energy supply, has evolved. An overall improvement in energy security in most EU countries between 1978 and 2014 was identified, with Denmark and the Czech Republic evidencing the greatest improvements. The main driver of improvement has been diversification of primary energy sources. Factors relating to imports (share and diversity of the origins of imports) have also substantially influenced improvement levels. Three groups of countries were identified using cluster analysis: (1) consistently high levels of energy security and showed moderate improvements over time; (2) lower levels of energy security than those in the first group, and also evidenced moderate improvements; and (3) initially low energy security levels, yet followed by significant improvements. The first and third groups were of particular interest because the former reveals best practices while the policies of the latter, in leading to improvement, can serve as guides for other countries.","container-title":"Renewable and Sustainable Energy Reviews","DOI":"10.1016/j.rser.2017.06.058","ISSN":"1364-0321","journalAbbreviation":"Renewable and Sustainable Energy Reviews","page":"1737-1748","source":"ScienceDirect","title":"Historical energy security performance in EU countries","volume":"82","author":[{"family":"Matsumoto","given":"Ken'ichi"},{"family":"Doumpos","given":"Michalis"},{"family":"Andriosopoulos","given":"Kostas"}],"issued":{"date-parts":[["2018",2,1]]}}},{"id":465,"uris":["http://zotero.org/users/9332412/items/KXDBKHCG"],"itemData":{"id":465,"type":"article-journal","abstract":"Currently, China has become one of the biggest energy consumers and importers in the world, and its energy policies will increasingly affect international energy situation. This paper introduces a new aggregated indicator, the China energy security index (CESI), for evaluating how China's energy security has changed over years. The CESI includes the energy supply dimension, economic-technical dimension, and environmental dimension of energy security. Based on the banding approach, 18 indicators, which are selected from six years 1990, 1995, 2000, 2005, 2010, and 2014, are normalized to form the CESI and sub-indexes. As to the energy supply dimension, the indigenous energy availability sub-index and energy dependence sub-index continued decline over the study period. Among all the three dimensions of CESI, the largest changes observed are in the energy supply sub-index. The change of CESI likes a ‘N’ curve. In this study, China's worst energy security performance was in 2010 and the best was in 2000. At last, the SWOT analysis method is utilized to deprive China's energy security policy implications.","container-title":"Energy Policy","DOI":"10.1016/j.enpol.2019.05.036","ISSN":"0301-4215","journalAbbreviation":"Energy Policy","page":"167-174","source":"ScienceDirect","title":"Using a new aggregated indicator to evaluate China's energy security","volume":"132","author":[{"family":"Song","given":"Yan"},{"family":"Zhang","given":"Ming"},{"family":"Sun","given":"Ruifeng"}],"issued":{"date-parts":[["2019",9,1]]}}},{"id":466,"uris":["http://zotero.org/users/9332412/items/JKRZEAW6"],"itemData":{"id":466,"type":"article-journal","abstract":"With the aim of overcoming the shortcomings of the conventional energy security index (ESI) used in dynamic assessment of energy security, the present study introduces the functional data analysis method into ESI construction and establishes a dynamic energy security index (DESI) model. The DESI is a generalization of the conventional ESI with a dynamic weighting mechanism in a continuous time domain. In the DESI model, every normalized indicator within three dimensions — energy supply, energy consumption and environmental — is smoothed into a continuous curve, and the changes in its importance are reflected objectively by functional information entropy weights with dynamic information updating. Whereas the three sub-index curves with different importance are distinguished via assigning different weights according to the special national circumstances. The methods of generating a curve for single indicator, sub-index curves, and dyna mic weighting curves are discussed in detail, and the robustness of weighting and aggregation choice in DESI is tested using sensitive analysis. Results of applying DESI to evaluate China's energy security show that the overall changes of China's energy security have undergone a W-shaped fluctuation. To ensure consistently high levels of energy security, the government should focus on oil supply and renewable energy technologies.","container-title":"Energy Policy","DOI":"10.1016/j.enpol.2020.111706","ISSN":"0301-4215","journalAbbreviation":"Energy Policy","page":"111706","source":"ScienceDirect","title":"A functional index model for dynamically evaluating China's energy security","volume":"147","author":[{"family":"Wang","given":"Deqing"},{"family":"Tian","given":"Sihua"},{"family":"Fang","given":"Lei"},{"family":"Xu","given":"Yan"}],"issued":{"date-parts":[["2020",12,1]]}}},{"id":461,"uris":["http://zotero.org/users/9332412/items/IFMFGTMC"],"itemData":{"id":461,"type":"article-journal","abstract":"The growing concerns related to energy demand, supply, energy security, and environmental issues encourage global awareness. The impact of energy imports, fuel cost, energy security, and CO2 (carbon dioxide) emissions have become a severe issue for Pakistan which is strongly associated with social, economic and environmental development. In this study, we have estimated eleven energy security indicators for long-run energy supply by applying the MARKAL framework. Business as usual (BAU) and three energy import reduction scenarios (Sa, Sb and Sc) are estimated on primary energy supply, demand, and diversification of energy resources, imported fuel cost, CO2 emissions, and energy security during 2012–2040. The outcomes show that primary energy supply will decrease marginally, while cumulative renewable energy would increase by 28%. Dependency on net energy import ratio will grow by 5.838 times, vulnerability index and net oil import ratio will decrease by −1.276 and −1.105 under base scenarios. Due to maximum fuel consumption by the transport and other sectors, the CO2 emissions would increase by 407.49 Mt in 2040 which could be reduced by renewable energy resources. Finally, energy security and energy supply are optimal in the reduction scenarios which will lessen cost, CO2, and energy supply. Related policies are given below.","container-title":"Energy","DOI":"10.1016/j.energy.2020.117575","ISSN":"0360-5442","journalAbbreviation":"Energy","page":"117575","source":"ScienceDirect","title":"Analysis of energy security indicators and CO2 emissions. A case from a developing economy","volume":"200","author":[{"family":"Lin","given":"Boqiang"},{"family":"Raza","given":"Muhammad Yousaf"}],"issued":{"date-parts":[["2020",6,1]]}}},{"id":1282,"uris":["http://zotero.org/users/9332412/items/IVD4UM5P"],"itemData":{"id":1282,"type":"article-journal","abstract":"Energy security assessment quantifies the energy supply to a population and the likelihood, or risk, of an energy disruption or shortage and represents an important aspect of national security, economic stability and prosperity. The quantification of the state of energy supply is context-dependent and involves multiple perspectives: infrastructural, technological, environmental, market, social and geopolitical. Among all the different and relevant aspects involved, diversity and dependence of the energy fuel mix are two of the main energy security dimensions. The present paper investigates the diversification of the energy supply in Europe, by analysing import dependence, market concentration and renewable energy resource deployment in the European Union over the last decade. The analysis utilises a set of indicators aimed at measuring the fuel mix diversity, market concentration, geopolitical stability, renewable energy share and stochasticity - both at single country and at aggregated European levels. Results show a stable evolution of the diversity of the fuel mix and a relatively low market concentration of the period examined. However, the import dependency reduces the energy security by approximately 30% due to the high proportion of imports from a limited number of countries. Moreover, an increasing trend in renewable electricity production share is evident over the last decade, albeit with differences between member states, as a result of the decarbonisation policies implemented by the European Union.","container-title":"Energy","DOI":"10.1016/j.energy.2022.124097","ISSN":"0360-5442","journalAbbreviation":"Energy","page":"124097","source":"ScienceDirect","title":"Diversification, concentration and renewability of the energy supply in the European Union","volume":"253","author":[{"family":"De Rosa","given":"Mattia"},{"family":"Gainsford","given":"Kenneth"},{"family":"Pallonetto","given":"Fabiano"},{"family":"Finn","given":"Donal P."}],"issued":{"date-parts":[["2022",8,15]]}}}],"schema":"https://github.com/citation-style-language/schema/raw/master/csl-citation.json"} </w:instrText>
      </w:r>
      <w:r>
        <w:fldChar w:fldCharType="separate"/>
      </w:r>
      <w:r w:rsidRPr="0038353F">
        <w:rPr>
          <w:rFonts w:cs="Times New Roman"/>
        </w:rPr>
        <w:t>[27–41]</w:t>
      </w:r>
      <w:r>
        <w:fldChar w:fldCharType="end"/>
      </w:r>
      <w:r>
        <w:t xml:space="preserve">. </w:t>
      </w:r>
      <w:r w:rsidR="00115BC2">
        <w:t xml:space="preserve">A smaller number of </w:t>
      </w:r>
      <w:r>
        <w:t xml:space="preserve">studies </w:t>
      </w:r>
      <w:r w:rsidR="00115BC2">
        <w:t xml:space="preserve">have </w:t>
      </w:r>
      <w:r>
        <w:t>utilize</w:t>
      </w:r>
      <w:r w:rsidR="00115BC2">
        <w:t>d</w:t>
      </w:r>
      <w:r>
        <w:t xml:space="preserve"> the diversity metric to assess electricity system-specific generation diversity </w:t>
      </w:r>
      <w:r>
        <w:fldChar w:fldCharType="begin"/>
      </w:r>
      <w:r>
        <w:instrText xml:space="preserve"> ADDIN ZOTERO_ITEM CSL_CITATION {"citationID":"Pk8JqedI","properties":{"unsorted":true,"formattedCitation":"[42\\uc0\\u8211{}46]","plainCitation":"[42–46]","noteIndex":0},"citationItems":[{"id":1285,"uris":["http://zotero.org/users/9332412/items/J3VH8M52"],"itemData":{"id":1285,"type":"article-journal","abstract":"The need for diversity has been cited as a rationale for important recent investment decisions in the UK electricity supply sector. It is invoked as the principal argument for continuing major government intervention. Yet there exists no formal analytical basis for the concept. Why is diversity good? What is meant by ‘diversification’? What is it that must be ‘diversified’? What trade off should be struck between ‘diversity’ and other measures of performance? The resulting ambiguity causes confusion and is vulnerable to special pleading. Despite this, this paper argues that diversification offers a superior alternative to probabilistic approaches towards uncertainty and ignorance in electricity supply investments and proposes a formal analytical approach. A quantitative index of diversity is borrowed from information theory and used to derive a value for the government's implicit willingness to pay for diversity in the UK electricity supply mix. This is then applied in a pilot exercise to the problem of optimizing the diversity and financial performance of the supply portfolio. Although provisional, the results are relevant to the government's forthcoming Nuclear Review, particularly in assessing the relative levels of support for nuclear power and renewable energy.","container-title":"Energy Policy","DOI":"10.1016/0301-4215(94)90159-7","ISSN":"0301-4215","issue":"3","journalAbbreviation":"Energy Policy","page":"195-216","source":"ScienceDirect","title":"Diversity and ignorance in electricity supply investment: Addressing the solution rather than the problem","title-short":"Diversity and ignorance in electricity supply investment","volume":"22","author":[{"family":"Stirling","given":"Andrew"}],"issued":{"date-parts":[["1994",3,1]]}}},{"id":523,"uris":["http://zotero.org/users/9332412/items/UNQZKECG"],"itemData":{"id":523,"type":"article-journal","abstract":"We explore the relationship between low-carbon objectives and the strategic security of electricity in the context of the UK electricity system. We consider diversity of fuel source mix to represent one dimension of security-robustness against interruptions of any one source-and apply two different diversity indices to the range of electricity system scenarios produced by the UK government and independent researchers. Our results show that low-carbon objectives are uniformly associated with greater long-term diversity in UK electricity generation. With reference to data on wind generation we also consider the impact of source variability on a second dimension of security-the reliability of generation availability. We conclude that this does not undermine our fundamental conclusion that low-carbon scenarios are associated with greater strategic security of supply in UK electricity. We discuss reasons for this result, explore sensitivities, and briefly discuss possible policy instruments associated with diversity and their limitations. © 2005 Elsevier Ltd. All rights reserved.","container-title":"Energy Policy","DOI":"10.1016/J.ENPOL.2005.09.004","issue":"18","note":"publisher: Elsevier","page":"4050-4062","title":"Diversity and security in UK electricity generation: The influence of low-carbon objectives","volume":"34","author":[{"family":"Grubb","given":"Michael"},{"family":"Butler","given":"Lucy"},{"family":"Twomey","given":"Paul"}],"issued":{"date-parts":[["2006",12]]}}},{"id":525,"uris":["http://zotero.org/users/9332412/items/P8H2YS5M"],"itemData":{"id":525,"type":"article-journal","abstract":"China's energy sector is under pressure to achieve secure and affordable supply and a clear decarbonisation path. We examine the longitudinal trajectory of the Chinese electricity supply security and model the near future supply security based on the 12th 5. Year Plan. Our approach combines the Shannon-Wiener, Herfindahl-Hirschman and electricity import dependence indices for supply security appraisal. We find that electricity portfolio innovation allows China to provide secure energy supply despite increasing import dependence. It is argued that long-term aggressive deployment of renewable energy will unblock China's coal-biased technological lock-in and increase supply security in all fronts. However, reduced supply diversity in China during the 1990s will not recover until after 2020s due to the long-term coal lock-in that can threaten to hold China back from realising its full potential.","container-title":"Technological Forecasting and Social Change","DOI":"10.1016/J.TECHFORE.2015.07.012","note":"publisher: North-Holland","page":"267-276","title":"Electricity portfolio innovation for energy security: The case of carbon constrained China","volume":"100","author":[{"family":"Chalvatzis","given":"Konstantinos J."},{"family":"Rubel","given":"Keagan"}],"issued":{"date-parts":[["2015",11]]}}},{"id":534,"uris":["http://zotero.org/users/9332412/items/W7NZR2GL"],"itemData":{"id":534,"type":"article-journal","abstract":"There is a growing body of research into the potential security risks and trade-offs which may emerge over the long-term development of energy systems. As part of this body of research, this paper aims to develop and demonstrate a set of indicators for assessing the security of long-term national electricity scenarios. This paper extends the empirical work of existing frameworks by including reliability and cost parameters alongside a range of other important aspects of energy security such as diversity, trade and acceptability, and by using both qualitative and quantitative indicators without aggregation in order to identify trade-offs. This paper uses the indicators to assess the energy security implications of three plausible long-term scenarios for the UK electricity system. The results indicate that a major risk may be experienced by a lack of flexible, responsive supply capacity in low-carbon electricity pathways. Reducing overall energy demand is found to be the most beneficial policy for improving energy security in terms of generating benefits in multiple dimensions. The paper finds that energy security is often conceptualised as the avoidance of causes of insecurity (such as insecure fuel imports), but that an equally important aspect of security lies in maximising responses to insecurity, for example by increasing the flexibility and responsiveness of both supply and demand.","container-title":"Renewable and Sustainable Energy Reviews","DOI":"10.1016/J.RSER.2017.08.084","note":"publisher: Pergamon","page":"2287-2299","title":"Assessing long-term energy security: The case of electricity in the United Kingdom","volume":"82","author":[{"family":"Cox","given":"Emily"}],"issued":{"date-parts":[["2018",2]]}}},{"id":457,"uris":["http://zotero.org/users/9332412/items/IE76XI98"],"itemData":{"id":457,"type":"article-journal","container-title":"Journal of Original Studies","DOI":"10.47243/jos.3.2.03","title":"Resource Diversification in Turkey's Electricity Generation","URL":"https://journals.gen.tr/index.php/jos/article/view/1889/1185","author":[{"family":"Dilek","given":"Serkan"},{"family":"Konak","given":"Ali"}],"issued":{"date-parts":[["2022"]]}}}],"schema":"https://github.com/citation-style-language/schema/raw/master/csl-citation.json"} </w:instrText>
      </w:r>
      <w:r>
        <w:fldChar w:fldCharType="separate"/>
      </w:r>
      <w:r w:rsidRPr="0038353F">
        <w:rPr>
          <w:rFonts w:cs="Times New Roman"/>
        </w:rPr>
        <w:t>[42–46]</w:t>
      </w:r>
      <w:r>
        <w:fldChar w:fldCharType="end"/>
      </w:r>
      <w:r>
        <w:t>. This study is the only one the author is aware of that applies a formal index to assess diversity of electricity imports among electric balancing authorities within the United States.</w:t>
      </w:r>
    </w:p>
    <w:tbl>
      <w:tblPr>
        <w:tblStyle w:val="a0"/>
        <w:tblpPr w:leftFromText="180" w:rightFromText="180" w:vertAnchor="text" w:horzAnchor="page" w:tblpX="1" w:tblpY="935"/>
        <w:tblW w:w="16944" w:type="dxa"/>
        <w:tblBorders>
          <w:top w:val="nil"/>
          <w:left w:val="nil"/>
          <w:bottom w:val="nil"/>
          <w:right w:val="nil"/>
          <w:insideH w:val="nil"/>
          <w:insideV w:val="nil"/>
        </w:tblBorders>
        <w:tblLayout w:type="fixed"/>
        <w:tblLook w:val="0400" w:firstRow="0" w:lastRow="0" w:firstColumn="0" w:lastColumn="0" w:noHBand="0" w:noVBand="1"/>
      </w:tblPr>
      <w:tblGrid>
        <w:gridCol w:w="4320"/>
        <w:gridCol w:w="3117"/>
        <w:gridCol w:w="3273"/>
        <w:gridCol w:w="3117"/>
        <w:gridCol w:w="3117"/>
      </w:tblGrid>
      <w:tr w:rsidR="00A06EE6" w14:paraId="0F7D2007" w14:textId="77777777" w:rsidTr="00A06EE6">
        <w:tc>
          <w:tcPr>
            <w:tcW w:w="4320" w:type="dxa"/>
            <w:vAlign w:val="center"/>
          </w:tcPr>
          <w:p w14:paraId="3B25D281" w14:textId="77777777" w:rsidR="00A06EE6" w:rsidRDefault="00A06EE6" w:rsidP="00A06EE6">
            <w:pPr>
              <w:ind w:left="1334"/>
              <w:jc w:val="center"/>
              <w:rPr>
                <w:i/>
              </w:rPr>
            </w:pPr>
          </w:p>
        </w:tc>
        <w:tc>
          <w:tcPr>
            <w:tcW w:w="3117" w:type="dxa"/>
            <w:vAlign w:val="center"/>
          </w:tcPr>
          <w:p w14:paraId="35096479" w14:textId="77777777" w:rsidR="00A06EE6" w:rsidRDefault="00A06EE6" w:rsidP="00A06EE6">
            <w:pPr>
              <w:jc w:val="center"/>
              <w:rPr>
                <w:rFonts w:ascii="Cambria Math" w:eastAsia="Cambria Math" w:hAnsi="Cambria Math" w:cs="Cambria Math"/>
              </w:rPr>
            </w:pPr>
            <m:oMathPara>
              <m:oMath>
                <m:r>
                  <w:rPr>
                    <w:rFonts w:ascii="Cambria Math" w:eastAsia="Cambria Math" w:hAnsi="Cambria Math" w:cs="Cambria Math"/>
                  </w:rPr>
                  <m:t>H=-</m:t>
                </m:r>
                <m:nary>
                  <m:naryPr>
                    <m:chr m:val="∑"/>
                    <m:limLoc m:val="undOvr"/>
                    <m:ctrlPr>
                      <w:rPr>
                        <w:rFonts w:ascii="Cambria Math" w:eastAsia="Cambria Math" w:hAnsi="Cambria Math" w:cs="Cambria Math"/>
                        <w:i/>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e>
                </m:nary>
              </m:oMath>
            </m:oMathPara>
          </w:p>
        </w:tc>
        <w:tc>
          <w:tcPr>
            <w:tcW w:w="3273" w:type="dxa"/>
            <w:vAlign w:val="center"/>
          </w:tcPr>
          <w:p w14:paraId="446045FB" w14:textId="77777777" w:rsidR="00A06EE6" w:rsidRPr="003C0D21" w:rsidRDefault="00A06EE6" w:rsidP="00A06EE6">
            <w:pPr>
              <w:pStyle w:val="ListParagraph"/>
              <w:numPr>
                <w:ilvl w:val="0"/>
                <w:numId w:val="8"/>
              </w:numPr>
              <w:jc w:val="right"/>
              <w:rPr>
                <w:iCs/>
              </w:rPr>
            </w:pPr>
            <w:bookmarkStart w:id="2" w:name="_Ref176720063"/>
          </w:p>
        </w:tc>
        <w:bookmarkEnd w:id="2"/>
        <w:tc>
          <w:tcPr>
            <w:tcW w:w="3117" w:type="dxa"/>
          </w:tcPr>
          <w:p w14:paraId="3C6987B9" w14:textId="77777777" w:rsidR="00A06EE6" w:rsidRDefault="00A06EE6" w:rsidP="00A06EE6">
            <w:pPr>
              <w:jc w:val="right"/>
              <w:rPr>
                <w:i/>
              </w:rPr>
            </w:pPr>
          </w:p>
        </w:tc>
        <w:tc>
          <w:tcPr>
            <w:tcW w:w="3117" w:type="dxa"/>
            <w:vAlign w:val="center"/>
          </w:tcPr>
          <w:p w14:paraId="3788A05F" w14:textId="77777777" w:rsidR="00A06EE6" w:rsidRDefault="00A06EE6" w:rsidP="00A06EE6">
            <w:pPr>
              <w:jc w:val="right"/>
              <w:rPr>
                <w:i/>
              </w:rPr>
            </w:pPr>
            <w:r>
              <w:rPr>
                <w:i/>
              </w:rPr>
              <w:t>(1)</w:t>
            </w:r>
          </w:p>
        </w:tc>
      </w:tr>
    </w:tbl>
    <w:p w14:paraId="2724F1BE" w14:textId="59982F5E" w:rsidR="00A06EE6" w:rsidRDefault="00FB5981" w:rsidP="003C0D21">
      <w:r>
        <w:rPr>
          <w:iCs/>
        </w:rPr>
        <w:t xml:space="preserve">The </w:t>
      </w:r>
      <w:r w:rsidR="003C0D21">
        <w:rPr>
          <w:iCs/>
        </w:rPr>
        <w:t>diversity index</w:t>
      </w:r>
      <w:r w:rsidR="00EC44B2">
        <w:rPr>
          <w:iCs/>
        </w:rPr>
        <w:t xml:space="preserve"> </w:t>
      </w:r>
      <w:r w:rsidR="00E72091">
        <w:rPr>
          <w:iCs/>
        </w:rPr>
        <w:t xml:space="preserve">applied to electric balancing authority </w:t>
      </w:r>
      <w:r w:rsidR="003C0D21">
        <w:rPr>
          <w:iCs/>
        </w:rPr>
        <w:t>import</w:t>
      </w:r>
      <w:r w:rsidR="00204068">
        <w:rPr>
          <w:iCs/>
        </w:rPr>
        <w:t xml:space="preserve">s is </w:t>
      </w:r>
      <w:r>
        <w:rPr>
          <w:iCs/>
        </w:rPr>
        <w:t xml:space="preserve">defined in </w:t>
      </w:r>
      <w:r w:rsidRPr="003C0D21">
        <w:rPr>
          <w:iCs/>
        </w:rPr>
        <w:t>equation</w:t>
      </w:r>
      <w:r w:rsidR="003C0D21">
        <w:rPr>
          <w:iCs/>
        </w:rPr>
        <w:t xml:space="preserve"> </w:t>
      </w:r>
      <w:r w:rsidR="003C0D21">
        <w:rPr>
          <w:iCs/>
        </w:rPr>
        <w:fldChar w:fldCharType="begin"/>
      </w:r>
      <w:r w:rsidR="003C0D21">
        <w:rPr>
          <w:iCs/>
        </w:rPr>
        <w:instrText xml:space="preserve"> REF _Ref176720149 \r \h </w:instrText>
      </w:r>
      <w:r w:rsidR="003C0D21">
        <w:rPr>
          <w:iCs/>
        </w:rPr>
        <w:fldChar w:fldCharType="separate"/>
      </w:r>
      <w:r w:rsidR="006B3902">
        <w:rPr>
          <w:b/>
          <w:bCs/>
          <w:iCs/>
        </w:rPr>
        <w:t>Error! Reference source not found.</w:t>
      </w:r>
      <w:r w:rsidR="003C0D21">
        <w:rPr>
          <w:iCs/>
        </w:rPr>
        <w:fldChar w:fldCharType="end"/>
      </w:r>
      <w:r w:rsidR="00F11473">
        <w:rPr>
          <w:iCs/>
        </w:rPr>
        <w:t>,</w:t>
      </w:r>
      <w:r w:rsidR="003C0D21">
        <w:rPr>
          <w:iCs/>
        </w:rPr>
        <w:t xml:space="preserve"> </w:t>
      </w:r>
      <w:r w:rsidR="003C0D21">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rsidR="003C0D21">
        <w:t xml:space="preserve"> is the share of imports from neighboring BA </w:t>
      </w:r>
      <m:oMath>
        <m:r>
          <w:rPr>
            <w:rFonts w:ascii="Cambria Math" w:eastAsia="Cambria Math" w:hAnsi="Cambria Math" w:cs="Cambria Math"/>
          </w:rPr>
          <m:t>i</m:t>
        </m:r>
      </m:oMath>
      <w:r w:rsidR="003C0D21">
        <w:t>, relative to total</w:t>
      </w:r>
      <w:r w:rsidR="00011306">
        <w:t xml:space="preserve"> imports</w:t>
      </w:r>
      <w:r w:rsidR="003C0D21">
        <w:t xml:space="preserve"> in</w:t>
      </w:r>
      <w:r w:rsidR="00011306">
        <w:t>to</w:t>
      </w:r>
      <w:r w:rsidR="003C0D21">
        <w:t xml:space="preserve"> the balancing authority of interest. </w:t>
      </w:r>
    </w:p>
    <w:p w14:paraId="121F1BA9" w14:textId="1FDA1841" w:rsidR="00FB5981" w:rsidRPr="003C0D21" w:rsidRDefault="003C0D21" w:rsidP="003C0D21">
      <w:pPr>
        <w:rPr>
          <w:iCs/>
        </w:rPr>
      </w:pPr>
      <w:r>
        <w:t xml:space="preserve">Mathematically, the diversity index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 </w:t>
      </w:r>
      <w:r>
        <w:rPr>
          <w:color w:val="000000"/>
        </w:rPr>
        <w:t xml:space="preserve">It can be shown that </w:t>
      </w:r>
      <m:oMath>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H</m:t>
                </m:r>
              </m:sup>
            </m:sSup>
          </m:den>
        </m:f>
      </m:oMath>
      <w:r w:rsidRPr="00953654">
        <w:rPr>
          <w:color w:val="000000"/>
        </w:rPr>
        <w:t xml:space="preserve"> is the geometric mean of the relative shares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Pr>
          <w:color w:val="000000"/>
        </w:rPr>
        <w:t xml:space="preserve"> </w:t>
      </w:r>
      <w:r>
        <w:rPr>
          <w:color w:val="000000"/>
        </w:rPr>
        <w:fldChar w:fldCharType="begin"/>
      </w:r>
      <w:r>
        <w:rPr>
          <w:color w:val="000000"/>
        </w:rPr>
        <w:instrText xml:space="preserve"> ADDIN ZOTERO_ITEM CSL_CITATION {"citationID":"1wwo2US1","properties":{"formattedCitation":"[25,26]","plainCitation":"[25,26]","noteIndex":0},"citationItems":[{"id":452,"uris":["http://zotero.org/users/9332412/items/M9FVQRWJ"],"itemData":{"id":452,"type":"article-journal","container-title":"Annual Review of Ecology, Evolution, and Systematics","DOI":"10.1146/annurev.es.05.110174.001441","ISSN":"1543-592X, 1545-2069","issue":"Volume 5, 1974","language":"en","note":"publisher: Annual Reviews","page":"285-307","source":"www.annualreviews.org","title":"The Measurement of Species Diversity","volume":"5","author":[{"family":"Peet","given":"Robert K."}],"issued":{"date-parts":[["1974",11,1]]}}},{"id":451,"uris":["http://zotero.org/users/9332412/items/VM4KSLYW"],"itemData":{"id":451,"type":"article-journal","abstract":"Three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derived.","container-title":"Ecology","DOI":"10.2307/1934352","ISSN":"1939-9170","issue":"2","language":"en","license":"© 1973 by the Ecological Society of America","note":"_eprint: https://onlinelibrary.wiley.com/doi/pdf/10.2307/1934352","page":"427-432","source":"Wiley Online Library","title":"Diversity and Evenness: A Unifying Notation and Its Consequences","title-short":"Diversity and Evenness","volume":"54","author":[{"family":"Hill","given":"M. O."}],"issued":{"date-parts":[["1973"]]}}}],"schema":"https://github.com/citation-style-language/schema/raw/master/csl-citation.json"} </w:instrText>
      </w:r>
      <w:r>
        <w:rPr>
          <w:color w:val="000000"/>
        </w:rPr>
        <w:fldChar w:fldCharType="separate"/>
      </w:r>
      <w:r w:rsidRPr="0038353F">
        <w:t>[25,26]</w:t>
      </w:r>
      <w:r>
        <w:rPr>
          <w:color w:val="000000"/>
        </w:rPr>
        <w:fldChar w:fldCharType="end"/>
      </w:r>
      <w:r>
        <w:rPr>
          <w:color w:val="000000"/>
        </w:rPr>
        <w:t xml:space="preserve">, </w:t>
      </w:r>
      <w:r w:rsidR="00DF4630">
        <w:rPr>
          <w:color w:val="000000"/>
        </w:rPr>
        <w:t xml:space="preserve">so that </w:t>
      </w:r>
      <w:r w:rsidRPr="001C163D">
        <w:rPr>
          <w:color w:val="000000"/>
        </w:rPr>
        <w:t xml:space="preserve">a relatively concentrated (less diverse)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Pr="001C163D">
        <w:rPr>
          <w:color w:val="000000"/>
        </w:rPr>
        <w:t xml:space="preserve"> set leads to a lower </w:t>
      </w:r>
      <w:r w:rsidRPr="001C163D">
        <w:rPr>
          <w:rFonts w:ascii="Cambria Math" w:eastAsia="Cambria Math" w:hAnsi="Cambria Math" w:cs="Cambria Math"/>
          <w:color w:val="000000"/>
        </w:rPr>
        <w:t>H</w:t>
      </w:r>
      <w:r w:rsidRPr="001C163D">
        <w:rPr>
          <w:color w:val="000000"/>
        </w:rPr>
        <w:t xml:space="preserve"> value.</w:t>
      </w:r>
      <w:r>
        <w:rPr>
          <w:color w:val="000000"/>
        </w:rPr>
        <w:t xml:space="preserve"> In a bookend case,</w:t>
      </w:r>
      <w:r w:rsidRPr="001C163D">
        <w:rPr>
          <w:color w:val="000000"/>
        </w:rPr>
        <w:t xml:space="preserve"> </w:t>
      </w:r>
      <w:r>
        <w:rPr>
          <w:color w:val="000000"/>
        </w:rPr>
        <w:t>i</w:t>
      </w:r>
      <w:r w:rsidRPr="001C163D">
        <w:rPr>
          <w:color w:val="000000"/>
        </w:rPr>
        <w:t xml:space="preserve">f a system’s </w:t>
      </w:r>
      <w:r w:rsidR="0059049D">
        <w:rPr>
          <w:color w:val="000000"/>
        </w:rPr>
        <w:t>imports</w:t>
      </w:r>
      <w:r w:rsidRPr="001C163D">
        <w:rPr>
          <w:color w:val="000000"/>
        </w:rPr>
        <w:t xml:space="preserve"> </w:t>
      </w:r>
      <w:r w:rsidR="0059049D">
        <w:rPr>
          <w:color w:val="000000"/>
        </w:rPr>
        <w:t xml:space="preserve">were </w:t>
      </w:r>
      <w:r w:rsidR="00D06CEB">
        <w:rPr>
          <w:color w:val="000000"/>
        </w:rPr>
        <w:t xml:space="preserve">fully </w:t>
      </w:r>
      <w:r w:rsidRPr="001C163D">
        <w:rPr>
          <w:color w:val="000000"/>
        </w:rPr>
        <w:t xml:space="preserve">served by a single </w:t>
      </w:r>
      <w:r w:rsidR="007B55FA">
        <w:rPr>
          <w:color w:val="000000"/>
        </w:rPr>
        <w:t xml:space="preserve">neighbor </w:t>
      </w:r>
      <w:r w:rsidRPr="001C163D">
        <w:rPr>
          <w:color w:val="000000"/>
        </w:rP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=1</m:t>
        </m:r>
      </m:oMath>
      <w:r w:rsidRPr="001C163D">
        <w:rPr>
          <w:color w:val="000000"/>
        </w:rPr>
        <w:t xml:space="preserve"> and all other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=0</m:t>
        </m:r>
      </m:oMath>
      <w:r w:rsidRPr="001C163D">
        <w:rPr>
          <w:color w:val="000000"/>
        </w:rPr>
        <w:t>), then</w:t>
      </w:r>
      <w:r>
        <w:rPr>
          <w:color w:val="000000"/>
        </w:rPr>
        <w:t xml:space="preserve"> the diversity metric</w:t>
      </w:r>
      <w:r w:rsidRPr="001C163D">
        <w:rPr>
          <w:color w:val="000000"/>
        </w:rPr>
        <w:t xml:space="preserve"> </w:t>
      </w:r>
      <w:r>
        <w:rPr>
          <w:color w:val="000000"/>
        </w:rPr>
        <w:t xml:space="preserve">would equal zero. </w:t>
      </w:r>
    </w:p>
    <w:p w14:paraId="6A7FB4C2" w14:textId="2402C1B5" w:rsidR="004F550E" w:rsidRDefault="003B1BD9" w:rsidP="004F550E">
      <w:pPr>
        <w:rPr>
          <w:color w:val="000000"/>
        </w:rPr>
      </w:pPr>
      <w:r>
        <w:rPr>
          <w:color w:val="000000"/>
        </w:rPr>
        <w:t xml:space="preserve">Conversely, the diversity metric </w:t>
      </w:r>
      <m:oMath>
        <m:r>
          <w:rPr>
            <w:rFonts w:ascii="Cambria Math" w:hAnsi="Cambria Math"/>
            <w:color w:val="000000"/>
          </w:rPr>
          <m:t>H</m:t>
        </m:r>
      </m:oMath>
      <w:r>
        <w:rPr>
          <w:color w:val="000000"/>
        </w:rPr>
        <w:t xml:space="preserve"> increases with more trading partners (e.g. a higher </w:t>
      </w:r>
      <m:oMath>
        <m:r>
          <w:rPr>
            <w:rFonts w:ascii="Cambria Math" w:hAnsi="Cambria Math"/>
            <w:color w:val="000000"/>
          </w:rPr>
          <m:t>n</m:t>
        </m:r>
      </m:oMath>
      <w:r>
        <w:rPr>
          <w:color w:val="000000"/>
        </w:rPr>
        <w:t>). F</w:t>
      </w:r>
      <w:r w:rsidR="00B119D8">
        <w:rPr>
          <w:color w:val="000000"/>
        </w:rPr>
        <w:t>or a</w:t>
      </w:r>
      <w:r w:rsidR="004F550E">
        <w:rPr>
          <w:color w:val="000000"/>
        </w:rPr>
        <w:t xml:space="preserve">ny </w:t>
      </w:r>
      <w:r w:rsidR="00B119D8">
        <w:rPr>
          <w:color w:val="000000"/>
        </w:rPr>
        <w:t xml:space="preserve">given set of </w:t>
      </w:r>
      <w:r w:rsidR="00D12B5B">
        <w:rPr>
          <w:color w:val="000000"/>
        </w:rPr>
        <w:t>import sources</w:t>
      </w:r>
      <w:r w:rsidR="000F3DF6">
        <w:rPr>
          <w:color w:val="000000"/>
        </w:rPr>
        <w:t xml:space="preserve"> </w:t>
      </w:r>
      <w:r w:rsidR="00227326">
        <w:rPr>
          <w:color w:val="000000"/>
        </w:rPr>
        <w:t xml:space="preserve">(e.g. holding </w:t>
      </w:r>
      <m:oMath>
        <m:r>
          <w:rPr>
            <w:rFonts w:ascii="Cambria Math" w:hAnsi="Cambria Math"/>
            <w:color w:val="000000"/>
          </w:rPr>
          <m:t>n</m:t>
        </m:r>
      </m:oMath>
      <w:r w:rsidR="00227326">
        <w:rPr>
          <w:color w:val="000000"/>
        </w:rPr>
        <w:t xml:space="preserve"> constant)</w:t>
      </w:r>
      <w:r w:rsidR="00D12B5B">
        <w:rPr>
          <w:color w:val="000000"/>
        </w:rPr>
        <w:t xml:space="preserve">, </w:t>
      </w:r>
      <w:r w:rsidR="00D13C42">
        <w:rPr>
          <w:color w:val="000000"/>
        </w:rPr>
        <w:t>the diversity metric</w:t>
      </w:r>
      <w:r w:rsidR="00B57AB9">
        <w:rPr>
          <w:color w:val="000000"/>
        </w:rPr>
        <w:t xml:space="preserve"> </w:t>
      </w:r>
      <m:oMath>
        <m:r>
          <w:rPr>
            <w:rFonts w:ascii="Cambria Math" w:hAnsi="Cambria Math"/>
            <w:color w:val="000000"/>
          </w:rPr>
          <m:t>H</m:t>
        </m:r>
      </m:oMath>
      <w:r w:rsidR="00D12B5B">
        <w:rPr>
          <w:color w:val="000000"/>
        </w:rPr>
        <w:t xml:space="preserve"> is maximized when all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D12B5B">
        <w:rPr>
          <w:color w:val="000000"/>
        </w:rPr>
        <w:t xml:space="preserve"> </w:t>
      </w:r>
      <w:r w:rsidR="00D12B5B">
        <w:rPr>
          <w:color w:val="000000"/>
        </w:rPr>
        <w:lastRenderedPageBreak/>
        <w:t>are equal</w:t>
      </w:r>
      <w:r w:rsidR="00B7346A">
        <w:rPr>
          <w:color w:val="000000"/>
        </w:rPr>
        <w:t xml:space="preserve"> (e.g.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r>
          <w:rPr>
            <w:rFonts w:ascii="Cambria Math" w:hAnsi="Cambria Math"/>
            <w:color w:val="000000"/>
          </w:rPr>
          <m:t xml:space="preserve"> ∀ i</m:t>
        </m:r>
      </m:oMath>
      <w:r w:rsidR="00E17A34">
        <w:rPr>
          <w:color w:val="000000"/>
        </w:rPr>
        <w:t>)</w:t>
      </w:r>
      <w:r w:rsidR="00B57AB9">
        <w:rPr>
          <w:color w:val="000000"/>
        </w:rPr>
        <w:t xml:space="preserve">. </w:t>
      </w:r>
      <w:r w:rsidR="00D62751">
        <w:rPr>
          <w:color w:val="000000"/>
        </w:rPr>
        <w:t xml:space="preserve">In this way, the diversity index considers the “evenness” of import sources, which is analogous to a less concentrated set of import sources. </w:t>
      </w:r>
      <w:r w:rsidR="00E86DB6">
        <w:rPr>
          <w:color w:val="000000"/>
        </w:rPr>
        <w:t xml:space="preserve">A set of “even”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B57AB9">
        <w:rPr>
          <w:color w:val="000000"/>
        </w:rPr>
        <w:t xml:space="preserve"> is</w:t>
      </w:r>
      <w:r w:rsidR="00612085">
        <w:rPr>
          <w:color w:val="000000"/>
        </w:rPr>
        <w:t xml:space="preserve"> </w:t>
      </w:r>
      <w:r w:rsidR="00E86DB6">
        <w:rPr>
          <w:color w:val="000000"/>
        </w:rPr>
        <w:t xml:space="preserve">suggests a system’s </w:t>
      </w:r>
      <w:r w:rsidR="00C3235B">
        <w:rPr>
          <w:color w:val="000000"/>
        </w:rPr>
        <w:t xml:space="preserve">imports are provided </w:t>
      </w:r>
      <w:r w:rsidR="00E86DB6">
        <w:rPr>
          <w:color w:val="000000"/>
        </w:rPr>
        <w:t xml:space="preserve">roughly </w:t>
      </w:r>
      <w:r w:rsidR="00C3235B">
        <w:rPr>
          <w:color w:val="000000"/>
        </w:rPr>
        <w:t>equally by its trading partners such that one isn’t more dominant than others</w:t>
      </w:r>
      <w:r w:rsidR="00F42BDF">
        <w:rPr>
          <w:color w:val="000000"/>
        </w:rPr>
        <w:t xml:space="preserve">, </w:t>
      </w:r>
      <w:r w:rsidR="004847F0">
        <w:rPr>
          <w:color w:val="000000"/>
        </w:rPr>
        <w:t>representing a</w:t>
      </w:r>
      <w:r w:rsidR="00F42BDF">
        <w:rPr>
          <w:color w:val="000000"/>
        </w:rPr>
        <w:t xml:space="preserve"> “diverse” import situation</w:t>
      </w:r>
      <w:r w:rsidR="00885A02">
        <w:rPr>
          <w:color w:val="000000"/>
        </w:rPr>
        <w:t>.</w:t>
      </w:r>
      <w:r w:rsidR="004F550E">
        <w:rPr>
          <w:color w:val="000000"/>
        </w:rPr>
        <w:t xml:space="preserve"> </w:t>
      </w:r>
    </w:p>
    <w:p w14:paraId="09A026B9" w14:textId="66D9CAC3" w:rsidR="004F550E" w:rsidRDefault="004F550E" w:rsidP="004F550E">
      <w:pPr>
        <w:rPr>
          <w:color w:val="000000"/>
        </w:rPr>
      </w:pPr>
      <w:r>
        <w:rPr>
          <w:color w:val="000000"/>
        </w:rPr>
        <w:t xml:space="preserve">In considering both the number of </w:t>
      </w:r>
      <w:r w:rsidR="008E08F4">
        <w:rPr>
          <w:color w:val="000000"/>
        </w:rPr>
        <w:t>import sources and the concentration of imports from a set of trading partners</w:t>
      </w:r>
      <w:r>
        <w:rPr>
          <w:color w:val="000000"/>
        </w:rPr>
        <w:t>, the Shannon diversity index provides an effective quantitative measurement of diversity of imports at the US balancing authority level for this study application.</w:t>
      </w:r>
    </w:p>
    <w:p w14:paraId="58C0F172" w14:textId="170DE08B" w:rsidR="008E0700" w:rsidRDefault="008E0700">
      <w:r>
        <w:fldChar w:fldCharType="begin"/>
      </w:r>
      <w:r>
        <w:instrText xml:space="preserve"> REF _Ref169408804 \h </w:instrText>
      </w:r>
      <w:r>
        <w:fldChar w:fldCharType="separate"/>
      </w:r>
      <w:r w:rsidR="006B3902">
        <w:t xml:space="preserve">Figure </w:t>
      </w:r>
      <w:r w:rsidR="006B3902">
        <w:rPr>
          <w:noProof/>
        </w:rPr>
        <w:t>2</w:t>
      </w:r>
      <w:r>
        <w:fldChar w:fldCharType="end"/>
      </w:r>
      <w:r>
        <w:t xml:space="preserve"> </w:t>
      </w:r>
      <w:r w:rsidR="003F5630">
        <w:t>maps the</w:t>
      </w:r>
      <w:r w:rsidR="00164476">
        <w:t xml:space="preserve"> diversity ind</w:t>
      </w:r>
      <w:r w:rsidR="00746827">
        <w:t>ices</w:t>
      </w:r>
      <w:r w:rsidR="00985532">
        <w:t xml:space="preserve"> calculated</w:t>
      </w:r>
      <w:r w:rsidR="00164476">
        <w:t xml:space="preserve"> at the </w:t>
      </w:r>
      <w:r w:rsidR="005516EF">
        <w:t xml:space="preserve">balancing-authority </w:t>
      </w:r>
      <w:r w:rsidR="00164476">
        <w:t>level across the United States.</w:t>
      </w:r>
      <w:r w:rsidR="00005AB6">
        <w:t xml:space="preserve"> It is worth noting here that the shapefile territories of balancing authorities (obtained from</w:t>
      </w:r>
      <w:r w:rsidR="00C762B3">
        <w:t xml:space="preserve"> </w:t>
      </w:r>
      <w:r w:rsidR="00C762B3">
        <w:fldChar w:fldCharType="begin"/>
      </w:r>
      <w:r w:rsidR="00C762B3">
        <w:instrText xml:space="preserve"> ADDIN ZOTERO_ITEM CSL_CITATION {"citationID":"SngZ7h9s","properties":{"formattedCitation":"[47]","plainCitation":"[47]","noteIndex":0},"citationItems":[{"id":1306,"uris":["http://zotero.org/users/9332412/items/88BRFARD"],"itemData":{"id":1306,"type":"dataset","title":"Homeland Infrastructure Foundation LEvel Database - Control Areas","URL":"https://hifld-geoplatform.hub.arcgis.com/datasets/db7622e5ebdd40428fcafbd1615d621a_0","author":[{"family":"Geospatial Management Office, U.S. Department of Homeland Security","given":""}],"issued":{"date-parts":[["2022",12]]}}}],"schema":"https://github.com/citation-style-language/schema/raw/master/csl-citation.json"} </w:instrText>
      </w:r>
      <w:r w:rsidR="00C762B3">
        <w:fldChar w:fldCharType="separate"/>
      </w:r>
      <w:r w:rsidR="00C762B3" w:rsidRPr="00C762B3">
        <w:t>[47]</w:t>
      </w:r>
      <w:r w:rsidR="00C762B3">
        <w:fldChar w:fldCharType="end"/>
      </w:r>
      <w:r w:rsidR="00005AB6">
        <w:t xml:space="preserve">) can have overlapping boundaries, where multiple BA’s share parts of the same spatial extent on the map. </w:t>
      </w:r>
      <w:r w:rsidR="001B38FE">
        <w:t xml:space="preserve">In these </w:t>
      </w:r>
      <w:r w:rsidR="00FB46C5">
        <w:t>cases,</w:t>
      </w:r>
      <w:r w:rsidR="001B38FE">
        <w:t xml:space="preserve"> t</w:t>
      </w:r>
      <w:r w:rsidR="00C762B3">
        <w:t xml:space="preserve">he darkest among </w:t>
      </w:r>
      <w:r w:rsidR="00CB1CD4">
        <w:t xml:space="preserve">the </w:t>
      </w:r>
      <w:r w:rsidR="00C762B3">
        <w:t xml:space="preserve">overlapping polygons is retained </w:t>
      </w:r>
      <w:r w:rsidR="00CB1CD4">
        <w:t>and displayed</w:t>
      </w:r>
      <w:r w:rsidR="00C762B3">
        <w:t>.</w:t>
      </w:r>
    </w:p>
    <w:p w14:paraId="1D1EAC59" w14:textId="47D12FBE" w:rsidR="00471B15" w:rsidRDefault="00005AB6" w:rsidP="00471B15">
      <w:pPr>
        <w:keepNext/>
      </w:pPr>
      <w:r>
        <w:rPr>
          <w:noProof/>
        </w:rPr>
        <w:drawing>
          <wp:inline distT="0" distB="0" distL="0" distR="0" wp14:anchorId="3F215D9F" wp14:editId="78D68D34">
            <wp:extent cx="5943600" cy="3670300"/>
            <wp:effectExtent l="0" t="0" r="0" b="6350"/>
            <wp:docPr id="302454056"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4056" name="Picture 1" descr="A map of the united states&#10;&#10;Description automatically generated"/>
                    <pic:cNvPicPr/>
                  </pic:nvPicPr>
                  <pic:blipFill>
                    <a:blip r:embed="rId10"/>
                    <a:stretch>
                      <a:fillRect/>
                    </a:stretch>
                  </pic:blipFill>
                  <pic:spPr>
                    <a:xfrm>
                      <a:off x="0" y="0"/>
                      <a:ext cx="5943600" cy="3670300"/>
                    </a:xfrm>
                    <a:prstGeom prst="rect">
                      <a:avLst/>
                    </a:prstGeom>
                  </pic:spPr>
                </pic:pic>
              </a:graphicData>
            </a:graphic>
          </wp:inline>
        </w:drawing>
      </w:r>
    </w:p>
    <w:p w14:paraId="5D7E99FD" w14:textId="20C70798" w:rsidR="00433099" w:rsidRPr="002141E6" w:rsidRDefault="00471B15" w:rsidP="002141E6">
      <w:pPr>
        <w:pStyle w:val="Caption"/>
      </w:pPr>
      <w:bookmarkStart w:id="3" w:name="_Ref169408804"/>
      <w:r>
        <w:t xml:space="preserve">Figure </w:t>
      </w:r>
      <w:fldSimple w:instr=" SEQ Figure \* ARABIC ">
        <w:r w:rsidR="006B3902">
          <w:rPr>
            <w:noProof/>
          </w:rPr>
          <w:t>2</w:t>
        </w:r>
      </w:fldSimple>
      <w:bookmarkEnd w:id="3"/>
      <w:r>
        <w:t xml:space="preserve"> </w:t>
      </w:r>
      <w:r w:rsidRPr="000B41A8">
        <w:t>Import diversity metric by U.S. Balancing Authority, 2016-2023</w:t>
      </w:r>
    </w:p>
    <w:p w14:paraId="48B8BC9E" w14:textId="4E52A450" w:rsidR="00671D70" w:rsidRDefault="00AD3BF3" w:rsidP="00E63411">
      <w:pPr>
        <w:rPr>
          <w:iCs/>
        </w:rPr>
      </w:pPr>
      <w:r>
        <w:rPr>
          <w:iCs/>
        </w:rPr>
        <w:t>The Bonneville Power Administration</w:t>
      </w:r>
      <w:r w:rsidR="00263D9B">
        <w:rPr>
          <w:iCs/>
        </w:rPr>
        <w:t xml:space="preserve"> (BPA)</w:t>
      </w:r>
      <w:r>
        <w:rPr>
          <w:iCs/>
        </w:rPr>
        <w:t>, California ISO</w:t>
      </w:r>
      <w:r w:rsidR="00263D9B">
        <w:rPr>
          <w:iCs/>
        </w:rPr>
        <w:t xml:space="preserve"> (CAISO)</w:t>
      </w:r>
      <w:r>
        <w:rPr>
          <w:iCs/>
        </w:rPr>
        <w:t xml:space="preserve">, Salt River Project </w:t>
      </w:r>
      <w:r w:rsidR="00263D9B">
        <w:rPr>
          <w:iCs/>
        </w:rPr>
        <w:t>(SRP)</w:t>
      </w:r>
      <w:r w:rsidR="005F7955">
        <w:rPr>
          <w:iCs/>
        </w:rPr>
        <w:t>, Midcontinent ISO, and Southwest Power Pool,</w:t>
      </w:r>
      <w:r w:rsidR="00263D9B">
        <w:rPr>
          <w:iCs/>
        </w:rPr>
        <w:t xml:space="preserve"> </w:t>
      </w:r>
      <w:r>
        <w:rPr>
          <w:iCs/>
        </w:rPr>
        <w:t>have the highest measured import diversity levels for US balancing authorities</w:t>
      </w:r>
      <w:r w:rsidR="00BE43A6">
        <w:rPr>
          <w:iCs/>
        </w:rPr>
        <w:t xml:space="preserve"> during the sample period</w:t>
      </w:r>
      <w:r w:rsidR="00C72692">
        <w:rPr>
          <w:iCs/>
        </w:rPr>
        <w:t>s</w:t>
      </w:r>
      <w:r>
        <w:rPr>
          <w:iCs/>
        </w:rPr>
        <w:t>.</w:t>
      </w:r>
      <w:r w:rsidR="00671D70">
        <w:rPr>
          <w:iCs/>
        </w:rPr>
        <w:t xml:space="preserve"> BPA, for example, </w:t>
      </w:r>
      <w:r w:rsidR="00D46226">
        <w:rPr>
          <w:iCs/>
        </w:rPr>
        <w:t>imports from</w:t>
      </w:r>
      <w:r w:rsidR="00671D70">
        <w:rPr>
          <w:iCs/>
        </w:rPr>
        <w:t xml:space="preserve"> 18 </w:t>
      </w:r>
      <w:r w:rsidR="00D46226">
        <w:rPr>
          <w:iCs/>
        </w:rPr>
        <w:t>different neighboring systems</w:t>
      </w:r>
      <w:r w:rsidR="00671D70">
        <w:rPr>
          <w:iCs/>
        </w:rPr>
        <w:t xml:space="preserve">. The largest shares of BPA imports come from </w:t>
      </w:r>
      <w:r w:rsidR="00133A64">
        <w:rPr>
          <w:iCs/>
        </w:rPr>
        <w:t xml:space="preserve">Northwestern Energy, followed by a handful of public utility districts. CAISO </w:t>
      </w:r>
      <w:r w:rsidR="00D46226">
        <w:rPr>
          <w:iCs/>
        </w:rPr>
        <w:t xml:space="preserve">imports from </w:t>
      </w:r>
      <w:r w:rsidR="00133A64">
        <w:rPr>
          <w:iCs/>
        </w:rPr>
        <w:t xml:space="preserve">12 </w:t>
      </w:r>
      <w:r w:rsidR="00D46226">
        <w:rPr>
          <w:iCs/>
        </w:rPr>
        <w:t>systems</w:t>
      </w:r>
      <w:r w:rsidR="00133A64">
        <w:rPr>
          <w:iCs/>
        </w:rPr>
        <w:t xml:space="preserve">, with its highest levels of imports coming from </w:t>
      </w:r>
      <w:proofErr w:type="gramStart"/>
      <w:r w:rsidR="00133A64">
        <w:rPr>
          <w:iCs/>
        </w:rPr>
        <w:t>Los</w:t>
      </w:r>
      <w:proofErr w:type="gramEnd"/>
      <w:r w:rsidR="00133A64">
        <w:rPr>
          <w:iCs/>
        </w:rPr>
        <w:t xml:space="preserve"> Angeles Department of Water and Power, followed by Bonneville Power, Salt River Project, and Arizona Public Service.</w:t>
      </w:r>
      <w:r w:rsidR="00635078">
        <w:rPr>
          <w:iCs/>
        </w:rPr>
        <w:t xml:space="preserve"> SRP </w:t>
      </w:r>
      <w:r w:rsidR="00D46226">
        <w:rPr>
          <w:iCs/>
        </w:rPr>
        <w:t xml:space="preserve">imports from </w:t>
      </w:r>
      <w:r w:rsidR="00635078">
        <w:rPr>
          <w:iCs/>
        </w:rPr>
        <w:t xml:space="preserve">8 </w:t>
      </w:r>
      <w:r w:rsidR="00D46226">
        <w:rPr>
          <w:iCs/>
        </w:rPr>
        <w:t>systems</w:t>
      </w:r>
      <w:r w:rsidR="00635078">
        <w:rPr>
          <w:iCs/>
        </w:rPr>
        <w:t>, and its import sources are relatively balanc</w:t>
      </w:r>
      <w:r w:rsidR="00B40CDF">
        <w:rPr>
          <w:iCs/>
        </w:rPr>
        <w:t>ed</w:t>
      </w:r>
      <w:r w:rsidR="00635078">
        <w:rPr>
          <w:iCs/>
        </w:rPr>
        <w:t xml:space="preserve"> across 6 of them, including WAPA Desert Southwest, Arlington Valley, Arizona Public Service, Tu</w:t>
      </w:r>
      <w:r w:rsidR="00032C4B">
        <w:rPr>
          <w:iCs/>
        </w:rPr>
        <w:t>cson Electric Power, Gridforce, and New Harquahala</w:t>
      </w:r>
      <w:r w:rsidR="00BF0F6B">
        <w:rPr>
          <w:iCs/>
        </w:rPr>
        <w:t>.</w:t>
      </w:r>
    </w:p>
    <w:p w14:paraId="0E841631" w14:textId="1BE77CA2" w:rsidR="00263D9B" w:rsidRPr="00B51E4D" w:rsidRDefault="00617B43" w:rsidP="00E63411">
      <w:pPr>
        <w:rPr>
          <w:iCs/>
        </w:rPr>
      </w:pPr>
      <w:r>
        <w:rPr>
          <w:iCs/>
        </w:rPr>
        <w:lastRenderedPageBreak/>
        <w:t>Balancing authorities with low measured diversity scores include a small handful in the Pacific Northwest, JEA in North</w:t>
      </w:r>
      <w:r w:rsidR="00E24843">
        <w:rPr>
          <w:iCs/>
        </w:rPr>
        <w:t>east</w:t>
      </w:r>
      <w:r>
        <w:rPr>
          <w:iCs/>
        </w:rPr>
        <w:t xml:space="preserve"> Florida,</w:t>
      </w:r>
      <w:r w:rsidR="00D14A0E">
        <w:rPr>
          <w:iCs/>
        </w:rPr>
        <w:t xml:space="preserve"> </w:t>
      </w:r>
      <w:r>
        <w:rPr>
          <w:iCs/>
        </w:rPr>
        <w:t>ERCOT in Texas, and Public Service Company of Colorado</w:t>
      </w:r>
      <w:r w:rsidR="00993509">
        <w:rPr>
          <w:iCs/>
        </w:rPr>
        <w:t>.</w:t>
      </w:r>
      <w:r w:rsidR="00C8406A">
        <w:rPr>
          <w:iCs/>
        </w:rPr>
        <w:t xml:space="preserve"> Those with low import diversity in the Pacific Northwest get most of their external supply from </w:t>
      </w:r>
      <w:r w:rsidR="00086A6F">
        <w:rPr>
          <w:iCs/>
        </w:rPr>
        <w:t>the Bonneville Power Authority (BPA)</w:t>
      </w:r>
      <w:r w:rsidR="00C8406A">
        <w:rPr>
          <w:iCs/>
        </w:rPr>
        <w:t>.</w:t>
      </w:r>
      <w:r w:rsidR="00216106">
        <w:rPr>
          <w:iCs/>
        </w:rPr>
        <w:t xml:space="preserve"> </w:t>
      </w:r>
      <w:r w:rsidR="00086A6F">
        <w:rPr>
          <w:iCs/>
        </w:rPr>
        <w:t xml:space="preserve">For example, </w:t>
      </w:r>
      <w:r w:rsidR="00216106">
        <w:rPr>
          <w:iCs/>
        </w:rPr>
        <w:t>Tacoma Power received over 99% of its imports from BPA during the sample period, while Portland General Electric and Seattle City Light are at 96% and 94%, respectively.</w:t>
      </w:r>
      <w:r w:rsidR="00874B37">
        <w:rPr>
          <w:iCs/>
        </w:rPr>
        <w:t xml:space="preserve"> For JEA</w:t>
      </w:r>
      <w:r w:rsidR="00EA5CE9">
        <w:rPr>
          <w:iCs/>
        </w:rPr>
        <w:t xml:space="preserve"> in Florida</w:t>
      </w:r>
      <w:r w:rsidR="00874B37">
        <w:rPr>
          <w:iCs/>
        </w:rPr>
        <w:t>, 97% of imports c</w:t>
      </w:r>
      <w:r w:rsidR="00127348">
        <w:rPr>
          <w:iCs/>
        </w:rPr>
        <w:t>a</w:t>
      </w:r>
      <w:r w:rsidR="00874B37">
        <w:rPr>
          <w:iCs/>
        </w:rPr>
        <w:t>me from Florida Power &amp; Light.</w:t>
      </w:r>
      <w:r w:rsidR="00D62B6A">
        <w:rPr>
          <w:iCs/>
        </w:rPr>
        <w:t xml:space="preserve"> Over 95% of the limited </w:t>
      </w:r>
      <w:proofErr w:type="gramStart"/>
      <w:r w:rsidR="00D62B6A">
        <w:rPr>
          <w:iCs/>
        </w:rPr>
        <w:t>amount</w:t>
      </w:r>
      <w:proofErr w:type="gramEnd"/>
      <w:r w:rsidR="00EA5CE9">
        <w:rPr>
          <w:iCs/>
        </w:rPr>
        <w:t xml:space="preserve"> of</w:t>
      </w:r>
      <w:r w:rsidR="00D62B6A">
        <w:rPr>
          <w:iCs/>
        </w:rPr>
        <w:t xml:space="preserve"> imports into ERCOT came from the Southwest Power Pool, while 93% of Public Service Company of Colorado’s imports were from Western Area Power Administration Rocky Mountain </w:t>
      </w:r>
      <w:r w:rsidR="0051123D">
        <w:rPr>
          <w:iCs/>
        </w:rPr>
        <w:t>Balancing Authority</w:t>
      </w:r>
      <w:r w:rsidR="00DC1672">
        <w:rPr>
          <w:iCs/>
        </w:rPr>
        <w:t>.</w:t>
      </w:r>
    </w:p>
    <w:p w14:paraId="4B0ABB3F" w14:textId="77777777" w:rsidR="006B3902" w:rsidRDefault="00263D9B" w:rsidP="0079338A">
      <w:pPr>
        <w:pStyle w:val="Caption"/>
        <w:keepNext/>
      </w:pPr>
      <w:r>
        <w:rPr>
          <w:i w:val="0"/>
        </w:rPr>
        <w:fldChar w:fldCharType="begin"/>
      </w:r>
      <w:r>
        <w:instrText xml:space="preserve"> REF _Ref177631128 \h </w:instrText>
      </w:r>
      <w:r>
        <w:rPr>
          <w:i w:val="0"/>
        </w:rPr>
      </w:r>
      <w:r>
        <w:rPr>
          <w:i w:val="0"/>
        </w:rPr>
        <w:fldChar w:fldCharType="separate"/>
      </w:r>
    </w:p>
    <w:p w14:paraId="75BE40EA" w14:textId="77777777" w:rsidR="006B3902" w:rsidRDefault="006B3902">
      <w:pPr>
        <w:rPr>
          <w:i/>
          <w:iCs/>
          <w:color w:val="0E2841" w:themeColor="text2"/>
          <w:sz w:val="18"/>
          <w:szCs w:val="18"/>
        </w:rPr>
      </w:pPr>
      <w:r>
        <w:br w:type="page"/>
      </w:r>
    </w:p>
    <w:p w14:paraId="10BA4D10" w14:textId="46FBE791" w:rsidR="009A335D" w:rsidRDefault="006B3902" w:rsidP="00263D9B">
      <w:pPr>
        <w:rPr>
          <w:iCs/>
        </w:rPr>
      </w:pPr>
      <w:r>
        <w:t xml:space="preserve">Table </w:t>
      </w:r>
      <w:r>
        <w:rPr>
          <w:noProof/>
        </w:rPr>
        <w:t>2</w:t>
      </w:r>
      <w:r w:rsidR="00263D9B">
        <w:rPr>
          <w:i/>
        </w:rPr>
        <w:fldChar w:fldCharType="end"/>
      </w:r>
      <w:r w:rsidR="00263D9B">
        <w:rPr>
          <w:i/>
        </w:rPr>
        <w:t xml:space="preserve"> </w:t>
      </w:r>
      <w:r w:rsidR="00263D9B">
        <w:rPr>
          <w:iCs/>
        </w:rPr>
        <w:t xml:space="preserve">in the Appendix provides diversity indices for the full sample period (2016-2023) and individually by year for </w:t>
      </w:r>
      <w:r w:rsidR="00607A65">
        <w:rPr>
          <w:iCs/>
        </w:rPr>
        <w:t>U.S. Balancing Authorities</w:t>
      </w:r>
      <w:r w:rsidR="00263D9B">
        <w:rPr>
          <w:iCs/>
        </w:rPr>
        <w:t xml:space="preserve"> with average demand greater than 500 MW. It </w:t>
      </w:r>
      <w:r w:rsidR="00B51E4D">
        <w:rPr>
          <w:iCs/>
        </w:rPr>
        <w:t xml:space="preserve">can be </w:t>
      </w:r>
      <w:r w:rsidR="00263D9B">
        <w:rPr>
          <w:iCs/>
        </w:rPr>
        <w:t>note</w:t>
      </w:r>
      <w:r w:rsidR="00B51E4D">
        <w:rPr>
          <w:iCs/>
        </w:rPr>
        <w:t>d from this table</w:t>
      </w:r>
      <w:r w:rsidR="00263D9B">
        <w:rPr>
          <w:iCs/>
        </w:rPr>
        <w:t xml:space="preserve"> that, in most cases, the diversity metric across the full sample is higher than the average diversity metric for individual years. In general, import diversity tends to be less concentrated when considered across a larger sample because system conditions and the trading dynamics with neighboring BA’s tend to change, often in a manner that improves total diversity when considered over a longer period.</w:t>
      </w:r>
    </w:p>
    <w:p w14:paraId="61A9DCA9" w14:textId="252A5C0C" w:rsidR="009A335D" w:rsidRDefault="00414CD4" w:rsidP="00263D9B">
      <w:pPr>
        <w:rPr>
          <w:iCs/>
        </w:rPr>
      </w:pPr>
      <w:r>
        <w:rPr>
          <w:iCs/>
        </w:rPr>
        <w:t xml:space="preserve">Calculating the diversity index at the </w:t>
      </w:r>
      <w:r w:rsidR="006E53D7">
        <w:rPr>
          <w:iCs/>
        </w:rPr>
        <w:t>balancing authorit</w:t>
      </w:r>
      <w:r>
        <w:rPr>
          <w:iCs/>
        </w:rPr>
        <w:t>y</w:t>
      </w:r>
      <w:r w:rsidR="006E53D7">
        <w:rPr>
          <w:iCs/>
        </w:rPr>
        <w:t xml:space="preserve"> </w:t>
      </w:r>
      <w:r w:rsidR="00716D0D">
        <w:rPr>
          <w:iCs/>
        </w:rPr>
        <w:t xml:space="preserve">is </w:t>
      </w:r>
      <w:r w:rsidR="00581951">
        <w:rPr>
          <w:iCs/>
        </w:rPr>
        <w:t xml:space="preserve">a straightforward </w:t>
      </w:r>
      <w:r w:rsidR="006313B0">
        <w:rPr>
          <w:iCs/>
        </w:rPr>
        <w:t xml:space="preserve">choice </w:t>
      </w:r>
      <w:r>
        <w:rPr>
          <w:iCs/>
        </w:rPr>
        <w:t xml:space="preserve">for </w:t>
      </w:r>
      <w:r w:rsidR="00581951">
        <w:rPr>
          <w:iCs/>
        </w:rPr>
        <w:t xml:space="preserve">this </w:t>
      </w:r>
      <w:r>
        <w:rPr>
          <w:iCs/>
        </w:rPr>
        <w:t xml:space="preserve">analysis, as </w:t>
      </w:r>
      <w:r w:rsidR="00DA21D0">
        <w:rPr>
          <w:iCs/>
        </w:rPr>
        <w:t>the U</w:t>
      </w:r>
      <w:r w:rsidR="00FF5AFB">
        <w:rPr>
          <w:iCs/>
        </w:rPr>
        <w:t>.</w:t>
      </w:r>
      <w:r w:rsidR="00DA21D0">
        <w:rPr>
          <w:iCs/>
        </w:rPr>
        <w:t>S</w:t>
      </w:r>
      <w:r w:rsidR="00FF5AFB">
        <w:rPr>
          <w:iCs/>
        </w:rPr>
        <w:t>.</w:t>
      </w:r>
      <w:r w:rsidR="00DA21D0">
        <w:rPr>
          <w:iCs/>
        </w:rPr>
        <w:t xml:space="preserve"> </w:t>
      </w:r>
      <w:r w:rsidR="00FF5AFB">
        <w:rPr>
          <w:iCs/>
        </w:rPr>
        <w:t>E</w:t>
      </w:r>
      <w:r w:rsidR="00DA21D0">
        <w:rPr>
          <w:iCs/>
        </w:rPr>
        <w:t xml:space="preserve">nergy </w:t>
      </w:r>
      <w:r w:rsidR="00FF5AFB">
        <w:rPr>
          <w:iCs/>
        </w:rPr>
        <w:t>I</w:t>
      </w:r>
      <w:r w:rsidR="00DA21D0">
        <w:rPr>
          <w:iCs/>
        </w:rPr>
        <w:t xml:space="preserve">nformation </w:t>
      </w:r>
      <w:r w:rsidR="00FF5AFB">
        <w:rPr>
          <w:iCs/>
        </w:rPr>
        <w:t>A</w:t>
      </w:r>
      <w:r w:rsidR="00DA21D0">
        <w:rPr>
          <w:iCs/>
        </w:rPr>
        <w:t xml:space="preserve">dministration </w:t>
      </w:r>
      <w:r w:rsidR="00FF5AFB">
        <w:rPr>
          <w:iCs/>
        </w:rPr>
        <w:t xml:space="preserve">tracks and reports on electric interchange </w:t>
      </w:r>
      <w:r w:rsidR="00581951">
        <w:rPr>
          <w:iCs/>
        </w:rPr>
        <w:t xml:space="preserve">at the balancing authority level </w:t>
      </w:r>
      <w:r w:rsidR="00B103BF">
        <w:rPr>
          <w:iCs/>
        </w:rPr>
        <w:fldChar w:fldCharType="begin"/>
      </w:r>
      <w:r w:rsidR="00B103BF">
        <w:rPr>
          <w:iCs/>
        </w:rPr>
        <w:instrText xml:space="preserve"> ADDIN ZOTERO_ITEM CSL_CITATION {"citationID":"FJT1Vhnd","properties":{"formattedCitation":"[48]","plainCitation":"[48]","noteIndex":0},"citationItems":[{"id":533,"uris":["http://zotero.org/users/9332412/items/JN34K6AE"],"itemData":{"id":533,"type":"article-journal","container-title":"https://www.eia.gov/electricity/gridmonitor/","title":"Hourly Electric Grid Monitor","author":[{"literal":"U.S. Energy Information Administration"}]}}],"schema":"https://github.com/citation-style-language/schema/raw/master/csl-citation.json"} </w:instrText>
      </w:r>
      <w:r w:rsidR="00B103BF">
        <w:rPr>
          <w:iCs/>
        </w:rPr>
        <w:fldChar w:fldCharType="separate"/>
      </w:r>
      <w:r w:rsidR="00B103BF" w:rsidRPr="00B103BF">
        <w:t>[48]</w:t>
      </w:r>
      <w:r w:rsidR="00B103BF">
        <w:rPr>
          <w:iCs/>
        </w:rPr>
        <w:fldChar w:fldCharType="end"/>
      </w:r>
      <w:r w:rsidR="00FF5AFB">
        <w:rPr>
          <w:iCs/>
        </w:rPr>
        <w:t>.</w:t>
      </w:r>
      <w:r w:rsidR="000062B5">
        <w:rPr>
          <w:iCs/>
        </w:rPr>
        <w:t xml:space="preserve"> The</w:t>
      </w:r>
      <w:r w:rsidR="00A869F2">
        <w:rPr>
          <w:iCs/>
        </w:rPr>
        <w:t>se</w:t>
      </w:r>
      <w:r w:rsidR="000062B5">
        <w:rPr>
          <w:iCs/>
        </w:rPr>
        <w:t xml:space="preserve"> results provide</w:t>
      </w:r>
      <w:r w:rsidR="006313B0">
        <w:rPr>
          <w:iCs/>
        </w:rPr>
        <w:t xml:space="preserve"> a starting point to begin to understand diversity of imports across relevant control areas in the United States</w:t>
      </w:r>
      <w:r w:rsidR="008628DB">
        <w:rPr>
          <w:iCs/>
        </w:rPr>
        <w:t xml:space="preserve"> for high-level comparisons</w:t>
      </w:r>
      <w:r w:rsidR="006313B0">
        <w:rPr>
          <w:iCs/>
        </w:rPr>
        <w:t xml:space="preserve">. However, </w:t>
      </w:r>
      <w:r w:rsidR="008628DB">
        <w:rPr>
          <w:iCs/>
        </w:rPr>
        <w:t xml:space="preserve">sweeping conclusions </w:t>
      </w:r>
      <w:r w:rsidR="00D95139">
        <w:rPr>
          <w:iCs/>
        </w:rPr>
        <w:t xml:space="preserve">for any individual balancing authority based on these results should be avoided, and more scrutiny and analysis of local situations should be conducted </w:t>
      </w:r>
      <w:r w:rsidR="00F76057">
        <w:rPr>
          <w:iCs/>
        </w:rPr>
        <w:t xml:space="preserve">prior to making policy or business decisions for any individual regions. </w:t>
      </w:r>
    </w:p>
    <w:p w14:paraId="7EB6EDFC" w14:textId="6A03FAD5" w:rsidR="00010318" w:rsidRDefault="005276FF" w:rsidP="00263D9B">
      <w:pPr>
        <w:rPr>
          <w:iCs/>
        </w:rPr>
      </w:pPr>
      <w:r>
        <w:rPr>
          <w:iCs/>
        </w:rPr>
        <w:t>Balancing authorities</w:t>
      </w:r>
      <w:r w:rsidR="00936AE0">
        <w:rPr>
          <w:iCs/>
        </w:rPr>
        <w:t xml:space="preserve"> </w:t>
      </w:r>
      <w:r w:rsidR="00E60149">
        <w:rPr>
          <w:iCs/>
        </w:rPr>
        <w:t xml:space="preserve">vary widely in size across the United States, ranging from </w:t>
      </w:r>
      <w:r w:rsidR="009555AA">
        <w:rPr>
          <w:iCs/>
        </w:rPr>
        <w:t>over 9 GW of average demand in PJM to</w:t>
      </w:r>
      <w:r w:rsidR="00F64471">
        <w:rPr>
          <w:iCs/>
        </w:rPr>
        <w:t xml:space="preserve"> less than 50 MW for </w:t>
      </w:r>
      <w:r w:rsidR="003E26E0">
        <w:rPr>
          <w:iCs/>
        </w:rPr>
        <w:t>the NERC-certified electric balancing authority of New Smyrna Beach</w:t>
      </w:r>
      <w:r w:rsidR="0080207B">
        <w:rPr>
          <w:iCs/>
        </w:rPr>
        <w:t>, a surfers’ hub</w:t>
      </w:r>
      <w:r w:rsidR="003E26E0">
        <w:rPr>
          <w:iCs/>
        </w:rPr>
        <w:t xml:space="preserve"> in </w:t>
      </w:r>
      <w:r w:rsidR="0080207B">
        <w:rPr>
          <w:iCs/>
        </w:rPr>
        <w:t xml:space="preserve">eastern </w:t>
      </w:r>
      <w:r w:rsidR="003E26E0">
        <w:rPr>
          <w:iCs/>
        </w:rPr>
        <w:t>Florida.</w:t>
      </w:r>
      <w:r w:rsidR="00C57053">
        <w:rPr>
          <w:iCs/>
        </w:rPr>
        <w:t xml:space="preserve"> There are also several generation-only BAs</w:t>
      </w:r>
      <w:r w:rsidR="002B77BF">
        <w:rPr>
          <w:iCs/>
        </w:rPr>
        <w:t xml:space="preserve"> that serve no load, </w:t>
      </w:r>
      <w:r w:rsidR="006B3434">
        <w:rPr>
          <w:iCs/>
        </w:rPr>
        <w:t xml:space="preserve">consisting of </w:t>
      </w:r>
      <w:r w:rsidR="00E93479">
        <w:rPr>
          <w:iCs/>
        </w:rPr>
        <w:t>power plant owners</w:t>
      </w:r>
      <w:r w:rsidR="006B3434">
        <w:rPr>
          <w:iCs/>
        </w:rPr>
        <w:t xml:space="preserve"> </w:t>
      </w:r>
      <w:r w:rsidR="00850184">
        <w:rPr>
          <w:iCs/>
        </w:rPr>
        <w:t xml:space="preserve">who </w:t>
      </w:r>
      <w:r w:rsidR="006B3434">
        <w:rPr>
          <w:iCs/>
        </w:rPr>
        <w:t xml:space="preserve">made the business decision to </w:t>
      </w:r>
      <w:r w:rsidR="00A330CF">
        <w:rPr>
          <w:iCs/>
        </w:rPr>
        <w:t>provide their own</w:t>
      </w:r>
      <w:r w:rsidR="006B3434">
        <w:rPr>
          <w:iCs/>
        </w:rPr>
        <w:t xml:space="preserve"> </w:t>
      </w:r>
      <w:r w:rsidR="00A330CF">
        <w:rPr>
          <w:iCs/>
        </w:rPr>
        <w:t xml:space="preserve">required </w:t>
      </w:r>
      <w:r w:rsidR="006B3434">
        <w:rPr>
          <w:iCs/>
        </w:rPr>
        <w:t xml:space="preserve">reliability services rather than purchase them from and integrate into </w:t>
      </w:r>
      <w:r w:rsidR="00031FF4">
        <w:rPr>
          <w:iCs/>
        </w:rPr>
        <w:t>an available pre-</w:t>
      </w:r>
      <w:r w:rsidR="009344FA">
        <w:rPr>
          <w:iCs/>
        </w:rPr>
        <w:t xml:space="preserve">existing </w:t>
      </w:r>
      <w:r w:rsidR="003A26FB">
        <w:rPr>
          <w:iCs/>
        </w:rPr>
        <w:t xml:space="preserve">balancing authority </w:t>
      </w:r>
      <w:r w:rsidR="00031FF4">
        <w:rPr>
          <w:iCs/>
        </w:rPr>
        <w:t xml:space="preserve">in </w:t>
      </w:r>
      <w:r w:rsidR="003A26FB">
        <w:rPr>
          <w:iCs/>
        </w:rPr>
        <w:t>their territory</w:t>
      </w:r>
      <w:r w:rsidR="00031FF4">
        <w:rPr>
          <w:iCs/>
        </w:rPr>
        <w:t xml:space="preserve"> </w:t>
      </w:r>
      <w:r w:rsidR="002D4BEA">
        <w:rPr>
          <w:iCs/>
        </w:rPr>
        <w:fldChar w:fldCharType="begin"/>
      </w:r>
      <w:r w:rsidR="002D4BEA">
        <w:rPr>
          <w:iCs/>
        </w:rPr>
        <w:instrText xml:space="preserve"> ADDIN ZOTERO_ITEM CSL_CITATION {"citationID":"6VKpKGoC","properties":{"formattedCitation":"[49]","plainCitation":"[49]","noteIndex":0},"citationItems":[{"id":505,"uris":["http://zotero.org/users/9332412/items/ETVPADP5"],"itemData":{"id":505,"type":"article-journal","abstract":"The introduction of new power generation, including intermittent resources, into the North American electric grid is exposing the fact that the traditional approach to resource integration is not necessarily cost-effective. At the forefront of analysis is the electric balancing authority; the functional structure that is responsible for maintaining the continuous balance of the demand for and supply of electric power. Electric balancing authorities perform this function according to standards developed by the North American Electric Reliability Corporation and the Federal Energy Regulatory Commission. These services can significantly affect the cost of power. Rather than blindly purchasing balancing services from the local balancing authority, power generators and loads are proactively affecting their cost structure by purchasing balancing services from an adjacent balancing authority or forming a separate balancing authority and self-supplying services. These options do not undermine reliability and the cost controls enabled by competition ensure efficient resource integration.","container-title":"Washington Journal of Environmental Law &amp; Policy","title":"Maintaining A Balance: Innovation in Power System Balancing Authorities","author":[{"family":"Mclellan","given":"Malcolm"},{"family":"Opatrny","given":"Carol"}],"issued":{"date-parts":[["2011"]]}}}],"schema":"https://github.com/citation-style-language/schema/raw/master/csl-citation.json"} </w:instrText>
      </w:r>
      <w:r w:rsidR="002D4BEA">
        <w:rPr>
          <w:iCs/>
        </w:rPr>
        <w:fldChar w:fldCharType="separate"/>
      </w:r>
      <w:r w:rsidR="002D4BEA" w:rsidRPr="002D4BEA">
        <w:t>[49]</w:t>
      </w:r>
      <w:r w:rsidR="002D4BEA">
        <w:rPr>
          <w:iCs/>
        </w:rPr>
        <w:fldChar w:fldCharType="end"/>
      </w:r>
      <w:r w:rsidR="00010318">
        <w:rPr>
          <w:iCs/>
        </w:rPr>
        <w:t xml:space="preserve">. </w:t>
      </w:r>
    </w:p>
    <w:p w14:paraId="317BF8FC" w14:textId="49D37498" w:rsidR="00F76057" w:rsidRDefault="003F792F" w:rsidP="00263D9B">
      <w:pPr>
        <w:rPr>
          <w:iCs/>
        </w:rPr>
      </w:pPr>
      <w:r>
        <w:rPr>
          <w:iCs/>
        </w:rPr>
        <w:t xml:space="preserve">Some large </w:t>
      </w:r>
      <w:r w:rsidR="005C3501">
        <w:rPr>
          <w:iCs/>
        </w:rPr>
        <w:t>balancing authorities</w:t>
      </w:r>
      <w:r>
        <w:rPr>
          <w:iCs/>
        </w:rPr>
        <w:t xml:space="preserve"> in this analysis</w:t>
      </w:r>
      <w:r w:rsidR="00AD0771">
        <w:rPr>
          <w:iCs/>
        </w:rPr>
        <w:t xml:space="preserve"> consist of</w:t>
      </w:r>
      <w:r>
        <w:rPr>
          <w:iCs/>
        </w:rPr>
        <w:t xml:space="preserve"> several </w:t>
      </w:r>
      <w:r w:rsidR="00F17ABA">
        <w:rPr>
          <w:iCs/>
        </w:rPr>
        <w:t>local systems</w:t>
      </w:r>
      <w:r w:rsidR="00DA63D1">
        <w:rPr>
          <w:iCs/>
        </w:rPr>
        <w:t>,</w:t>
      </w:r>
      <w:r w:rsidR="00F17ABA">
        <w:rPr>
          <w:iCs/>
        </w:rPr>
        <w:t xml:space="preserve"> </w:t>
      </w:r>
      <w:r>
        <w:rPr>
          <w:iCs/>
        </w:rPr>
        <w:t xml:space="preserve">which may be a more </w:t>
      </w:r>
      <w:r w:rsidR="00625747">
        <w:rPr>
          <w:iCs/>
        </w:rPr>
        <w:t xml:space="preserve">suitable </w:t>
      </w:r>
      <w:r>
        <w:rPr>
          <w:iCs/>
        </w:rPr>
        <w:t xml:space="preserve">unit of analysis to compare with other small </w:t>
      </w:r>
      <w:r w:rsidR="00F72FB0">
        <w:rPr>
          <w:iCs/>
        </w:rPr>
        <w:t>balancing authorities</w:t>
      </w:r>
      <w:r>
        <w:rPr>
          <w:iCs/>
        </w:rPr>
        <w:t xml:space="preserve">. For example, </w:t>
      </w:r>
      <w:r w:rsidR="00404EEB">
        <w:rPr>
          <w:iCs/>
        </w:rPr>
        <w:t>MISO</w:t>
      </w:r>
      <w:r w:rsidR="009B35B3">
        <w:rPr>
          <w:iCs/>
        </w:rPr>
        <w:t xml:space="preserve"> is a balancing authority which</w:t>
      </w:r>
      <w:r w:rsidR="00404EEB">
        <w:rPr>
          <w:iCs/>
        </w:rPr>
        <w:t xml:space="preserve"> has many “local balancing authorities” (LBAs)</w:t>
      </w:r>
      <w:r w:rsidR="00252937">
        <w:rPr>
          <w:iCs/>
        </w:rPr>
        <w:t>, many of which are electric operating companies roughly comparable to</w:t>
      </w:r>
      <w:r w:rsidR="001A53F8">
        <w:rPr>
          <w:iCs/>
        </w:rPr>
        <w:t xml:space="preserve"> </w:t>
      </w:r>
      <w:r w:rsidR="00BF5F8C">
        <w:rPr>
          <w:iCs/>
        </w:rPr>
        <w:t>balancing authorities</w:t>
      </w:r>
      <w:r w:rsidR="00252937">
        <w:rPr>
          <w:iCs/>
        </w:rPr>
        <w:t xml:space="preserve"> </w:t>
      </w:r>
      <w:r w:rsidR="007C0434">
        <w:rPr>
          <w:iCs/>
        </w:rPr>
        <w:t>outside of regional transmission organization</w:t>
      </w:r>
      <w:r w:rsidR="00BF5F8C">
        <w:rPr>
          <w:iCs/>
        </w:rPr>
        <w:t>s</w:t>
      </w:r>
      <w:r w:rsidR="000219A8">
        <w:rPr>
          <w:iCs/>
        </w:rPr>
        <w:t>. However,</w:t>
      </w:r>
      <w:r w:rsidR="00C2595F">
        <w:rPr>
          <w:iCs/>
        </w:rPr>
        <w:t xml:space="preserve"> </w:t>
      </w:r>
      <w:r w:rsidR="000219A8">
        <w:rPr>
          <w:iCs/>
        </w:rPr>
        <w:t xml:space="preserve">electricity </w:t>
      </w:r>
      <w:r w:rsidR="005F3832">
        <w:rPr>
          <w:iCs/>
        </w:rPr>
        <w:t>trade</w:t>
      </w:r>
      <w:r w:rsidR="00C2595F">
        <w:rPr>
          <w:iCs/>
        </w:rPr>
        <w:t xml:space="preserve"> </w:t>
      </w:r>
      <w:r w:rsidR="000219A8">
        <w:rPr>
          <w:iCs/>
        </w:rPr>
        <w:t xml:space="preserve">data are </w:t>
      </w:r>
      <w:r w:rsidR="00C2595F">
        <w:rPr>
          <w:iCs/>
        </w:rPr>
        <w:t xml:space="preserve">not available at </w:t>
      </w:r>
      <w:r w:rsidR="000219A8">
        <w:rPr>
          <w:iCs/>
        </w:rPr>
        <w:t xml:space="preserve">the LBA </w:t>
      </w:r>
      <w:r w:rsidR="00C2595F">
        <w:rPr>
          <w:iCs/>
        </w:rPr>
        <w:t>level.</w:t>
      </w:r>
      <w:r w:rsidR="00DE4C7D">
        <w:rPr>
          <w:iCs/>
        </w:rPr>
        <w:t xml:space="preserve"> Thus, </w:t>
      </w:r>
      <w:r w:rsidR="00454DBD">
        <w:rPr>
          <w:iCs/>
        </w:rPr>
        <w:t xml:space="preserve">additional analysis </w:t>
      </w:r>
      <w:r w:rsidR="00464C19">
        <w:rPr>
          <w:iCs/>
        </w:rPr>
        <w:t xml:space="preserve">that dives </w:t>
      </w:r>
      <w:r w:rsidR="00A637DF">
        <w:rPr>
          <w:iCs/>
        </w:rPr>
        <w:t xml:space="preserve">deeper </w:t>
      </w:r>
      <w:r w:rsidR="00464C19">
        <w:rPr>
          <w:iCs/>
        </w:rPr>
        <w:t xml:space="preserve">into </w:t>
      </w:r>
      <w:r w:rsidR="00A637DF">
        <w:rPr>
          <w:iCs/>
        </w:rPr>
        <w:t xml:space="preserve">local systems </w:t>
      </w:r>
      <w:r w:rsidR="00454DBD">
        <w:rPr>
          <w:iCs/>
        </w:rPr>
        <w:t xml:space="preserve">of interest is important </w:t>
      </w:r>
      <w:r w:rsidR="000A193A">
        <w:rPr>
          <w:iCs/>
        </w:rPr>
        <w:t xml:space="preserve">to </w:t>
      </w:r>
      <w:r w:rsidR="00A637DF">
        <w:rPr>
          <w:iCs/>
        </w:rPr>
        <w:t xml:space="preserve">reflect </w:t>
      </w:r>
      <w:r w:rsidR="00DE138E">
        <w:rPr>
          <w:iCs/>
        </w:rPr>
        <w:t xml:space="preserve">the </w:t>
      </w:r>
      <w:r w:rsidR="0077196C">
        <w:rPr>
          <w:iCs/>
        </w:rPr>
        <w:t xml:space="preserve">varying characteristics of </w:t>
      </w:r>
      <w:r w:rsidR="000A193A">
        <w:rPr>
          <w:iCs/>
        </w:rPr>
        <w:t>balancing authorities across the industry</w:t>
      </w:r>
      <w:r w:rsidR="0077196C">
        <w:rPr>
          <w:iCs/>
        </w:rPr>
        <w:t>.</w:t>
      </w:r>
    </w:p>
    <w:p w14:paraId="5D2E80D5" w14:textId="7ACFD81C" w:rsidR="00E1458F" w:rsidRDefault="0080747C" w:rsidP="00454DBD">
      <w:pPr>
        <w:pStyle w:val="Heading1"/>
      </w:pPr>
      <w:r>
        <w:lastRenderedPageBreak/>
        <w:t>Considering</w:t>
      </w:r>
      <w:r w:rsidR="00A85FAE">
        <w:t xml:space="preserve"> </w:t>
      </w:r>
      <w:r w:rsidR="00760CEF">
        <w:t xml:space="preserve">Electricity </w:t>
      </w:r>
      <w:r w:rsidR="00766113">
        <w:t xml:space="preserve">Import Reliance and Diversity </w:t>
      </w:r>
      <w:r>
        <w:t>Jointly</w:t>
      </w:r>
    </w:p>
    <w:p w14:paraId="5750FBFB" w14:textId="77777777" w:rsidR="006B3902" w:rsidRDefault="00CC60FF" w:rsidP="0079338A">
      <w:pPr>
        <w:pStyle w:val="Caption"/>
        <w:keepNext/>
      </w:pPr>
      <w:r>
        <w:t xml:space="preserve">One pattern </w:t>
      </w:r>
      <w:r w:rsidR="00E1458F">
        <w:t xml:space="preserve">observed in the results </w:t>
      </w:r>
      <w:r w:rsidR="00572FF6">
        <w:t xml:space="preserve">from </w:t>
      </w:r>
      <w:r w:rsidR="009C0BE6">
        <w:t xml:space="preserve">Appendix </w:t>
      </w:r>
      <w:r w:rsidR="00E1458F">
        <w:fldChar w:fldCharType="begin"/>
      </w:r>
      <w:r w:rsidR="00E1458F">
        <w:instrText xml:space="preserve"> REF _Ref177631128 \h </w:instrText>
      </w:r>
      <w:r w:rsidR="00E1458F">
        <w:fldChar w:fldCharType="separate"/>
      </w:r>
    </w:p>
    <w:p w14:paraId="58DFB24F" w14:textId="77777777" w:rsidR="006B3902" w:rsidRDefault="006B3902">
      <w:pPr>
        <w:rPr>
          <w:i/>
          <w:iCs/>
          <w:color w:val="0E2841" w:themeColor="text2"/>
          <w:sz w:val="18"/>
          <w:szCs w:val="18"/>
        </w:rPr>
      </w:pPr>
      <w:r>
        <w:br w:type="page"/>
      </w:r>
    </w:p>
    <w:p w14:paraId="22969473" w14:textId="5C962BA7" w:rsidR="00CC60FF" w:rsidRDefault="006B3902">
      <w:r>
        <w:t xml:space="preserve">Table </w:t>
      </w:r>
      <w:r>
        <w:rPr>
          <w:noProof/>
        </w:rPr>
        <w:t>2</w:t>
      </w:r>
      <w:r w:rsidR="00E1458F">
        <w:fldChar w:fldCharType="end"/>
      </w:r>
      <w:r w:rsidR="004C104C">
        <w:t xml:space="preserve"> </w:t>
      </w:r>
      <w:r w:rsidR="00F14B52">
        <w:t xml:space="preserve">is a correlation between a balancing authority’s size and its diversity </w:t>
      </w:r>
      <w:r w:rsidR="00793074">
        <w:t>index</w:t>
      </w:r>
      <w:r w:rsidR="00F14B52">
        <w:t>.</w:t>
      </w:r>
      <w:r w:rsidR="00CC2ECB">
        <w:rPr>
          <w:rStyle w:val="FootnoteReference"/>
        </w:rPr>
        <w:footnoteReference w:id="1"/>
      </w:r>
      <w:r w:rsidR="00F14B52">
        <w:t xml:space="preserve"> </w:t>
      </w:r>
      <w:r w:rsidR="00910705">
        <w:t>L</w:t>
      </w:r>
      <w:r w:rsidR="001A50A4">
        <w:t xml:space="preserve">arger </w:t>
      </w:r>
      <w:r w:rsidR="00625F61">
        <w:t>systems</w:t>
      </w:r>
      <w:r w:rsidR="001A50A4">
        <w:t xml:space="preserve"> tend to have </w:t>
      </w:r>
      <w:r w:rsidR="0018723C">
        <w:t xml:space="preserve">higher numbers of trading partners to import from, contributing to a larger diversity </w:t>
      </w:r>
      <w:r w:rsidR="00BA3941">
        <w:t>index</w:t>
      </w:r>
      <w:r w:rsidR="0018723C">
        <w:t xml:space="preserve">. </w:t>
      </w:r>
      <w:r w:rsidR="00F53522">
        <w:t>Furthermore (and perhaps relatedly)</w:t>
      </w:r>
      <w:r w:rsidR="00082A64">
        <w:t xml:space="preserve"> </w:t>
      </w:r>
      <w:r w:rsidR="00F53522">
        <w:t xml:space="preserve">some large </w:t>
      </w:r>
      <w:r w:rsidR="00625F61">
        <w:t>balancing authorities</w:t>
      </w:r>
      <w:r w:rsidR="00082A64">
        <w:t xml:space="preserve"> with higher diversity</w:t>
      </w:r>
      <w:r w:rsidR="00380A24">
        <w:t xml:space="preserve"> </w:t>
      </w:r>
      <w:r w:rsidR="00935056">
        <w:t>have low import reliance</w:t>
      </w:r>
      <w:r w:rsidR="00F87278">
        <w:t xml:space="preserve">. Bonneville Power Administration, Salt River Project, </w:t>
      </w:r>
      <w:r w:rsidR="00D72422">
        <w:t xml:space="preserve">Southwest Power Pool, and PJM are among the </w:t>
      </w:r>
      <w:r w:rsidR="00A50358">
        <w:t xml:space="preserve">strongest examples of </w:t>
      </w:r>
      <w:r w:rsidR="00F621A4">
        <w:t>systems with</w:t>
      </w:r>
      <w:r w:rsidR="005F65E9">
        <w:t xml:space="preserve"> high </w:t>
      </w:r>
      <w:r w:rsidR="00A87C09">
        <w:t xml:space="preserve">import </w:t>
      </w:r>
      <w:r w:rsidR="005F65E9">
        <w:t xml:space="preserve">diversity but </w:t>
      </w:r>
      <w:r w:rsidR="00BD1A23">
        <w:t>minimal import reliance</w:t>
      </w:r>
      <w:r w:rsidR="00A50358">
        <w:t>, though there are other examples as well.</w:t>
      </w:r>
      <w:r w:rsidR="005F67C3">
        <w:t xml:space="preserve"> </w:t>
      </w:r>
      <w:r w:rsidR="0023626F">
        <w:t xml:space="preserve">Across </w:t>
      </w:r>
      <w:r w:rsidR="004A7ACA">
        <w:t>all U.S. balancing authorities</w:t>
      </w:r>
      <w:r w:rsidR="0023626F">
        <w:t>, t</w:t>
      </w:r>
      <w:r w:rsidR="00323D57">
        <w:t>he correlation between import diversity and reliance is -0.42.</w:t>
      </w:r>
    </w:p>
    <w:p w14:paraId="6239C776" w14:textId="429D68CD" w:rsidR="00D426C8" w:rsidRDefault="008E5BBD">
      <w:r>
        <w:t>In cases</w:t>
      </w:r>
      <w:r w:rsidR="000B56B7">
        <w:t xml:space="preserve"> like the above examples</w:t>
      </w:r>
      <w:r>
        <w:t xml:space="preserve"> where import reliance is low</w:t>
      </w:r>
      <w:r w:rsidR="00D34A00">
        <w:t xml:space="preserve">, diversity may be of less concern to an electric company or policymaker </w:t>
      </w:r>
      <w:r w:rsidR="00876E47">
        <w:t xml:space="preserve">from a reliability perspective because </w:t>
      </w:r>
      <w:r w:rsidR="007D1134">
        <w:t xml:space="preserve">local supply </w:t>
      </w:r>
      <w:r w:rsidR="00D3693E">
        <w:t xml:space="preserve">dispatchable by </w:t>
      </w:r>
      <w:r w:rsidR="007D1134">
        <w:t xml:space="preserve">the </w:t>
      </w:r>
      <w:r w:rsidR="00D3693E">
        <w:t>system operator</w:t>
      </w:r>
      <w:r w:rsidR="007D1134">
        <w:t xml:space="preserve"> </w:t>
      </w:r>
      <w:r w:rsidR="004E16E1">
        <w:t>serves a large share of demand.</w:t>
      </w:r>
      <w:r w:rsidR="001D6C5D">
        <w:t xml:space="preserve"> Conversely, </w:t>
      </w:r>
      <w:r w:rsidR="00034B04">
        <w:t xml:space="preserve">diversity may be more important for systems </w:t>
      </w:r>
      <w:r w:rsidR="0062268B">
        <w:t>with high levels of imports</w:t>
      </w:r>
      <w:r w:rsidR="001202B9">
        <w:t xml:space="preserve">. An electricity system that relies heavily on imports could </w:t>
      </w:r>
      <w:r w:rsidR="00294DE9">
        <w:t xml:space="preserve">have a higher risk </w:t>
      </w:r>
      <w:r w:rsidR="001202B9">
        <w:t xml:space="preserve">of </w:t>
      </w:r>
      <w:proofErr w:type="gramStart"/>
      <w:r w:rsidR="001202B9">
        <w:t>a supply</w:t>
      </w:r>
      <w:proofErr w:type="gramEnd"/>
      <w:r w:rsidR="001202B9">
        <w:t xml:space="preserve"> disruption if they rely on a less diverse set of </w:t>
      </w:r>
      <w:r w:rsidR="006D3286">
        <w:t>imports concentrated amongst a smaller set of trading partners</w:t>
      </w:r>
      <w:r w:rsidR="00B16EFA">
        <w:t>.</w:t>
      </w:r>
    </w:p>
    <w:p w14:paraId="5F3ACB6B" w14:textId="60C5FBE3" w:rsidR="00DB165F" w:rsidRPr="007829EA" w:rsidRDefault="00384058">
      <w:r>
        <w:t xml:space="preserve">Consider </w:t>
      </w:r>
      <w:r>
        <w:fldChar w:fldCharType="begin"/>
      </w:r>
      <w:r>
        <w:instrText xml:space="preserve"> REF _Ref179539912 \h </w:instrText>
      </w:r>
      <w:r>
        <w:fldChar w:fldCharType="separate"/>
      </w:r>
      <w:r w:rsidR="006B3902">
        <w:t xml:space="preserve">Figure </w:t>
      </w:r>
      <w:r w:rsidR="006B3902">
        <w:rPr>
          <w:noProof/>
        </w:rPr>
        <w:t>3</w:t>
      </w:r>
      <w:r>
        <w:fldChar w:fldCharType="end"/>
      </w:r>
      <w:r w:rsidR="008616C3">
        <w:t xml:space="preserve">, which includes a scatterplot of import reliance versus import diversity for each US balancing authority. </w:t>
      </w:r>
      <w:r w:rsidR="000A0545">
        <w:t xml:space="preserve">In this sample, among </w:t>
      </w:r>
      <w:r w:rsidR="00D12440">
        <w:t xml:space="preserve">the </w:t>
      </w:r>
      <w:r w:rsidR="009672C5">
        <w:t>balancing authorities</w:t>
      </w:r>
      <w:r w:rsidR="00D12440">
        <w:t xml:space="preserve"> with low import reliance there is wide variation in </w:t>
      </w:r>
      <w:r w:rsidR="000A0545">
        <w:t>the corresponding diversity</w:t>
      </w:r>
      <w:r w:rsidR="00120921">
        <w:t xml:space="preserve">, </w:t>
      </w:r>
      <w:r w:rsidR="003B6D57">
        <w:t>categorized</w:t>
      </w:r>
      <w:r w:rsidR="00120921">
        <w:t xml:space="preserve"> in </w:t>
      </w:r>
      <w:r w:rsidR="003B6D57">
        <w:t>blue</w:t>
      </w:r>
      <w:r w:rsidR="0083126B">
        <w:t xml:space="preserve">. </w:t>
      </w:r>
      <w:r w:rsidR="00EE0533">
        <w:t>On average, d</w:t>
      </w:r>
      <w:r w:rsidR="0083126B">
        <w:t xml:space="preserve">iversity may be less important to the overall system for the BAs in the blue region relative to others. </w:t>
      </w:r>
      <w:r w:rsidR="00CD2F9C">
        <w:t xml:space="preserve">A diverse set of imports may be more important </w:t>
      </w:r>
      <w:r w:rsidR="0056732B">
        <w:t>for systems with higher levels of import reliance</w:t>
      </w:r>
      <w:r w:rsidR="00C56709">
        <w:t xml:space="preserve"> (the green region). Conversely,</w:t>
      </w:r>
      <w:r w:rsidR="000F5131">
        <w:t xml:space="preserve"> a system highly reliant </w:t>
      </w:r>
      <w:r w:rsidR="00222046">
        <w:t xml:space="preserve">on </w:t>
      </w:r>
      <w:r w:rsidR="00E363E7">
        <w:t xml:space="preserve">a concentrated (less diverse) </w:t>
      </w:r>
      <w:r w:rsidR="00C56709">
        <w:t>set of imports may be more susceptible to reliability issues (red region).</w:t>
      </w:r>
    </w:p>
    <w:p w14:paraId="106CCEC6" w14:textId="77777777" w:rsidR="00D426C8" w:rsidRDefault="00D426C8" w:rsidP="00D426C8">
      <w:pPr>
        <w:keepNext/>
      </w:pPr>
      <w:r>
        <w:rPr>
          <w:noProof/>
        </w:rPr>
        <w:lastRenderedPageBreak/>
        <w:drawing>
          <wp:inline distT="0" distB="0" distL="0" distR="0" wp14:anchorId="5427C070" wp14:editId="58D65515">
            <wp:extent cx="3771900" cy="2419497"/>
            <wp:effectExtent l="0" t="0" r="0" b="0"/>
            <wp:docPr id="150368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2293" name=""/>
                    <pic:cNvPicPr/>
                  </pic:nvPicPr>
                  <pic:blipFill>
                    <a:blip r:embed="rId11"/>
                    <a:stretch>
                      <a:fillRect/>
                    </a:stretch>
                  </pic:blipFill>
                  <pic:spPr>
                    <a:xfrm>
                      <a:off x="0" y="0"/>
                      <a:ext cx="3777832" cy="2423302"/>
                    </a:xfrm>
                    <a:prstGeom prst="rect">
                      <a:avLst/>
                    </a:prstGeom>
                  </pic:spPr>
                </pic:pic>
              </a:graphicData>
            </a:graphic>
          </wp:inline>
        </w:drawing>
      </w:r>
    </w:p>
    <w:p w14:paraId="42A57FA7" w14:textId="72F83829" w:rsidR="00D426C8" w:rsidRPr="00D16FB2" w:rsidRDefault="00D426C8" w:rsidP="00D426C8">
      <w:pPr>
        <w:pStyle w:val="Caption"/>
      </w:pPr>
      <w:bookmarkStart w:id="4" w:name="_Ref179539912"/>
      <w:r>
        <w:t xml:space="preserve">Figure </w:t>
      </w:r>
      <w:fldSimple w:instr=" SEQ Figure \* ARABIC ">
        <w:r w:rsidR="006B3902">
          <w:rPr>
            <w:noProof/>
          </w:rPr>
          <w:t>3</w:t>
        </w:r>
      </w:fldSimple>
      <w:bookmarkEnd w:id="4"/>
      <w:r>
        <w:t xml:space="preserve"> Scatter plot of U.S. balancing authority</w:t>
      </w:r>
      <w:r>
        <w:rPr>
          <w:noProof/>
        </w:rPr>
        <w:t xml:space="preserve"> import reliance versus import diversity metrics, partitioned into three spaces.</w:t>
      </w:r>
    </w:p>
    <w:p w14:paraId="39C9BF83" w14:textId="6C7F1D6D" w:rsidR="00125268" w:rsidRPr="0014445F" w:rsidRDefault="00A33168">
      <w:r>
        <w:t xml:space="preserve">Following the premise that import diversity is more important for electricity systems that </w:t>
      </w:r>
      <w:r w:rsidR="003C37DF">
        <w:t xml:space="preserve">rely more heavily on imports, </w:t>
      </w:r>
      <w:r w:rsidR="003F69A5">
        <w:t xml:space="preserve">a third metric is applied that </w:t>
      </w:r>
      <w:r w:rsidR="00572759">
        <w:t>rescales the balancing authority diversity score by its import reliance.</w:t>
      </w:r>
      <w:r w:rsidR="00EA0A10">
        <w:t xml:space="preserve"> Th</w:t>
      </w:r>
      <w:r w:rsidR="00651F29">
        <w:t xml:space="preserve">e </w:t>
      </w:r>
      <w:r w:rsidR="00EA0A10">
        <w:t xml:space="preserve">new joint import reliance-diversity metric </w:t>
      </w:r>
      <w:r w:rsidR="00651F29">
        <w:t>for U.S. BAs is reported in</w:t>
      </w:r>
      <w:r w:rsidR="00C32C83">
        <w:t xml:space="preserve"> Appendix</w:t>
      </w:r>
      <w:r w:rsidR="00651F29">
        <w:t xml:space="preserve"> </w:t>
      </w:r>
      <w:r w:rsidR="00C32C83">
        <w:rPr>
          <w:highlight w:val="yellow"/>
        </w:rPr>
        <w:fldChar w:fldCharType="begin"/>
      </w:r>
      <w:r w:rsidR="00C32C83">
        <w:instrText xml:space="preserve"> REF _Ref179611009 \h </w:instrText>
      </w:r>
      <w:r w:rsidR="00C32C83">
        <w:rPr>
          <w:highlight w:val="yellow"/>
        </w:rPr>
      </w:r>
      <w:r w:rsidR="00C32C83">
        <w:rPr>
          <w:highlight w:val="yellow"/>
        </w:rPr>
        <w:fldChar w:fldCharType="separate"/>
      </w:r>
      <w:r w:rsidR="006B3902">
        <w:t xml:space="preserve">Table </w:t>
      </w:r>
      <w:r w:rsidR="006B3902">
        <w:rPr>
          <w:noProof/>
        </w:rPr>
        <w:t>3</w:t>
      </w:r>
      <w:r w:rsidR="00C32C83">
        <w:rPr>
          <w:highlight w:val="yellow"/>
        </w:rPr>
        <w:fldChar w:fldCharType="end"/>
      </w:r>
      <w:r w:rsidR="00816E51">
        <w:t>, which</w:t>
      </w:r>
      <w:r w:rsidR="00CF0537">
        <w:t xml:space="preserve"> is</w:t>
      </w:r>
      <w:r w:rsidR="00816E51">
        <w:t xml:space="preserve"> calculated by simply </w:t>
      </w:r>
      <w:r w:rsidR="00C32C83">
        <w:t xml:space="preserve">multiplying </w:t>
      </w:r>
      <w:r w:rsidR="0073700B">
        <w:t xml:space="preserve">the import reliance value in </w:t>
      </w:r>
      <w:r w:rsidR="00C32C83">
        <w:rPr>
          <w:highlight w:val="yellow"/>
        </w:rPr>
        <w:fldChar w:fldCharType="begin"/>
      </w:r>
      <w:r w:rsidR="00C32C83">
        <w:instrText xml:space="preserve"> REF _Ref177631068 \h </w:instrText>
      </w:r>
      <w:r w:rsidR="00C32C83">
        <w:rPr>
          <w:highlight w:val="yellow"/>
        </w:rPr>
      </w:r>
      <w:r w:rsidR="00C32C83">
        <w:rPr>
          <w:highlight w:val="yellow"/>
        </w:rPr>
        <w:fldChar w:fldCharType="separate"/>
      </w:r>
      <w:r w:rsidR="006B3902">
        <w:t xml:space="preserve">Table </w:t>
      </w:r>
      <w:r w:rsidR="006B3902">
        <w:rPr>
          <w:noProof/>
        </w:rPr>
        <w:t>1</w:t>
      </w:r>
      <w:r w:rsidR="00C32C83">
        <w:rPr>
          <w:highlight w:val="yellow"/>
        </w:rPr>
        <w:fldChar w:fldCharType="end"/>
      </w:r>
      <w:r w:rsidR="0073700B">
        <w:t xml:space="preserve"> by import diversity in </w:t>
      </w:r>
      <w:r w:rsidR="00C32C83">
        <w:rPr>
          <w:highlight w:val="yellow"/>
        </w:rPr>
        <w:fldChar w:fldCharType="begin"/>
      </w:r>
      <w:r w:rsidR="00C32C83">
        <w:instrText xml:space="preserve"> REF _Ref179611033 \h </w:instrText>
      </w:r>
      <w:r w:rsidR="00C32C83">
        <w:rPr>
          <w:highlight w:val="yellow"/>
        </w:rPr>
      </w:r>
      <w:r w:rsidR="00C32C83">
        <w:rPr>
          <w:highlight w:val="yellow"/>
        </w:rPr>
        <w:fldChar w:fldCharType="separate"/>
      </w:r>
      <w:r w:rsidR="006B3902">
        <w:t xml:space="preserve">Table </w:t>
      </w:r>
      <w:r w:rsidR="006B3902">
        <w:rPr>
          <w:noProof/>
        </w:rPr>
        <w:t>2</w:t>
      </w:r>
      <w:r w:rsidR="00C32C83">
        <w:rPr>
          <w:highlight w:val="yellow"/>
        </w:rPr>
        <w:fldChar w:fldCharType="end"/>
      </w:r>
      <w:r w:rsidR="00FF57E9">
        <w:t>.</w:t>
      </w:r>
      <w:r w:rsidR="00066B07">
        <w:t xml:space="preserve"> The </w:t>
      </w:r>
      <w:r w:rsidR="00CF0537">
        <w:t>balancing authorities</w:t>
      </w:r>
      <w:r w:rsidR="00066B07">
        <w:t xml:space="preserve"> with </w:t>
      </w:r>
      <w:r w:rsidR="00CF0537">
        <w:t xml:space="preserve">the </w:t>
      </w:r>
      <w:r w:rsidR="00066B07">
        <w:t xml:space="preserve">highest </w:t>
      </w:r>
      <w:r w:rsidR="00CF0537">
        <w:t xml:space="preserve">reliance-diversity </w:t>
      </w:r>
      <w:r w:rsidR="00066B07">
        <w:t xml:space="preserve">metric values in </w:t>
      </w:r>
      <w:r w:rsidR="00066B07">
        <w:fldChar w:fldCharType="begin"/>
      </w:r>
      <w:r w:rsidR="00066B07">
        <w:instrText xml:space="preserve"> REF _Ref179611009 \h </w:instrText>
      </w:r>
      <w:r w:rsidR="00066B07">
        <w:fldChar w:fldCharType="separate"/>
      </w:r>
      <w:r w:rsidR="006B3902">
        <w:t xml:space="preserve">Table </w:t>
      </w:r>
      <w:r w:rsidR="006B3902">
        <w:rPr>
          <w:noProof/>
        </w:rPr>
        <w:t>3</w:t>
      </w:r>
      <w:r w:rsidR="00066B07">
        <w:fldChar w:fldCharType="end"/>
      </w:r>
      <w:r w:rsidR="00066B07">
        <w:t xml:space="preserve"> are those in the upper right frontier </w:t>
      </w:r>
      <w:r w:rsidR="00D62C81">
        <w:t xml:space="preserve">of the </w:t>
      </w:r>
      <w:r w:rsidR="00D62C81">
        <w:fldChar w:fldCharType="begin"/>
      </w:r>
      <w:r w:rsidR="00D62C81">
        <w:instrText xml:space="preserve"> REF _Ref179539912 \h </w:instrText>
      </w:r>
      <w:r w:rsidR="00D62C81">
        <w:fldChar w:fldCharType="separate"/>
      </w:r>
      <w:r w:rsidR="006B3902">
        <w:t xml:space="preserve">Figure </w:t>
      </w:r>
      <w:r w:rsidR="006B3902">
        <w:rPr>
          <w:noProof/>
        </w:rPr>
        <w:t>3</w:t>
      </w:r>
      <w:r w:rsidR="00D62C81">
        <w:fldChar w:fldCharType="end"/>
      </w:r>
      <w:r w:rsidR="00D62C81">
        <w:t xml:space="preserve"> scatterplot</w:t>
      </w:r>
      <w:r w:rsidR="004D40FC">
        <w:t xml:space="preserve">. These are the </w:t>
      </w:r>
      <w:r w:rsidR="00517E85">
        <w:t xml:space="preserve">balancing </w:t>
      </w:r>
      <w:proofErr w:type="gramStart"/>
      <w:r w:rsidR="00517E85">
        <w:t xml:space="preserve">authorities </w:t>
      </w:r>
      <w:r w:rsidR="004D40FC">
        <w:t xml:space="preserve"> that</w:t>
      </w:r>
      <w:proofErr w:type="gramEnd"/>
      <w:r w:rsidR="004D40FC">
        <w:t xml:space="preserve"> have </w:t>
      </w:r>
      <w:r w:rsidR="005B0452">
        <w:t>high</w:t>
      </w:r>
      <w:r w:rsidR="007E78D2">
        <w:t xml:space="preserve"> reliance on imports from a diverse set of trading partners, and include California ISO, Tucson Electric Power, </w:t>
      </w:r>
      <w:r w:rsidR="00917797">
        <w:t>PacifiCorp, and Duke.</w:t>
      </w:r>
    </w:p>
    <w:p w14:paraId="1DEA5455" w14:textId="548FE5D7" w:rsidR="00283A0A" w:rsidRPr="009A0C3A" w:rsidRDefault="00FE0A38">
      <w:r w:rsidRPr="009A0C3A">
        <w:t xml:space="preserve">To summarize this analysis of </w:t>
      </w:r>
      <w:r w:rsidR="006E2AF8">
        <w:t xml:space="preserve">electricity </w:t>
      </w:r>
      <w:r w:rsidR="00453D62">
        <w:t xml:space="preserve">import </w:t>
      </w:r>
      <w:r w:rsidR="0052104B" w:rsidRPr="009A0C3A">
        <w:t>metrics across the U.S.</w:t>
      </w:r>
      <w:r w:rsidRPr="009A0C3A">
        <w:t>,</w:t>
      </w:r>
      <w:r w:rsidR="009A0C3A" w:rsidRPr="009A0C3A">
        <w:t xml:space="preserve"> quantifying</w:t>
      </w:r>
      <w:r w:rsidRPr="009A0C3A">
        <w:t xml:space="preserve"> import reliance </w:t>
      </w:r>
      <w:r w:rsidR="009A0C3A" w:rsidRPr="009A0C3A">
        <w:t xml:space="preserve">and diversity </w:t>
      </w:r>
      <w:r w:rsidRPr="009A0C3A">
        <w:t xml:space="preserve">highlights key patterns that can inform understanding of </w:t>
      </w:r>
      <w:r w:rsidR="00C968DF">
        <w:t>a system’s operating risks</w:t>
      </w:r>
      <w:r w:rsidRPr="009A0C3A">
        <w:t xml:space="preserve">. Larger </w:t>
      </w:r>
      <w:r w:rsidR="004B0614">
        <w:t>balancing authorities</w:t>
      </w:r>
      <w:r w:rsidRPr="009A0C3A">
        <w:t xml:space="preserve">, with a wider range of trading partners, tend to have higher diversity scores, and those with high diversity often show lower reliance on imports, indicating strong local supply. However, the value of diversity varies across systems; for </w:t>
      </w:r>
      <w:r w:rsidR="00E458E8">
        <w:t>balancing authorities</w:t>
      </w:r>
      <w:r w:rsidRPr="009A0C3A">
        <w:t xml:space="preserve"> with high import reliance, a diverse set of import sources can be </w:t>
      </w:r>
      <w:r w:rsidR="00E458E8">
        <w:t xml:space="preserve">more important for </w:t>
      </w:r>
      <w:r w:rsidRPr="009A0C3A">
        <w:t>maintaining reliability. While the metrics used in this analysis offer a useful means of comparative assessment across balancing authorities, they do not fully capture the complexities of system reliability. Specifically, they overlook the role of available imports during periods of extreme demand, especially when considering net demand after accounting for wind and solar variability.</w:t>
      </w:r>
    </w:p>
    <w:p w14:paraId="5D4CB558" w14:textId="45BDF288" w:rsidR="00C62334" w:rsidRDefault="004E3F60" w:rsidP="00E908AB">
      <w:pPr>
        <w:pStyle w:val="Heading1"/>
      </w:pPr>
      <w:r>
        <w:t>Electricity i</w:t>
      </w:r>
      <w:r w:rsidR="00164B3C">
        <w:t>mports during stressful events</w:t>
      </w:r>
    </w:p>
    <w:p w14:paraId="4DAA9823" w14:textId="12D5974D" w:rsidR="009021B3" w:rsidRDefault="00941331" w:rsidP="009021B3">
      <w:r>
        <w:t>T</w:t>
      </w:r>
      <w:r w:rsidR="00EB58F9">
        <w:t xml:space="preserve">he </w:t>
      </w:r>
      <w:r w:rsidR="00562D10">
        <w:t xml:space="preserve">import reliance and diversity </w:t>
      </w:r>
      <w:r w:rsidR="00EB58F9">
        <w:t>metrics</w:t>
      </w:r>
      <w:r w:rsidR="00C909BA">
        <w:t xml:space="preserve"> </w:t>
      </w:r>
      <w:r>
        <w:t xml:space="preserve">discussed in prior sections </w:t>
      </w:r>
      <w:r w:rsidR="00562D10">
        <w:t>describe conditions across all operating periods</w:t>
      </w:r>
      <w:r w:rsidR="00F370F2">
        <w:t xml:space="preserve">. This section </w:t>
      </w:r>
      <w:r w:rsidR="002B0AC5">
        <w:t xml:space="preserve">analyzes </w:t>
      </w:r>
      <w:r w:rsidR="00693726">
        <w:t>import</w:t>
      </w:r>
      <w:r w:rsidR="003654FF">
        <w:t xml:space="preserve">s </w:t>
      </w:r>
      <w:r w:rsidR="00B570DE">
        <w:t xml:space="preserve">during </w:t>
      </w:r>
      <w:r w:rsidR="004D6B45">
        <w:t xml:space="preserve">periods of high </w:t>
      </w:r>
      <w:r w:rsidR="005D4C80">
        <w:t xml:space="preserve">net </w:t>
      </w:r>
      <w:r w:rsidR="00381A17">
        <w:t>electricity demand</w:t>
      </w:r>
      <w:r w:rsidR="0007205D">
        <w:t xml:space="preserve"> when availability of imports alongside other resources becomes more important</w:t>
      </w:r>
      <w:r w:rsidR="005D4C80">
        <w:t>.</w:t>
      </w:r>
      <w:r w:rsidR="00D14A0E">
        <w:t xml:space="preserve"> Specifically, average import shares for U.S. balancing authorities during hours when net electricity demand is at or above the 95</w:t>
      </w:r>
      <w:r w:rsidR="00D14A0E" w:rsidRPr="00D14A0E">
        <w:rPr>
          <w:vertAlign w:val="superscript"/>
        </w:rPr>
        <w:t>th</w:t>
      </w:r>
      <w:r w:rsidR="00D14A0E">
        <w:t xml:space="preserve"> percentile across are calculated and reported in the </w:t>
      </w:r>
      <w:r w:rsidR="00054FE2">
        <w:t>A</w:t>
      </w:r>
      <w:r w:rsidR="00D14A0E">
        <w:t xml:space="preserve">ppendix </w:t>
      </w:r>
      <w:r w:rsidR="00D14A0E">
        <w:fldChar w:fldCharType="begin"/>
      </w:r>
      <w:r w:rsidR="00D14A0E">
        <w:instrText xml:space="preserve"> REF _Ref183551621 \h </w:instrText>
      </w:r>
      <w:r w:rsidR="00D14A0E">
        <w:fldChar w:fldCharType="separate"/>
      </w:r>
      <w:r w:rsidR="006B3902">
        <w:t xml:space="preserve">Table </w:t>
      </w:r>
      <w:r w:rsidR="006B3902">
        <w:rPr>
          <w:noProof/>
        </w:rPr>
        <w:t>4</w:t>
      </w:r>
      <w:r w:rsidR="00D14A0E">
        <w:fldChar w:fldCharType="end"/>
      </w:r>
      <w:r w:rsidR="00D14A0E">
        <w:t xml:space="preserve"> .</w:t>
      </w:r>
      <w:r w:rsidR="005D4C80">
        <w:t xml:space="preserve"> Net </w:t>
      </w:r>
      <w:r w:rsidR="00381A17">
        <w:t xml:space="preserve">demand </w:t>
      </w:r>
      <w:r w:rsidR="005D4C80">
        <w:t xml:space="preserve">is </w:t>
      </w:r>
      <w:r w:rsidR="0021255C">
        <w:t xml:space="preserve">used </w:t>
      </w:r>
      <w:r w:rsidR="00381A17">
        <w:t xml:space="preserve">to determine stressful periods </w:t>
      </w:r>
      <w:r w:rsidR="0021255C">
        <w:t>because it represents the</w:t>
      </w:r>
      <w:r w:rsidR="00357C73">
        <w:t xml:space="preserve"> share of demand</w:t>
      </w:r>
      <w:r w:rsidR="001C09DB">
        <w:t xml:space="preserve"> net of </w:t>
      </w:r>
      <w:r w:rsidR="001C09DB">
        <w:lastRenderedPageBreak/>
        <w:t>variable wind and solar generation</w:t>
      </w:r>
      <w:r w:rsidR="00357C73">
        <w:t xml:space="preserve"> to be served by imports and other dispatchable </w:t>
      </w:r>
      <w:r w:rsidR="001C09DB">
        <w:t>resources.</w:t>
      </w:r>
      <w:r w:rsidR="00295DAD">
        <w:t xml:space="preserve"> High electricity demand is less of a reliability concern during a period of high </w:t>
      </w:r>
      <w:r w:rsidR="008A028B">
        <w:t>variable renewable</w:t>
      </w:r>
      <w:r w:rsidR="00295DAD">
        <w:t xml:space="preserve"> production</w:t>
      </w:r>
      <w:r w:rsidR="00A02411">
        <w:t xml:space="preserve">. </w:t>
      </w:r>
      <w:r w:rsidR="008A028B">
        <w:t xml:space="preserve">For these reasons, grid operators and planners </w:t>
      </w:r>
      <w:r w:rsidR="00575D5D">
        <w:t>o</w:t>
      </w:r>
      <w:r w:rsidR="0002776C">
        <w:t>perators often</w:t>
      </w:r>
      <w:r w:rsidR="0043152C">
        <w:t xml:space="preserve"> focus on net load</w:t>
      </w:r>
      <w:r w:rsidR="008A028B">
        <w:t xml:space="preserve">, especially on systems with growing wind and solar penetrations </w:t>
      </w:r>
      <w:r w:rsidR="00575D5D">
        <w:fldChar w:fldCharType="begin"/>
      </w:r>
      <w:r w:rsidR="00575D5D">
        <w:instrText xml:space="preserve"> ADDIN ZOTERO_ITEM CSL_CITATION {"citationID":"p9bsgvnj","properties":{"formattedCitation":"[50]","plainCitation":"[50]","noteIndex":0},"citationItems":[{"id":1349,"uris":["http://zotero.org/users/9332412/items/729Q7ZPQ"],"itemData":{"id":1349,"type":"article-journal","abstract":"Integration of wind- and solar-based generation into the electric grid has significantly grown over the past decade and is expected to grow to unprecedented levels in coming years. Several jurisdictions have set high targets for renewable energy integration. While electric grid operators have managed the variable and non-dispatchable nature of wind and solar power at current levels, large-scale integration of these resources would pose new challenges. In particular, the variable nature of wind and solar may lead to new electric grid operation and planning procedures. Net load in electric grids is defined as the conventional load minus the non-dispatchable generation. Net load is the basis of operation planning in day-to-day delivery of electricity to the consumers. With large-scale integration of wind and solar power, the net load in the system would be significantly affected. In this paper, we focus on characteristics of net load in electric grids when a large amount of wind and solar power generation is integrated into the grid. We use the data from California</w:instrText>
      </w:r>
      <w:r w:rsidR="00575D5D">
        <w:rPr>
          <w:rFonts w:ascii="Arial" w:hAnsi="Arial" w:cs="Arial"/>
        </w:rPr>
        <w:instrText>׳</w:instrText>
      </w:r>
      <w:r w:rsidR="00575D5D">
        <w:instrText>s power system. California intends to produce 33% of its electricity from renewable resources by 2020, 80% of which is expected to come from wind and solar power. We use both historical data and simulated scenarios of future wind and solar power generation. For future scenarios, we use the data provided by National Renewable Energy Laboratory to generate wind and solar power integration scenarios for years 2018 and 2023. The simulated net load data are analyzed from a variety of perspectives, such as average daily shapes, load and net load factor, duration curves, volatility, and hourly ramps. The results showed that compared to conventional load, characteristics of net load would be significantly different and need to be taken into account when designing measures and mechanisms for operating electric grids with high penetration of renewables.","container-title":"Renewable and Sustainable Energy Reviews","DOI":"10.1016/j.rser.2015.12.287","ISSN":"1364-0321","journalAbbreviation":"Renewable and Sustainable Energy Reviews","page":"761-774","source":"ScienceDirect","title":"Impacts of large-scale wind and solar power integration on California</w:instrText>
      </w:r>
      <w:r w:rsidR="00575D5D">
        <w:rPr>
          <w:rFonts w:ascii="Arial" w:hAnsi="Arial" w:cs="Arial"/>
        </w:rPr>
        <w:instrText>׳</w:instrText>
      </w:r>
      <w:r w:rsidR="00575D5D">
        <w:instrText xml:space="preserve">s net electrical load","volume":"58","author":[{"family":"Shaker","given":"Hamid"},{"family":"Zareipour","given":"Hamidreza"},{"family":"Wood","given":"David"}],"issued":{"date-parts":[["2016",5,1]]}}}],"schema":"https://github.com/citation-style-language/schema/raw/master/csl-citation.json"} </w:instrText>
      </w:r>
      <w:r w:rsidR="00575D5D">
        <w:fldChar w:fldCharType="separate"/>
      </w:r>
      <w:r w:rsidR="00575D5D" w:rsidRPr="008F61FA">
        <w:t>[50]</w:t>
      </w:r>
      <w:r w:rsidR="00575D5D">
        <w:fldChar w:fldCharType="end"/>
      </w:r>
      <w:r w:rsidR="00295DAD">
        <w:t>.</w:t>
      </w:r>
      <w:r w:rsidR="001C09DB">
        <w:t xml:space="preserve"> </w:t>
      </w:r>
    </w:p>
    <w:p w14:paraId="0D1E61CA" w14:textId="1C9AF428" w:rsidR="00672EC5" w:rsidRDefault="008A028B" w:rsidP="009021B3">
      <w:r>
        <w:t xml:space="preserve">The sample period used to calculate import shares during periods of high demand is </w:t>
      </w:r>
      <w:r w:rsidR="00C77D64">
        <w:t xml:space="preserve">smaller than </w:t>
      </w:r>
      <w:r w:rsidR="00523BCB">
        <w:t xml:space="preserve">the sample used </w:t>
      </w:r>
      <w:r w:rsidR="00C77D64">
        <w:t>in prior sections</w:t>
      </w:r>
      <w:r w:rsidR="00AB2C1A">
        <w:t xml:space="preserve"> of this article</w:t>
      </w:r>
      <w:r w:rsidR="00AE6529">
        <w:t>,</w:t>
      </w:r>
      <w:r w:rsidR="006B1207">
        <w:t xml:space="preserve"> because </w:t>
      </w:r>
      <w:r w:rsidR="000B32BB">
        <w:t xml:space="preserve">hourly </w:t>
      </w:r>
      <w:r w:rsidR="00626E57">
        <w:t xml:space="preserve">data on </w:t>
      </w:r>
      <w:r w:rsidR="006B1207">
        <w:t>technology</w:t>
      </w:r>
      <w:r w:rsidR="00626E57">
        <w:t xml:space="preserve">-level </w:t>
      </w:r>
      <w:r w:rsidR="00226BBD">
        <w:t xml:space="preserve">electric </w:t>
      </w:r>
      <w:r w:rsidR="00626E57">
        <w:t>generation</w:t>
      </w:r>
      <w:r w:rsidR="006B1207">
        <w:t xml:space="preserve"> at the balancing authority level </w:t>
      </w:r>
      <w:r w:rsidR="00BB015D">
        <w:t>is available starting July 1, 2018</w:t>
      </w:r>
      <w:r w:rsidR="00C77D64">
        <w:t>.</w:t>
      </w:r>
      <w:r w:rsidR="001C33DF">
        <w:t xml:space="preserve"> It is interesting to compare</w:t>
      </w:r>
      <w:r w:rsidR="009D79C2">
        <w:t xml:space="preserve"> the difference between</w:t>
      </w:r>
      <w:r w:rsidR="001C33DF">
        <w:t xml:space="preserve"> import shares during </w:t>
      </w:r>
      <w:r w:rsidR="009D79C2">
        <w:t>high net-demand</w:t>
      </w:r>
      <w:r w:rsidR="001C33DF">
        <w:t xml:space="preserve"> periods with average import shares, which is done in </w:t>
      </w:r>
      <w:r w:rsidR="001C33DF">
        <w:fldChar w:fldCharType="begin"/>
      </w:r>
      <w:r w:rsidR="001C33DF">
        <w:instrText xml:space="preserve"> REF _Ref183551621 \h </w:instrText>
      </w:r>
      <w:r w:rsidR="001C33DF">
        <w:fldChar w:fldCharType="separate"/>
      </w:r>
      <w:r w:rsidR="006B3902">
        <w:t xml:space="preserve">Table </w:t>
      </w:r>
      <w:r w:rsidR="006B3902">
        <w:rPr>
          <w:noProof/>
        </w:rPr>
        <w:t>4</w:t>
      </w:r>
      <w:r w:rsidR="001C33DF">
        <w:fldChar w:fldCharType="end"/>
      </w:r>
      <w:r w:rsidR="009D79C2">
        <w:t xml:space="preserve"> and plotted in </w:t>
      </w:r>
      <w:r w:rsidR="00672EC5">
        <w:fldChar w:fldCharType="begin"/>
      </w:r>
      <w:r w:rsidR="00672EC5">
        <w:instrText xml:space="preserve"> REF _Ref183554327 \h </w:instrText>
      </w:r>
      <w:r w:rsidR="00672EC5">
        <w:fldChar w:fldCharType="separate"/>
      </w:r>
      <w:r w:rsidR="006B3902">
        <w:t xml:space="preserve">Figure </w:t>
      </w:r>
      <w:r w:rsidR="006B3902">
        <w:rPr>
          <w:noProof/>
        </w:rPr>
        <w:t>4</w:t>
      </w:r>
      <w:r w:rsidR="00672EC5">
        <w:fldChar w:fldCharType="end"/>
      </w:r>
      <w:r w:rsidR="00750B40">
        <w:t>. This</w:t>
      </w:r>
      <w:r w:rsidR="008415BE">
        <w:t xml:space="preserve"> shows 21 balancing authorities with a positive difference (e.g. their import shares increase during high net demand periods), and 22 balancing authorities with a negative difference</w:t>
      </w:r>
      <w:r w:rsidR="00672EC5">
        <w:t>.</w:t>
      </w:r>
    </w:p>
    <w:p w14:paraId="2495511F" w14:textId="77777777" w:rsidR="00672EC5" w:rsidRDefault="00672EC5" w:rsidP="00672EC5">
      <w:pPr>
        <w:keepNext/>
      </w:pPr>
      <w:r>
        <w:rPr>
          <w:noProof/>
        </w:rPr>
        <w:drawing>
          <wp:inline distT="0" distB="0" distL="0" distR="0" wp14:anchorId="5EC8D12A" wp14:editId="22239BAE">
            <wp:extent cx="3297555" cy="2709545"/>
            <wp:effectExtent l="0" t="0" r="0" b="0"/>
            <wp:docPr id="906025810" name="Chart 1">
              <a:extLst xmlns:a="http://schemas.openxmlformats.org/drawingml/2006/main">
                <a:ext uri="{FF2B5EF4-FFF2-40B4-BE49-F238E27FC236}">
                  <a16:creationId xmlns:a16="http://schemas.microsoft.com/office/drawing/2014/main" id="{4EB9FA2D-E590-0C81-B94B-9F70C58FB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EBA6667" w14:textId="45154199" w:rsidR="00672EC5" w:rsidRDefault="00672EC5" w:rsidP="00672EC5">
      <w:pPr>
        <w:pStyle w:val="Caption"/>
      </w:pPr>
      <w:bookmarkStart w:id="5" w:name="_Ref183554327"/>
      <w:r>
        <w:t xml:space="preserve">Figure </w:t>
      </w:r>
      <w:fldSimple w:instr=" SEQ Figure \* ARABIC ">
        <w:r w:rsidR="006B3902">
          <w:rPr>
            <w:noProof/>
          </w:rPr>
          <w:t>4</w:t>
        </w:r>
      </w:fldSimple>
      <w:bookmarkEnd w:id="5"/>
      <w:r>
        <w:t xml:space="preserve"> </w:t>
      </w:r>
      <w:r w:rsidRPr="0020742F">
        <w:t>Difference in average import share during high net load periods (&gt;=p95) and average net load across US balancing authorities, 2018-2023</w:t>
      </w:r>
    </w:p>
    <w:p w14:paraId="66F46C49" w14:textId="0A792B45" w:rsidR="009021B3" w:rsidRDefault="001C33DF" w:rsidP="00672EC5">
      <w:r>
        <w:t>Balancing authorities w</w:t>
      </w:r>
      <w:r w:rsidR="009D79C2">
        <w:t xml:space="preserve">ith larger import shares during high net demand periods </w:t>
      </w:r>
      <w:r w:rsidR="006D19CB">
        <w:t xml:space="preserve">were </w:t>
      </w:r>
      <w:r w:rsidR="009D79C2">
        <w:t>able to procure more imports</w:t>
      </w:r>
      <w:r w:rsidR="003268C0">
        <w:t xml:space="preserve"> when resources are most needed.</w:t>
      </w:r>
      <w:r w:rsidR="00672EC5">
        <w:t xml:space="preserve"> The balancing authorities with the largest increase</w:t>
      </w:r>
      <w:r w:rsidR="00EB5E04">
        <w:t>s</w:t>
      </w:r>
      <w:r w:rsidR="00672EC5">
        <w:t xml:space="preserve"> in import shares during high net demand periods include PacifiCorp, Associated Electric Coop., Idaho Power Company, Arizona Public Service Company, and Nevada Power Company. All these operators had increases in import shares of 10 percentage points or more during high net-demand periods.</w:t>
      </w:r>
      <w:r w:rsidR="008415BE">
        <w:t xml:space="preserve"> Conversely, balancing authorities with a decrease in average import shares</w:t>
      </w:r>
      <w:r w:rsidR="006F6074">
        <w:t xml:space="preserve"> during high net-demand periods are receiving less imports during periods when electricity supply is most needed. More local supply is required to maintain reliability in these areas during high demand periods to make up for the decrease in electricity imports. </w:t>
      </w:r>
      <w:r w:rsidR="006F6074" w:rsidRPr="006F6074">
        <w:t>These findings highlight the importance of understanding import behavior during high net-demand periods to inform strategies for maintaining reliability across diverse grid conditions.</w:t>
      </w:r>
    </w:p>
    <w:p w14:paraId="4C7FF9F1" w14:textId="505E65CD" w:rsidR="00A85888" w:rsidRPr="00965BA5" w:rsidRDefault="00A85888" w:rsidP="00B46EC0">
      <w:pPr>
        <w:pStyle w:val="Caption"/>
        <w:rPr>
          <w:i w:val="0"/>
          <w:iCs w:val="0"/>
        </w:rPr>
      </w:pPr>
    </w:p>
    <w:p w14:paraId="0579A69A" w14:textId="77777777" w:rsidR="00B544CF" w:rsidRDefault="00B544CF" w:rsidP="00B544CF"/>
    <w:p w14:paraId="3D86A640" w14:textId="77777777" w:rsidR="00B544CF" w:rsidRPr="00B544CF" w:rsidRDefault="00B544CF" w:rsidP="00B544CF"/>
    <w:p w14:paraId="13FE7D12" w14:textId="77777777" w:rsidR="00A85888" w:rsidRDefault="00A85888" w:rsidP="00A85888">
      <w:pPr>
        <w:spacing w:after="0"/>
      </w:pPr>
      <w:r>
        <w:t xml:space="preserve">Do a case-study approach that looks at import performance etc during selected extreme events in certain BAs </w:t>
      </w:r>
    </w:p>
    <w:p w14:paraId="124CCDD5" w14:textId="75DE1ECA" w:rsidR="00A85888" w:rsidRPr="00877A5A" w:rsidRDefault="00A85888" w:rsidP="00A85888">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r w:rsidR="005977FE">
        <w:rPr>
          <w:color w:val="000000"/>
        </w:rPr>
        <w:t xml:space="preserve"> (Wolak 2022)</w:t>
      </w:r>
    </w:p>
    <w:p w14:paraId="39A6B087" w14:textId="1FDCA544" w:rsidR="00877A5A" w:rsidRPr="006B6426" w:rsidRDefault="00877A5A" w:rsidP="00A85888">
      <w:pPr>
        <w:numPr>
          <w:ilvl w:val="0"/>
          <w:numId w:val="3"/>
        </w:numPr>
        <w:pBdr>
          <w:top w:val="nil"/>
          <w:left w:val="nil"/>
          <w:bottom w:val="nil"/>
          <w:right w:val="nil"/>
          <w:between w:val="nil"/>
        </w:pBdr>
        <w:spacing w:after="0"/>
      </w:pPr>
      <w:r>
        <w:rPr>
          <w:color w:val="000000"/>
        </w:rPr>
        <w:t>Winter storm Uri was studied relatively well in the scientific literature</w:t>
      </w:r>
      <w:r w:rsidR="009C6901">
        <w:rPr>
          <w:color w:val="000000"/>
        </w:rPr>
        <w:t xml:space="preserve"> </w:t>
      </w:r>
      <w:r w:rsidR="009C6901">
        <w:rPr>
          <w:color w:val="000000"/>
        </w:rPr>
        <w:fldChar w:fldCharType="begin"/>
      </w:r>
      <w:r w:rsidR="008F61FA">
        <w:rPr>
          <w:color w:val="000000"/>
        </w:rPr>
        <w:instrText xml:space="preserve"> ADDIN ZOTERO_ITEM CSL_CITATION {"citationID":"eMOBtKMo","properties":{"formattedCitation":"[51\\uc0\\u8211{}53]","plainCitation":"[51–53]","noteIndex":0},"citationItems":[{"id":496,"uris":["http://zotero.org/users/9332412/items/4VDUPDGX"],"itemData":{"id":496,"type":"article-journal","abstract":"Was the Texas blackout a market failure or regulatory failure? The economist Hayek has been adduced in support of both views. Hayek would have approved the competitive Texas system, including ERCOT. His likely view on the scarcity pricing framework is less clear, and the recent regulatory implementation of the “circuit breaker” was problematic. There is now a need to revise the scarcity pricing framework in the light of recent events, and to reflect ever-changing market conditions.","container-title":"Electricity Journal","DOI":"10.1016/j.tej.2021.106969","issue":"6","note":"publisher: Elsevier Inc.","title":"Hayek and the Texas blackout","volume":"34","author":[{"family":"Littlechild","given":"Stephen"},{"family":"Kiesling","given":"Lynne"}],"issued":{"date-parts":[["2021",7]]}}},{"id":1346,"uris":["http://zotero.org/users/9332412/items/M7VQJV92"],"itemData":{"id":1346,"type":"article-journal","abstract":"In February 2021, rolling blackouts in Texas during Winter Storm Uri demonstrated the vulnerability of the State's electric grid managed by the Electric Reliability Council of Texas (ERCOT). This article examines the technical causes of the ERCOT blackouts, financial and human consequences, and policy changes that could prevent recurrences. ERCOT planned for a winter load peak far below actual electricity demand. Further electricity shortfalls were caused by generation plants with varied energy sources becoming unavailable—natural-gas fired, coal-fired, nuclear, wind, and solar. Prior blackouts during a 2011 period of cold weather had shown the need for better resource planning and plant weatherization, but advance preparation was inadequate. The system of compensating generators in ERCOT was market-based with a $9,000 per megawatt hour cap on wholesale electricity rates—a so-called “Energy-Only market.” This regulatory system did not provide adequate incentives for generation plants to be operational during extreme weather, nor did it ensure that natural gas suppliers could deliver fuel to generators. Texas is well-situated for a return to the cost-of-service regulatory model; the State Legislature should consider this policy option.","container-title":"Journal of Critical Infrastructure Policy","DOI":"10.18278/jcip.2.1.6","ISSN":"2693-3101","issue":"1","language":"en","license":"© 2021 The Authors","note":"_eprint: https://onlinelibrary.wiley.com/doi/pdf/10.18278/jcip.2.1.6","page":"47-73","source":"Wiley Online Library","title":"The 2021 Texas Blackouts: Causes, Consequences, and Cures","title-short":"The 2021 Texas Blackouts","volume":"2","author":[{"family":"Popik","given":"Thomas"},{"family":"Humphreys","given":"Richard"}],"issued":{"date-parts":[["2021"]]}}},{"id":1343,"uris":["http://zotero.org/users/9332412/items/762CYEQX"],"itemData":{"id":1343,"type":"article-journal","abstract":"Todd Levin is a principal energy systems engineer in the Center for Energy, Environmental and Economic Systems Analysis (CEEESA) at Argonne National Laboratory. His research interests focus on utilizing advanced optimization and simulation methodologies to model complex interactions in electricity markets and quantify the implications of domestic energy policies and regulations. He also maintains a strong interest in international energy development, examining optimal centralized and decentralized rural electrification strategies and a range of global energy security issues. Dr. Levin holds a BA in physics from Northwestern University and a PhD in industrial engineering from the Georgia Institute of Technology. Audun Botterud is a principal energy systems engineer in CEEESA at Argonne National Laboratory with a co-appointment in Laboratory for Information and Decision Systems at Massachusetts Institute of Technology. He analyzes the complex interactions between engineering, economics, and policy in electricity markets, in support of the transition toward a cost-efficient and reliable low-carbon energy system. He is particularly interested in grid integration of renewable energy and energy storage. Audun holds an MSc (industrial engineering) and PhD (electrical power engineering) from the Norwegian University of Science and Technology and was previously with SINTEF Energy Research in Trondheim, Norway. W. Neal Mann is a postdoctoral appointee in CEEESA and the Nuclear Science and Engineering Division at Argonne National Laboratory. His research interests include energy system modeling and design, nuclear energy, and energy storage for climate change mitigation and adaptation. He holds a BA in physics and music from Southwestern University and an MSE and PhD in mechanical engineering (nuclear and radiation engineering focus) from the University of Texas at Austin. Jonghwan Kwon is an energy systems engineer in CEEESA at Argonne National Laboratory. His research interests include operations research applied to electric power systems, power systems operations and planning, management of distributed energy resources, and market design and pricing. Dr. Kwon holds a PhD in electrical engineering power system from Arizona State University. Zhi Zhou is a principal computational scientist in CEEESA at Argonne National Laboratory. His research interests include optimization, machine-learning-based forecasting, decision making under uncertainty, and applications to power grid, electricity markets, renewable energy, and the interdependency between power grids and other infrastructure systems. Zhi Zhou received his BE in computer sciences from Wuhan University, MS in operations research and statistics, and PhD in decision sciences and engineering systems from Rensselaer Polytechnic Institute.","container-title":"Joule","DOI":"10.1016/j.joule.2021.12.015","ISSN":"2542-4351","issue":"1","journalAbbreviation":"Joule","page":"1-7","source":"ScienceDirect","title":"Extreme weather and electricity markets: Key lessons from the February 2021 Texas crisis","title-short":"Extreme weather and electricity markets","volume":"6","author":[{"family":"Levin","given":"Todd"},{"family":"Botterud","given":"Audun"},{"family":"Mann","given":"W. Neal"},{"family":"Kwon","given":"Jonghwan"},{"family":"Zhou","given":"Zhi"}],"issued":{"date-parts":[["2022",1,19]]}}}],"schema":"https://github.com/citation-style-language/schema/raw/master/csl-citation.json"} </w:instrText>
      </w:r>
      <w:r w:rsidR="009C6901">
        <w:rPr>
          <w:color w:val="000000"/>
        </w:rPr>
        <w:fldChar w:fldCharType="separate"/>
      </w:r>
      <w:r w:rsidR="008F61FA" w:rsidRPr="008F61FA">
        <w:rPr>
          <w:rFonts w:cs="Times New Roman"/>
        </w:rPr>
        <w:t>[51–53]</w:t>
      </w:r>
      <w:r w:rsidR="009C6901">
        <w:rPr>
          <w:color w:val="000000"/>
        </w:rPr>
        <w:fldChar w:fldCharType="end"/>
      </w:r>
      <w:r>
        <w:rPr>
          <w:color w:val="000000"/>
        </w:rPr>
        <w:t xml:space="preserve">, </w:t>
      </w:r>
      <w:r w:rsidR="00452925" w:rsidRPr="00452925">
        <w:rPr>
          <w:color w:val="000000"/>
        </w:rPr>
        <w:t>but imports</w:t>
      </w:r>
      <w:r w:rsidR="00452925">
        <w:rPr>
          <w:color w:val="000000"/>
        </w:rPr>
        <w:t xml:space="preserve"> played a negligible role in that extreme event due to Texas’ lack of interconnection with neighboring system. </w:t>
      </w:r>
    </w:p>
    <w:p w14:paraId="4411499B" w14:textId="77777777" w:rsidR="006B6426" w:rsidRDefault="006B6426" w:rsidP="006B6426">
      <w:pPr>
        <w:pStyle w:val="ListParagraph"/>
        <w:rPr>
          <w:rFonts w:ascii="Arial" w:eastAsia="Arial" w:hAnsi="Arial" w:cs="Arial"/>
          <w:i/>
          <w:color w:val="2E2E2E"/>
          <w:sz w:val="21"/>
          <w:szCs w:val="21"/>
          <w:highlight w:val="white"/>
        </w:rPr>
      </w:pPr>
    </w:p>
    <w:p w14:paraId="3EA9246F" w14:textId="77777777" w:rsidR="004C058C" w:rsidRDefault="004C058C" w:rsidP="00C22B21">
      <w:pPr>
        <w:pStyle w:val="Heading1"/>
      </w:pPr>
    </w:p>
    <w:p w14:paraId="413F67B3" w14:textId="77777777" w:rsidR="004E75EE" w:rsidRDefault="004E75EE" w:rsidP="004E75EE"/>
    <w:p w14:paraId="387A208F" w14:textId="77777777" w:rsidR="004E75EE" w:rsidRDefault="004E75EE" w:rsidP="004E75EE">
      <w:pPr>
        <w:numPr>
          <w:ilvl w:val="0"/>
          <w:numId w:val="3"/>
        </w:numPr>
        <w:pBdr>
          <w:top w:val="nil"/>
          <w:left w:val="nil"/>
          <w:bottom w:val="nil"/>
          <w:right w:val="nil"/>
          <w:between w:val="nil"/>
        </w:pBdr>
        <w:spacing w:after="0"/>
      </w:pPr>
      <w:r>
        <w:rPr>
          <w:color w:val="000000"/>
        </w:rPr>
        <w:t xml:space="preserve">Given the increased uncertainty associated with </w:t>
      </w:r>
      <w:proofErr w:type="gramStart"/>
      <w:r>
        <w:rPr>
          <w:color w:val="000000"/>
        </w:rPr>
        <w:t>availability</w:t>
      </w:r>
      <w:proofErr w:type="gramEnd"/>
      <w:r>
        <w:rPr>
          <w:color w:val="000000"/>
        </w:rPr>
        <w:t xml:space="preserve"> of imports, system planners may discount or not consider their contributions to reliabiltiy in </w:t>
      </w:r>
      <w:proofErr w:type="gramStart"/>
      <w:r>
        <w:rPr>
          <w:color w:val="000000"/>
        </w:rPr>
        <w:t>future plans</w:t>
      </w:r>
      <w:proofErr w:type="gramEnd"/>
      <w:r>
        <w:rPr>
          <w:color w:val="000000"/>
        </w:rPr>
        <w:t>. (now transitioning to that nice Larsen 2023 quote)</w:t>
      </w:r>
    </w:p>
    <w:p w14:paraId="403FE252" w14:textId="77777777" w:rsidR="004E75EE" w:rsidRDefault="004E75EE" w:rsidP="004E75EE">
      <w:pPr>
        <w:pBdr>
          <w:top w:val="nil"/>
          <w:left w:val="nil"/>
          <w:bottom w:val="nil"/>
          <w:right w:val="nil"/>
          <w:between w:val="nil"/>
        </w:pBdr>
        <w:spacing w:after="0"/>
        <w:ind w:left="720"/>
        <w:rPr>
          <w:color w:val="000000"/>
        </w:rPr>
      </w:pPr>
    </w:p>
    <w:p w14:paraId="6DDA2B7E" w14:textId="77777777" w:rsidR="004E75EE" w:rsidRDefault="004E75EE" w:rsidP="004E75EE">
      <w:pPr>
        <w:numPr>
          <w:ilvl w:val="0"/>
          <w:numId w:val="2"/>
        </w:numPr>
        <w:pBdr>
          <w:top w:val="nil"/>
          <w:left w:val="nil"/>
          <w:bottom w:val="nil"/>
          <w:right w:val="nil"/>
          <w:between w:val="nil"/>
        </w:pBdr>
        <w:spacing w:after="0"/>
      </w:pPr>
      <w:r>
        <w:rPr>
          <w:color w:val="000000"/>
        </w:rPr>
        <w:t xml:space="preserve">A crucial question to address in this research is “how should planners consider availability of imports from a capacity adequacy perspective in long term </w:t>
      </w:r>
      <w:proofErr w:type="gramStart"/>
      <w:r>
        <w:rPr>
          <w:color w:val="000000"/>
        </w:rPr>
        <w:t>plans ?</w:t>
      </w:r>
      <w:proofErr w:type="gramEnd"/>
      <w:r>
        <w:rPr>
          <w:color w:val="000000"/>
        </w:rPr>
        <w:t xml:space="preserve"> Larsen 2023 says it should be decided by policymakers and not individual market participants:</w:t>
      </w:r>
    </w:p>
    <w:p w14:paraId="65C37A74" w14:textId="77777777" w:rsidR="004E75EE" w:rsidRDefault="004E75EE" w:rsidP="004E75EE">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We conclude that policy makers can go </w:t>
      </w:r>
      <w:proofErr w:type="gramStart"/>
      <w:r>
        <w:rPr>
          <w:rFonts w:ascii="Arial" w:eastAsia="Arial" w:hAnsi="Arial" w:cs="Arial"/>
          <w:i/>
          <w:color w:val="2E2E2E"/>
          <w:sz w:val="21"/>
          <w:szCs w:val="21"/>
          <w:highlight w:val="white"/>
        </w:rPr>
        <w:t>into</w:t>
      </w:r>
      <w:proofErr w:type="gramEnd"/>
      <w:r>
        <w:rPr>
          <w:rFonts w:ascii="Arial" w:eastAsia="Arial" w:hAnsi="Arial" w:cs="Arial"/>
          <w:i/>
          <w:color w:val="2E2E2E"/>
          <w:sz w:val="21"/>
          <w:szCs w:val="21"/>
          <w:highlight w:val="white"/>
        </w:rPr>
        <w:t xml:space="preserve"> one of two directions. The first option is to ignore cross-border trading in their planning. While this would create security of supply for individual countries [balancing authorities],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 (Larsen, 2023)</w:t>
      </w:r>
    </w:p>
    <w:p w14:paraId="26712830" w14:textId="77777777" w:rsidR="004E75EE" w:rsidRPr="004E75EE" w:rsidRDefault="004E75EE" w:rsidP="004E75EE">
      <w:pPr>
        <w:sectPr w:rsidR="004E75EE" w:rsidRPr="004E75EE">
          <w:pgSz w:w="12240" w:h="15840"/>
          <w:pgMar w:top="1440" w:right="1440" w:bottom="1440" w:left="1440" w:header="720" w:footer="720" w:gutter="0"/>
          <w:pgNumType w:start="1"/>
          <w:cols w:space="720"/>
        </w:sectPr>
      </w:pPr>
    </w:p>
    <w:p w14:paraId="2122F45C" w14:textId="270B6EB7" w:rsidR="00611F5E" w:rsidRDefault="00C22B21" w:rsidP="00C22B21">
      <w:pPr>
        <w:pStyle w:val="Heading1"/>
      </w:pPr>
      <w:r>
        <w:lastRenderedPageBreak/>
        <w:t>Appendix</w:t>
      </w:r>
    </w:p>
    <w:p w14:paraId="2D9BC250" w14:textId="511EEB88" w:rsidR="00CD404A" w:rsidRDefault="00055BEF" w:rsidP="006B2BBA">
      <w:pPr>
        <w:pStyle w:val="Caption"/>
        <w:keepNext/>
      </w:pPr>
      <w:bookmarkStart w:id="6" w:name="_Ref177631068"/>
      <w:r>
        <w:t xml:space="preserve">Table </w:t>
      </w:r>
      <w:fldSimple w:instr=" SEQ Table \* ARABIC ">
        <w:r w:rsidR="006B3902">
          <w:rPr>
            <w:noProof/>
          </w:rPr>
          <w:t>1</w:t>
        </w:r>
      </w:fldSimple>
      <w:bookmarkEnd w:id="6"/>
      <w:r>
        <w:t xml:space="preserve"> Import </w:t>
      </w:r>
      <w:r w:rsidR="005472CA">
        <w:t xml:space="preserve">reliance (net imports divided by domestic consumption) </w:t>
      </w:r>
      <w:r w:rsidR="00423B94">
        <w:t>for</w:t>
      </w:r>
      <w:r>
        <w:t xml:space="preserve"> USA balancing authorit</w:t>
      </w:r>
      <w:r w:rsidR="000D0D91">
        <w:t>ies</w:t>
      </w:r>
      <w:r w:rsidR="001B35E7">
        <w:t xml:space="preserve"> with</w:t>
      </w:r>
      <w:r w:rsidR="000D0D91">
        <w:t xml:space="preserve"> annual average demand &gt;500 MW</w:t>
      </w:r>
      <w:r>
        <w:t>.</w:t>
      </w:r>
    </w:p>
    <w:tbl>
      <w:tblPr>
        <w:tblW w:w="12020" w:type="dxa"/>
        <w:tblLook w:val="04A0" w:firstRow="1" w:lastRow="0" w:firstColumn="1" w:lastColumn="0" w:noHBand="0" w:noVBand="1"/>
      </w:tblPr>
      <w:tblGrid>
        <w:gridCol w:w="6260"/>
        <w:gridCol w:w="669"/>
        <w:gridCol w:w="663"/>
        <w:gridCol w:w="663"/>
        <w:gridCol w:w="663"/>
        <w:gridCol w:w="663"/>
        <w:gridCol w:w="663"/>
        <w:gridCol w:w="663"/>
        <w:gridCol w:w="663"/>
        <w:gridCol w:w="663"/>
      </w:tblGrid>
      <w:tr w:rsidR="006B2BBA" w:rsidRPr="006B2BBA" w14:paraId="7429BF95" w14:textId="77777777" w:rsidTr="006B2BBA">
        <w:trPr>
          <w:trHeight w:val="285"/>
        </w:trPr>
        <w:tc>
          <w:tcPr>
            <w:tcW w:w="6260" w:type="dxa"/>
            <w:tcBorders>
              <w:top w:val="single" w:sz="4" w:space="0" w:color="8ED973"/>
              <w:left w:val="nil"/>
              <w:bottom w:val="single" w:sz="4" w:space="0" w:color="8ED973"/>
              <w:right w:val="nil"/>
            </w:tcBorders>
            <w:shd w:val="clear" w:color="4EA72E" w:fill="4EA72E"/>
            <w:noWrap/>
            <w:vAlign w:val="bottom"/>
            <w:hideMark/>
          </w:tcPr>
          <w:p w14:paraId="24ABFF5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Name</w:t>
            </w:r>
          </w:p>
        </w:tc>
        <w:tc>
          <w:tcPr>
            <w:tcW w:w="640" w:type="dxa"/>
            <w:tcBorders>
              <w:top w:val="single" w:sz="4" w:space="0" w:color="8ED973"/>
              <w:left w:val="nil"/>
              <w:bottom w:val="single" w:sz="4" w:space="0" w:color="8ED973"/>
              <w:right w:val="nil"/>
            </w:tcBorders>
            <w:shd w:val="clear" w:color="4EA72E" w:fill="4EA72E"/>
            <w:noWrap/>
            <w:vAlign w:val="bottom"/>
            <w:hideMark/>
          </w:tcPr>
          <w:p w14:paraId="756F0DA8"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Total</w:t>
            </w:r>
          </w:p>
        </w:tc>
        <w:tc>
          <w:tcPr>
            <w:tcW w:w="640" w:type="dxa"/>
            <w:tcBorders>
              <w:top w:val="single" w:sz="4" w:space="0" w:color="8ED973"/>
              <w:left w:val="nil"/>
              <w:bottom w:val="single" w:sz="4" w:space="0" w:color="8ED973"/>
              <w:right w:val="nil"/>
            </w:tcBorders>
            <w:shd w:val="clear" w:color="4EA72E" w:fill="4EA72E"/>
            <w:noWrap/>
            <w:vAlign w:val="bottom"/>
            <w:hideMark/>
          </w:tcPr>
          <w:p w14:paraId="406BE58F"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2016</w:t>
            </w:r>
          </w:p>
        </w:tc>
        <w:tc>
          <w:tcPr>
            <w:tcW w:w="640" w:type="dxa"/>
            <w:tcBorders>
              <w:top w:val="single" w:sz="4" w:space="0" w:color="8ED973"/>
              <w:left w:val="nil"/>
              <w:bottom w:val="single" w:sz="4" w:space="0" w:color="8ED973"/>
              <w:right w:val="nil"/>
            </w:tcBorders>
            <w:shd w:val="clear" w:color="4EA72E" w:fill="4EA72E"/>
            <w:noWrap/>
            <w:vAlign w:val="bottom"/>
            <w:hideMark/>
          </w:tcPr>
          <w:p w14:paraId="06527EC9"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2017</w:t>
            </w:r>
          </w:p>
        </w:tc>
        <w:tc>
          <w:tcPr>
            <w:tcW w:w="640" w:type="dxa"/>
            <w:tcBorders>
              <w:top w:val="single" w:sz="4" w:space="0" w:color="8ED973"/>
              <w:left w:val="nil"/>
              <w:bottom w:val="single" w:sz="4" w:space="0" w:color="8ED973"/>
              <w:right w:val="nil"/>
            </w:tcBorders>
            <w:shd w:val="clear" w:color="4EA72E" w:fill="4EA72E"/>
            <w:noWrap/>
            <w:vAlign w:val="bottom"/>
            <w:hideMark/>
          </w:tcPr>
          <w:p w14:paraId="25D6A4B6"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2018</w:t>
            </w:r>
          </w:p>
        </w:tc>
        <w:tc>
          <w:tcPr>
            <w:tcW w:w="640" w:type="dxa"/>
            <w:tcBorders>
              <w:top w:val="single" w:sz="4" w:space="0" w:color="8ED973"/>
              <w:left w:val="nil"/>
              <w:bottom w:val="single" w:sz="4" w:space="0" w:color="8ED973"/>
              <w:right w:val="nil"/>
            </w:tcBorders>
            <w:shd w:val="clear" w:color="4EA72E" w:fill="4EA72E"/>
            <w:noWrap/>
            <w:vAlign w:val="bottom"/>
            <w:hideMark/>
          </w:tcPr>
          <w:p w14:paraId="36799CBB"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2019</w:t>
            </w:r>
          </w:p>
        </w:tc>
        <w:tc>
          <w:tcPr>
            <w:tcW w:w="640" w:type="dxa"/>
            <w:tcBorders>
              <w:top w:val="single" w:sz="4" w:space="0" w:color="8ED973"/>
              <w:left w:val="nil"/>
              <w:bottom w:val="single" w:sz="4" w:space="0" w:color="8ED973"/>
              <w:right w:val="nil"/>
            </w:tcBorders>
            <w:shd w:val="clear" w:color="4EA72E" w:fill="4EA72E"/>
            <w:noWrap/>
            <w:vAlign w:val="bottom"/>
            <w:hideMark/>
          </w:tcPr>
          <w:p w14:paraId="727E77C4"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2020</w:t>
            </w:r>
          </w:p>
        </w:tc>
        <w:tc>
          <w:tcPr>
            <w:tcW w:w="640" w:type="dxa"/>
            <w:tcBorders>
              <w:top w:val="single" w:sz="4" w:space="0" w:color="8ED973"/>
              <w:left w:val="nil"/>
              <w:bottom w:val="single" w:sz="4" w:space="0" w:color="8ED973"/>
              <w:right w:val="nil"/>
            </w:tcBorders>
            <w:shd w:val="clear" w:color="4EA72E" w:fill="4EA72E"/>
            <w:noWrap/>
            <w:vAlign w:val="bottom"/>
            <w:hideMark/>
          </w:tcPr>
          <w:p w14:paraId="78C57F21"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2021</w:t>
            </w:r>
          </w:p>
        </w:tc>
        <w:tc>
          <w:tcPr>
            <w:tcW w:w="640" w:type="dxa"/>
            <w:tcBorders>
              <w:top w:val="single" w:sz="4" w:space="0" w:color="8ED973"/>
              <w:left w:val="nil"/>
              <w:bottom w:val="single" w:sz="4" w:space="0" w:color="8ED973"/>
              <w:right w:val="nil"/>
            </w:tcBorders>
            <w:shd w:val="clear" w:color="4EA72E" w:fill="4EA72E"/>
            <w:noWrap/>
            <w:vAlign w:val="bottom"/>
            <w:hideMark/>
          </w:tcPr>
          <w:p w14:paraId="4BAB089A"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2022</w:t>
            </w:r>
          </w:p>
        </w:tc>
        <w:tc>
          <w:tcPr>
            <w:tcW w:w="640" w:type="dxa"/>
            <w:tcBorders>
              <w:top w:val="single" w:sz="4" w:space="0" w:color="8ED973"/>
              <w:left w:val="nil"/>
              <w:bottom w:val="single" w:sz="4" w:space="0" w:color="8ED973"/>
              <w:right w:val="nil"/>
            </w:tcBorders>
            <w:shd w:val="clear" w:color="4EA72E" w:fill="4EA72E"/>
            <w:noWrap/>
            <w:vAlign w:val="bottom"/>
            <w:hideMark/>
          </w:tcPr>
          <w:p w14:paraId="7B75E045" w14:textId="77777777" w:rsidR="006B2BBA" w:rsidRPr="006B2BBA" w:rsidRDefault="006B2BBA" w:rsidP="006B2BBA">
            <w:pPr>
              <w:spacing w:after="0" w:line="240" w:lineRule="auto"/>
              <w:rPr>
                <w:rFonts w:ascii="Aptos Narrow" w:eastAsia="Times New Roman" w:hAnsi="Aptos Narrow" w:cs="Times New Roman"/>
                <w:b/>
                <w:bCs/>
                <w:color w:val="FFFFFF"/>
              </w:rPr>
            </w:pPr>
            <w:r w:rsidRPr="006B2BBA">
              <w:rPr>
                <w:rFonts w:ascii="Aptos Narrow" w:eastAsia="Times New Roman" w:hAnsi="Aptos Narrow" w:cs="Times New Roman"/>
                <w:b/>
                <w:bCs/>
                <w:color w:val="FFFFFF"/>
              </w:rPr>
              <w:t>2023</w:t>
            </w:r>
          </w:p>
        </w:tc>
      </w:tr>
      <w:tr w:rsidR="006B2BBA" w:rsidRPr="006B2BBA" w14:paraId="48A1497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0A7B58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Portland General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CEC0C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0.70</w:t>
            </w:r>
          </w:p>
        </w:tc>
        <w:tc>
          <w:tcPr>
            <w:tcW w:w="640" w:type="dxa"/>
            <w:tcBorders>
              <w:top w:val="single" w:sz="4" w:space="0" w:color="8ED973"/>
              <w:left w:val="nil"/>
              <w:bottom w:val="single" w:sz="4" w:space="0" w:color="8ED973"/>
              <w:right w:val="nil"/>
            </w:tcBorders>
            <w:shd w:val="clear" w:color="DAF2D0" w:fill="DAF2D0"/>
            <w:noWrap/>
            <w:vAlign w:val="bottom"/>
            <w:hideMark/>
          </w:tcPr>
          <w:p w14:paraId="46B132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16DC28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71419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7928F5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DAF2D0" w:fill="DAF2D0"/>
            <w:noWrap/>
            <w:vAlign w:val="bottom"/>
            <w:hideMark/>
          </w:tcPr>
          <w:p w14:paraId="33622D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5882B3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0.71</w:t>
            </w:r>
          </w:p>
        </w:tc>
        <w:tc>
          <w:tcPr>
            <w:tcW w:w="640" w:type="dxa"/>
            <w:tcBorders>
              <w:top w:val="single" w:sz="4" w:space="0" w:color="8ED973"/>
              <w:left w:val="nil"/>
              <w:bottom w:val="single" w:sz="4" w:space="0" w:color="8ED973"/>
              <w:right w:val="nil"/>
            </w:tcBorders>
            <w:shd w:val="clear" w:color="DAF2D0" w:fill="DAF2D0"/>
            <w:noWrap/>
            <w:vAlign w:val="bottom"/>
            <w:hideMark/>
          </w:tcPr>
          <w:p w14:paraId="293CC7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c>
          <w:tcPr>
            <w:tcW w:w="640" w:type="dxa"/>
            <w:tcBorders>
              <w:top w:val="single" w:sz="4" w:space="0" w:color="8ED973"/>
              <w:left w:val="nil"/>
              <w:bottom w:val="single" w:sz="4" w:space="0" w:color="8ED973"/>
              <w:right w:val="nil"/>
            </w:tcBorders>
            <w:shd w:val="clear" w:color="DAF2D0" w:fill="DAF2D0"/>
            <w:noWrap/>
            <w:vAlign w:val="bottom"/>
            <w:hideMark/>
          </w:tcPr>
          <w:p w14:paraId="1BB34D1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0.65</w:t>
            </w:r>
          </w:p>
        </w:tc>
      </w:tr>
      <w:tr w:rsidR="006B2BBA" w:rsidRPr="006B2BBA" w14:paraId="25F964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E8C397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Puget Sound Energy, Inc.</w:t>
            </w:r>
          </w:p>
        </w:tc>
        <w:tc>
          <w:tcPr>
            <w:tcW w:w="640" w:type="dxa"/>
            <w:tcBorders>
              <w:top w:val="single" w:sz="4" w:space="0" w:color="8ED973"/>
              <w:left w:val="nil"/>
              <w:bottom w:val="single" w:sz="4" w:space="0" w:color="8ED973"/>
              <w:right w:val="nil"/>
            </w:tcBorders>
            <w:shd w:val="clear" w:color="auto" w:fill="auto"/>
            <w:noWrap/>
            <w:vAlign w:val="bottom"/>
            <w:hideMark/>
          </w:tcPr>
          <w:p w14:paraId="14855E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0.57</w:t>
            </w:r>
          </w:p>
        </w:tc>
        <w:tc>
          <w:tcPr>
            <w:tcW w:w="640" w:type="dxa"/>
            <w:tcBorders>
              <w:top w:val="single" w:sz="4" w:space="0" w:color="8ED973"/>
              <w:left w:val="nil"/>
              <w:bottom w:val="single" w:sz="4" w:space="0" w:color="8ED973"/>
              <w:right w:val="nil"/>
            </w:tcBorders>
            <w:shd w:val="clear" w:color="auto" w:fill="auto"/>
            <w:noWrap/>
            <w:vAlign w:val="bottom"/>
            <w:hideMark/>
          </w:tcPr>
          <w:p w14:paraId="5B9681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0.47</w:t>
            </w:r>
          </w:p>
        </w:tc>
        <w:tc>
          <w:tcPr>
            <w:tcW w:w="640" w:type="dxa"/>
            <w:tcBorders>
              <w:top w:val="single" w:sz="4" w:space="0" w:color="8ED973"/>
              <w:left w:val="nil"/>
              <w:bottom w:val="single" w:sz="4" w:space="0" w:color="8ED973"/>
              <w:right w:val="nil"/>
            </w:tcBorders>
            <w:shd w:val="clear" w:color="auto" w:fill="auto"/>
            <w:noWrap/>
            <w:vAlign w:val="bottom"/>
            <w:hideMark/>
          </w:tcPr>
          <w:p w14:paraId="37EA9E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auto" w:fill="auto"/>
            <w:noWrap/>
            <w:vAlign w:val="bottom"/>
            <w:hideMark/>
          </w:tcPr>
          <w:p w14:paraId="3EC775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0.54</w:t>
            </w:r>
          </w:p>
        </w:tc>
        <w:tc>
          <w:tcPr>
            <w:tcW w:w="640" w:type="dxa"/>
            <w:tcBorders>
              <w:top w:val="single" w:sz="4" w:space="0" w:color="8ED973"/>
              <w:left w:val="nil"/>
              <w:bottom w:val="single" w:sz="4" w:space="0" w:color="8ED973"/>
              <w:right w:val="nil"/>
            </w:tcBorders>
            <w:shd w:val="clear" w:color="auto" w:fill="auto"/>
            <w:noWrap/>
            <w:vAlign w:val="bottom"/>
            <w:hideMark/>
          </w:tcPr>
          <w:p w14:paraId="04FCD3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24477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47B7292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0.73</w:t>
            </w:r>
          </w:p>
        </w:tc>
        <w:tc>
          <w:tcPr>
            <w:tcW w:w="640" w:type="dxa"/>
            <w:tcBorders>
              <w:top w:val="single" w:sz="4" w:space="0" w:color="8ED973"/>
              <w:left w:val="nil"/>
              <w:bottom w:val="single" w:sz="4" w:space="0" w:color="8ED973"/>
              <w:right w:val="nil"/>
            </w:tcBorders>
            <w:shd w:val="clear" w:color="auto" w:fill="auto"/>
            <w:noWrap/>
            <w:vAlign w:val="bottom"/>
            <w:hideMark/>
          </w:tcPr>
          <w:p w14:paraId="58B2D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0.79</w:t>
            </w:r>
          </w:p>
        </w:tc>
        <w:tc>
          <w:tcPr>
            <w:tcW w:w="640" w:type="dxa"/>
            <w:tcBorders>
              <w:top w:val="single" w:sz="4" w:space="0" w:color="8ED973"/>
              <w:left w:val="nil"/>
              <w:bottom w:val="single" w:sz="4" w:space="0" w:color="8ED973"/>
              <w:right w:val="nil"/>
            </w:tcBorders>
            <w:shd w:val="clear" w:color="auto" w:fill="auto"/>
            <w:noWrap/>
            <w:vAlign w:val="bottom"/>
            <w:hideMark/>
          </w:tcPr>
          <w:p w14:paraId="5FBB0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0.68</w:t>
            </w:r>
          </w:p>
        </w:tc>
      </w:tr>
      <w:tr w:rsidR="006B2BBA" w:rsidRPr="006B2BBA" w14:paraId="2608C5C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7FA82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City of Tacoma, Department of Public Utilities, Light Division</w:t>
            </w:r>
          </w:p>
        </w:tc>
        <w:tc>
          <w:tcPr>
            <w:tcW w:w="640" w:type="dxa"/>
            <w:tcBorders>
              <w:top w:val="single" w:sz="4" w:space="0" w:color="8ED973"/>
              <w:left w:val="nil"/>
              <w:bottom w:val="single" w:sz="4" w:space="0" w:color="8ED973"/>
              <w:right w:val="nil"/>
            </w:tcBorders>
            <w:shd w:val="clear" w:color="DAF2D0" w:fill="DAF2D0"/>
            <w:noWrap/>
            <w:vAlign w:val="bottom"/>
            <w:hideMark/>
          </w:tcPr>
          <w:p w14:paraId="1B62B5D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0.48</w:t>
            </w:r>
          </w:p>
        </w:tc>
        <w:tc>
          <w:tcPr>
            <w:tcW w:w="640" w:type="dxa"/>
            <w:tcBorders>
              <w:top w:val="single" w:sz="4" w:space="0" w:color="8ED973"/>
              <w:left w:val="nil"/>
              <w:bottom w:val="single" w:sz="4" w:space="0" w:color="8ED973"/>
              <w:right w:val="nil"/>
            </w:tcBorders>
            <w:shd w:val="clear" w:color="DAF2D0" w:fill="DAF2D0"/>
            <w:noWrap/>
            <w:vAlign w:val="bottom"/>
            <w:hideMark/>
          </w:tcPr>
          <w:p w14:paraId="34E5B7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6BC5C86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1DA74C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0.51</w:t>
            </w:r>
          </w:p>
        </w:tc>
        <w:tc>
          <w:tcPr>
            <w:tcW w:w="640" w:type="dxa"/>
            <w:tcBorders>
              <w:top w:val="single" w:sz="4" w:space="0" w:color="8ED973"/>
              <w:left w:val="nil"/>
              <w:bottom w:val="single" w:sz="4" w:space="0" w:color="8ED973"/>
              <w:right w:val="nil"/>
            </w:tcBorders>
            <w:shd w:val="clear" w:color="DAF2D0" w:fill="DAF2D0"/>
            <w:noWrap/>
            <w:vAlign w:val="bottom"/>
            <w:hideMark/>
          </w:tcPr>
          <w:p w14:paraId="36222BF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0.67</w:t>
            </w:r>
          </w:p>
        </w:tc>
        <w:tc>
          <w:tcPr>
            <w:tcW w:w="640" w:type="dxa"/>
            <w:tcBorders>
              <w:top w:val="single" w:sz="4" w:space="0" w:color="8ED973"/>
              <w:left w:val="nil"/>
              <w:bottom w:val="single" w:sz="4" w:space="0" w:color="8ED973"/>
              <w:right w:val="nil"/>
            </w:tcBorders>
            <w:shd w:val="clear" w:color="DAF2D0" w:fill="DAF2D0"/>
            <w:noWrap/>
            <w:vAlign w:val="bottom"/>
            <w:hideMark/>
          </w:tcPr>
          <w:p w14:paraId="57FCB5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14C576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DAF2D0" w:fill="DAF2D0"/>
            <w:noWrap/>
            <w:vAlign w:val="bottom"/>
            <w:hideMark/>
          </w:tcPr>
          <w:p w14:paraId="76634A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5A23AF4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r>
      <w:tr w:rsidR="006B2BBA" w:rsidRPr="006B2BBA" w14:paraId="5841B1F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996FD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 Paso Electric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4E6361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55A7A9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0.55</w:t>
            </w:r>
          </w:p>
        </w:tc>
        <w:tc>
          <w:tcPr>
            <w:tcW w:w="640" w:type="dxa"/>
            <w:tcBorders>
              <w:top w:val="single" w:sz="4" w:space="0" w:color="8ED973"/>
              <w:left w:val="nil"/>
              <w:bottom w:val="single" w:sz="4" w:space="0" w:color="8ED973"/>
              <w:right w:val="nil"/>
            </w:tcBorders>
            <w:shd w:val="clear" w:color="auto" w:fill="auto"/>
            <w:noWrap/>
            <w:vAlign w:val="bottom"/>
            <w:hideMark/>
          </w:tcPr>
          <w:p w14:paraId="1C0D4B3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c>
          <w:tcPr>
            <w:tcW w:w="640" w:type="dxa"/>
            <w:tcBorders>
              <w:top w:val="single" w:sz="4" w:space="0" w:color="8ED973"/>
              <w:left w:val="nil"/>
              <w:bottom w:val="single" w:sz="4" w:space="0" w:color="8ED973"/>
              <w:right w:val="nil"/>
            </w:tcBorders>
            <w:shd w:val="clear" w:color="auto" w:fill="auto"/>
            <w:noWrap/>
            <w:vAlign w:val="bottom"/>
            <w:hideMark/>
          </w:tcPr>
          <w:p w14:paraId="450A4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36493D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32CAD8C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auto" w:fill="auto"/>
            <w:noWrap/>
            <w:vAlign w:val="bottom"/>
            <w:hideMark/>
          </w:tcPr>
          <w:p w14:paraId="2AEA6D7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0.44</w:t>
            </w:r>
          </w:p>
        </w:tc>
        <w:tc>
          <w:tcPr>
            <w:tcW w:w="640" w:type="dxa"/>
            <w:tcBorders>
              <w:top w:val="single" w:sz="4" w:space="0" w:color="8ED973"/>
              <w:left w:val="nil"/>
              <w:bottom w:val="single" w:sz="4" w:space="0" w:color="8ED973"/>
              <w:right w:val="nil"/>
            </w:tcBorders>
            <w:shd w:val="clear" w:color="auto" w:fill="auto"/>
            <w:noWrap/>
            <w:vAlign w:val="bottom"/>
            <w:hideMark/>
          </w:tcPr>
          <w:p w14:paraId="7E75F9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0EEA942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r>
      <w:tr w:rsidR="006B2BBA" w:rsidRPr="006B2BBA" w14:paraId="73A6918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B564EB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West</w:t>
            </w:r>
          </w:p>
        </w:tc>
        <w:tc>
          <w:tcPr>
            <w:tcW w:w="640" w:type="dxa"/>
            <w:tcBorders>
              <w:top w:val="single" w:sz="4" w:space="0" w:color="8ED973"/>
              <w:left w:val="nil"/>
              <w:bottom w:val="single" w:sz="4" w:space="0" w:color="8ED973"/>
              <w:right w:val="nil"/>
            </w:tcBorders>
            <w:shd w:val="clear" w:color="DAF2D0" w:fill="DAF2D0"/>
            <w:noWrap/>
            <w:vAlign w:val="bottom"/>
            <w:hideMark/>
          </w:tcPr>
          <w:p w14:paraId="69169C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0.42</w:t>
            </w:r>
          </w:p>
        </w:tc>
        <w:tc>
          <w:tcPr>
            <w:tcW w:w="640" w:type="dxa"/>
            <w:tcBorders>
              <w:top w:val="single" w:sz="4" w:space="0" w:color="8ED973"/>
              <w:left w:val="nil"/>
              <w:bottom w:val="single" w:sz="4" w:space="0" w:color="8ED973"/>
              <w:right w:val="nil"/>
            </w:tcBorders>
            <w:shd w:val="clear" w:color="DAF2D0" w:fill="DAF2D0"/>
            <w:noWrap/>
            <w:vAlign w:val="bottom"/>
            <w:hideMark/>
          </w:tcPr>
          <w:p w14:paraId="237D87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0.64</w:t>
            </w:r>
          </w:p>
        </w:tc>
        <w:tc>
          <w:tcPr>
            <w:tcW w:w="640" w:type="dxa"/>
            <w:tcBorders>
              <w:top w:val="single" w:sz="4" w:space="0" w:color="8ED973"/>
              <w:left w:val="nil"/>
              <w:bottom w:val="single" w:sz="4" w:space="0" w:color="8ED973"/>
              <w:right w:val="nil"/>
            </w:tcBorders>
            <w:shd w:val="clear" w:color="DAF2D0" w:fill="DAF2D0"/>
            <w:noWrap/>
            <w:vAlign w:val="bottom"/>
            <w:hideMark/>
          </w:tcPr>
          <w:p w14:paraId="21BB86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0.66</w:t>
            </w:r>
          </w:p>
        </w:tc>
        <w:tc>
          <w:tcPr>
            <w:tcW w:w="640" w:type="dxa"/>
            <w:tcBorders>
              <w:top w:val="single" w:sz="4" w:space="0" w:color="8ED973"/>
              <w:left w:val="nil"/>
              <w:bottom w:val="single" w:sz="4" w:space="0" w:color="8ED973"/>
              <w:right w:val="nil"/>
            </w:tcBorders>
            <w:shd w:val="clear" w:color="DAF2D0" w:fill="DAF2D0"/>
            <w:noWrap/>
            <w:vAlign w:val="bottom"/>
            <w:hideMark/>
          </w:tcPr>
          <w:p w14:paraId="32336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0.56</w:t>
            </w:r>
          </w:p>
        </w:tc>
        <w:tc>
          <w:tcPr>
            <w:tcW w:w="640" w:type="dxa"/>
            <w:tcBorders>
              <w:top w:val="single" w:sz="4" w:space="0" w:color="8ED973"/>
              <w:left w:val="nil"/>
              <w:bottom w:val="single" w:sz="4" w:space="0" w:color="8ED973"/>
              <w:right w:val="nil"/>
            </w:tcBorders>
            <w:shd w:val="clear" w:color="DAF2D0" w:fill="DAF2D0"/>
            <w:noWrap/>
            <w:vAlign w:val="bottom"/>
            <w:hideMark/>
          </w:tcPr>
          <w:p w14:paraId="787CEA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0.58</w:t>
            </w:r>
          </w:p>
        </w:tc>
        <w:tc>
          <w:tcPr>
            <w:tcW w:w="640" w:type="dxa"/>
            <w:tcBorders>
              <w:top w:val="single" w:sz="4" w:space="0" w:color="8ED973"/>
              <w:left w:val="nil"/>
              <w:bottom w:val="single" w:sz="4" w:space="0" w:color="8ED973"/>
              <w:right w:val="nil"/>
            </w:tcBorders>
            <w:shd w:val="clear" w:color="DAF2D0" w:fill="DAF2D0"/>
            <w:noWrap/>
            <w:vAlign w:val="bottom"/>
            <w:hideMark/>
          </w:tcPr>
          <w:p w14:paraId="6B4042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1B34AF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F3F48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D06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r>
      <w:tr w:rsidR="006B2BBA" w:rsidRPr="006B2BBA" w14:paraId="03B241B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82AE4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Avista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008DF7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153DE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0.43</w:t>
            </w:r>
          </w:p>
        </w:tc>
        <w:tc>
          <w:tcPr>
            <w:tcW w:w="640" w:type="dxa"/>
            <w:tcBorders>
              <w:top w:val="single" w:sz="4" w:space="0" w:color="8ED973"/>
              <w:left w:val="nil"/>
              <w:bottom w:val="single" w:sz="4" w:space="0" w:color="8ED973"/>
              <w:right w:val="nil"/>
            </w:tcBorders>
            <w:shd w:val="clear" w:color="auto" w:fill="auto"/>
            <w:noWrap/>
            <w:vAlign w:val="bottom"/>
            <w:hideMark/>
          </w:tcPr>
          <w:p w14:paraId="699CAB5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0.46</w:t>
            </w:r>
          </w:p>
        </w:tc>
        <w:tc>
          <w:tcPr>
            <w:tcW w:w="640" w:type="dxa"/>
            <w:tcBorders>
              <w:top w:val="single" w:sz="4" w:space="0" w:color="8ED973"/>
              <w:left w:val="nil"/>
              <w:bottom w:val="single" w:sz="4" w:space="0" w:color="8ED973"/>
              <w:right w:val="nil"/>
            </w:tcBorders>
            <w:shd w:val="clear" w:color="auto" w:fill="auto"/>
            <w:noWrap/>
            <w:vAlign w:val="bottom"/>
            <w:hideMark/>
          </w:tcPr>
          <w:p w14:paraId="3A658A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647BB04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7825FD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auto" w:fill="auto"/>
            <w:noWrap/>
            <w:vAlign w:val="bottom"/>
            <w:hideMark/>
          </w:tcPr>
          <w:p w14:paraId="647C72F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auto" w:fill="auto"/>
            <w:noWrap/>
            <w:vAlign w:val="bottom"/>
            <w:hideMark/>
          </w:tcPr>
          <w:p w14:paraId="15546E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32B00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r>
      <w:tr w:rsidR="006B2BBA" w:rsidRPr="006B2BBA" w14:paraId="08C9AC0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8901059"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Seattle City Light</w:t>
            </w:r>
          </w:p>
        </w:tc>
        <w:tc>
          <w:tcPr>
            <w:tcW w:w="640" w:type="dxa"/>
            <w:tcBorders>
              <w:top w:val="single" w:sz="4" w:space="0" w:color="8ED973"/>
              <w:left w:val="nil"/>
              <w:bottom w:val="single" w:sz="4" w:space="0" w:color="8ED973"/>
              <w:right w:val="nil"/>
            </w:tcBorders>
            <w:shd w:val="clear" w:color="DAF2D0" w:fill="DAF2D0"/>
            <w:noWrap/>
            <w:vAlign w:val="bottom"/>
            <w:hideMark/>
          </w:tcPr>
          <w:p w14:paraId="79D024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11E2A8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3D5306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35223F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0.35</w:t>
            </w:r>
          </w:p>
        </w:tc>
        <w:tc>
          <w:tcPr>
            <w:tcW w:w="640" w:type="dxa"/>
            <w:tcBorders>
              <w:top w:val="single" w:sz="4" w:space="0" w:color="8ED973"/>
              <w:left w:val="nil"/>
              <w:bottom w:val="single" w:sz="4" w:space="0" w:color="8ED973"/>
              <w:right w:val="nil"/>
            </w:tcBorders>
            <w:shd w:val="clear" w:color="DAF2D0" w:fill="DAF2D0"/>
            <w:noWrap/>
            <w:vAlign w:val="bottom"/>
            <w:hideMark/>
          </w:tcPr>
          <w:p w14:paraId="7DDD867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0.45</w:t>
            </w:r>
          </w:p>
        </w:tc>
        <w:tc>
          <w:tcPr>
            <w:tcW w:w="640" w:type="dxa"/>
            <w:tcBorders>
              <w:top w:val="single" w:sz="4" w:space="0" w:color="8ED973"/>
              <w:left w:val="nil"/>
              <w:bottom w:val="single" w:sz="4" w:space="0" w:color="8ED973"/>
              <w:right w:val="nil"/>
            </w:tcBorders>
            <w:shd w:val="clear" w:color="DAF2D0" w:fill="DAF2D0"/>
            <w:noWrap/>
            <w:vAlign w:val="bottom"/>
            <w:hideMark/>
          </w:tcPr>
          <w:p w14:paraId="367C987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64F2C6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DAF2D0" w:fill="DAF2D0"/>
            <w:noWrap/>
            <w:vAlign w:val="bottom"/>
            <w:hideMark/>
          </w:tcPr>
          <w:p w14:paraId="50BBED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548B8D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0.52</w:t>
            </w:r>
          </w:p>
        </w:tc>
      </w:tr>
      <w:tr w:rsidR="006B2BBA" w:rsidRPr="006B2BBA" w14:paraId="4DCA019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BD8977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West</w:t>
            </w:r>
          </w:p>
        </w:tc>
        <w:tc>
          <w:tcPr>
            <w:tcW w:w="640" w:type="dxa"/>
            <w:tcBorders>
              <w:top w:val="single" w:sz="4" w:space="0" w:color="8ED973"/>
              <w:left w:val="nil"/>
              <w:bottom w:val="single" w:sz="4" w:space="0" w:color="8ED973"/>
              <w:right w:val="nil"/>
            </w:tcBorders>
            <w:shd w:val="clear" w:color="auto" w:fill="auto"/>
            <w:noWrap/>
            <w:vAlign w:val="bottom"/>
            <w:hideMark/>
          </w:tcPr>
          <w:p w14:paraId="7F37F9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216B05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21CE52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auto" w:fill="auto"/>
            <w:noWrap/>
            <w:vAlign w:val="bottom"/>
            <w:hideMark/>
          </w:tcPr>
          <w:p w14:paraId="033FBB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auto" w:fill="auto"/>
            <w:noWrap/>
            <w:vAlign w:val="bottom"/>
            <w:hideMark/>
          </w:tcPr>
          <w:p w14:paraId="3F02AC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auto" w:fill="auto"/>
            <w:noWrap/>
            <w:vAlign w:val="bottom"/>
            <w:hideMark/>
          </w:tcPr>
          <w:p w14:paraId="64B2F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FF138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auto" w:fill="auto"/>
            <w:noWrap/>
            <w:vAlign w:val="bottom"/>
            <w:hideMark/>
          </w:tcPr>
          <w:p w14:paraId="24003A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0.61</w:t>
            </w:r>
          </w:p>
        </w:tc>
        <w:tc>
          <w:tcPr>
            <w:tcW w:w="640" w:type="dxa"/>
            <w:tcBorders>
              <w:top w:val="single" w:sz="4" w:space="0" w:color="8ED973"/>
              <w:left w:val="nil"/>
              <w:bottom w:val="single" w:sz="4" w:space="0" w:color="8ED973"/>
              <w:right w:val="nil"/>
            </w:tcBorders>
            <w:shd w:val="clear" w:color="auto" w:fill="auto"/>
            <w:noWrap/>
            <w:vAlign w:val="bottom"/>
            <w:hideMark/>
          </w:tcPr>
          <w:p w14:paraId="37DA53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0.75</w:t>
            </w:r>
          </w:p>
        </w:tc>
      </w:tr>
      <w:tr w:rsidR="006B2BBA" w:rsidRPr="006B2BBA" w14:paraId="60F80C8F"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59AB2E6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 Carolina Public Service Authority</w:t>
            </w:r>
          </w:p>
        </w:tc>
        <w:tc>
          <w:tcPr>
            <w:tcW w:w="640" w:type="dxa"/>
            <w:tcBorders>
              <w:top w:val="single" w:sz="4" w:space="0" w:color="8ED973"/>
              <w:left w:val="nil"/>
              <w:bottom w:val="single" w:sz="4" w:space="0" w:color="8ED973"/>
              <w:right w:val="nil"/>
            </w:tcBorders>
            <w:shd w:val="clear" w:color="DAF2D0" w:fill="DAF2D0"/>
            <w:noWrap/>
            <w:vAlign w:val="bottom"/>
            <w:hideMark/>
          </w:tcPr>
          <w:p w14:paraId="17211D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6C74EA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C59C80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7B5B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0277D7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0.39</w:t>
            </w:r>
          </w:p>
        </w:tc>
        <w:tc>
          <w:tcPr>
            <w:tcW w:w="640" w:type="dxa"/>
            <w:tcBorders>
              <w:top w:val="single" w:sz="4" w:space="0" w:color="8ED973"/>
              <w:left w:val="nil"/>
              <w:bottom w:val="single" w:sz="4" w:space="0" w:color="8ED973"/>
              <w:right w:val="nil"/>
            </w:tcBorders>
            <w:shd w:val="clear" w:color="DAF2D0" w:fill="DAF2D0"/>
            <w:noWrap/>
            <w:vAlign w:val="bottom"/>
            <w:hideMark/>
          </w:tcPr>
          <w:p w14:paraId="4A8085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DAF2D0" w:fill="DAF2D0"/>
            <w:noWrap/>
            <w:vAlign w:val="bottom"/>
            <w:hideMark/>
          </w:tcPr>
          <w:p w14:paraId="3F9233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66DEC0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0.36</w:t>
            </w:r>
          </w:p>
        </w:tc>
        <w:tc>
          <w:tcPr>
            <w:tcW w:w="640" w:type="dxa"/>
            <w:tcBorders>
              <w:top w:val="single" w:sz="4" w:space="0" w:color="8ED973"/>
              <w:left w:val="nil"/>
              <w:bottom w:val="single" w:sz="4" w:space="0" w:color="8ED973"/>
              <w:right w:val="nil"/>
            </w:tcBorders>
            <w:shd w:val="clear" w:color="DAF2D0" w:fill="DAF2D0"/>
            <w:noWrap/>
            <w:vAlign w:val="bottom"/>
            <w:hideMark/>
          </w:tcPr>
          <w:p w14:paraId="0A89BB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r>
      <w:tr w:rsidR="006B2BBA" w:rsidRPr="006B2BBA" w14:paraId="59E2D1A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6A18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Tucson Electric Power</w:t>
            </w:r>
          </w:p>
        </w:tc>
        <w:tc>
          <w:tcPr>
            <w:tcW w:w="640" w:type="dxa"/>
            <w:tcBorders>
              <w:top w:val="single" w:sz="4" w:space="0" w:color="8ED973"/>
              <w:left w:val="nil"/>
              <w:bottom w:val="single" w:sz="4" w:space="0" w:color="8ED973"/>
              <w:right w:val="nil"/>
            </w:tcBorders>
            <w:shd w:val="clear" w:color="auto" w:fill="auto"/>
            <w:noWrap/>
            <w:vAlign w:val="bottom"/>
            <w:hideMark/>
          </w:tcPr>
          <w:p w14:paraId="447011E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1A6CDF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0.38</w:t>
            </w:r>
          </w:p>
        </w:tc>
        <w:tc>
          <w:tcPr>
            <w:tcW w:w="640" w:type="dxa"/>
            <w:tcBorders>
              <w:top w:val="single" w:sz="4" w:space="0" w:color="8ED973"/>
              <w:left w:val="nil"/>
              <w:bottom w:val="single" w:sz="4" w:space="0" w:color="8ED973"/>
              <w:right w:val="nil"/>
            </w:tcBorders>
            <w:shd w:val="clear" w:color="auto" w:fill="auto"/>
            <w:noWrap/>
            <w:vAlign w:val="bottom"/>
            <w:hideMark/>
          </w:tcPr>
          <w:p w14:paraId="5DD0D87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300D0F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001A17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410A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auto" w:fill="auto"/>
            <w:noWrap/>
            <w:vAlign w:val="bottom"/>
            <w:hideMark/>
          </w:tcPr>
          <w:p w14:paraId="0D30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1FC156E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auto" w:fill="auto"/>
            <w:noWrap/>
            <w:vAlign w:val="bottom"/>
            <w:hideMark/>
          </w:tcPr>
          <w:p w14:paraId="572FA5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r>
      <w:tr w:rsidR="006B2BBA" w:rsidRPr="006B2BBA" w14:paraId="708CAFB7"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D92474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Idaho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1FC4D3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0.29</w:t>
            </w:r>
          </w:p>
        </w:tc>
        <w:tc>
          <w:tcPr>
            <w:tcW w:w="640" w:type="dxa"/>
            <w:tcBorders>
              <w:top w:val="single" w:sz="4" w:space="0" w:color="8ED973"/>
              <w:left w:val="nil"/>
              <w:bottom w:val="single" w:sz="4" w:space="0" w:color="8ED973"/>
              <w:right w:val="nil"/>
            </w:tcBorders>
            <w:shd w:val="clear" w:color="DAF2D0" w:fill="DAF2D0"/>
            <w:noWrap/>
            <w:vAlign w:val="bottom"/>
            <w:hideMark/>
          </w:tcPr>
          <w:p w14:paraId="5CFC0A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0.32</w:t>
            </w:r>
          </w:p>
        </w:tc>
        <w:tc>
          <w:tcPr>
            <w:tcW w:w="640" w:type="dxa"/>
            <w:tcBorders>
              <w:top w:val="single" w:sz="4" w:space="0" w:color="8ED973"/>
              <w:left w:val="nil"/>
              <w:bottom w:val="single" w:sz="4" w:space="0" w:color="8ED973"/>
              <w:right w:val="nil"/>
            </w:tcBorders>
            <w:shd w:val="clear" w:color="DAF2D0" w:fill="DAF2D0"/>
            <w:noWrap/>
            <w:vAlign w:val="bottom"/>
            <w:hideMark/>
          </w:tcPr>
          <w:p w14:paraId="4C25C88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089E4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DAF2D0" w:fill="DAF2D0"/>
            <w:noWrap/>
            <w:vAlign w:val="bottom"/>
            <w:hideMark/>
          </w:tcPr>
          <w:p w14:paraId="2509B1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7FEC4C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273812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D1820F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DAF2D0" w:fill="DAF2D0"/>
            <w:noWrap/>
            <w:vAlign w:val="bottom"/>
            <w:hideMark/>
          </w:tcPr>
          <w:p w14:paraId="11B53A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53136E09"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03DE69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Balancing Authority of Northern California</w:t>
            </w:r>
          </w:p>
        </w:tc>
        <w:tc>
          <w:tcPr>
            <w:tcW w:w="640" w:type="dxa"/>
            <w:tcBorders>
              <w:top w:val="single" w:sz="4" w:space="0" w:color="8ED973"/>
              <w:left w:val="nil"/>
              <w:bottom w:val="single" w:sz="4" w:space="0" w:color="8ED973"/>
              <w:right w:val="nil"/>
            </w:tcBorders>
            <w:shd w:val="clear" w:color="auto" w:fill="auto"/>
            <w:noWrap/>
            <w:vAlign w:val="bottom"/>
            <w:hideMark/>
          </w:tcPr>
          <w:p w14:paraId="41C3B99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0CB2EEE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783FE1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2DB7A0F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78A6A05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62B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auto" w:fill="auto"/>
            <w:noWrap/>
            <w:vAlign w:val="bottom"/>
            <w:hideMark/>
          </w:tcPr>
          <w:p w14:paraId="05E9DEA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781042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c>
          <w:tcPr>
            <w:tcW w:w="640" w:type="dxa"/>
            <w:tcBorders>
              <w:top w:val="single" w:sz="4" w:space="0" w:color="8ED973"/>
              <w:left w:val="nil"/>
              <w:bottom w:val="single" w:sz="4" w:space="0" w:color="8ED973"/>
              <w:right w:val="nil"/>
            </w:tcBorders>
            <w:shd w:val="clear" w:color="auto" w:fill="auto"/>
            <w:noWrap/>
            <w:vAlign w:val="bottom"/>
            <w:hideMark/>
          </w:tcPr>
          <w:p w14:paraId="22E555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78D3F5B3"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B7139F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California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31C9AB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20CE91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2FA766C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DAF2D0" w:fill="DAF2D0"/>
            <w:noWrap/>
            <w:vAlign w:val="bottom"/>
            <w:hideMark/>
          </w:tcPr>
          <w:p w14:paraId="441E6C9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5E3861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340FAEB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58AF2C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347378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E2ABE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3168BE0A"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685D0EE"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Florida, Inc.</w:t>
            </w:r>
          </w:p>
        </w:tc>
        <w:tc>
          <w:tcPr>
            <w:tcW w:w="640" w:type="dxa"/>
            <w:tcBorders>
              <w:top w:val="single" w:sz="4" w:space="0" w:color="8ED973"/>
              <w:left w:val="nil"/>
              <w:bottom w:val="single" w:sz="4" w:space="0" w:color="8ED973"/>
              <w:right w:val="nil"/>
            </w:tcBorders>
            <w:shd w:val="clear" w:color="auto" w:fill="auto"/>
            <w:noWrap/>
            <w:vAlign w:val="bottom"/>
            <w:hideMark/>
          </w:tcPr>
          <w:p w14:paraId="06AD32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3D856A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4264F9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6C805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0.26</w:t>
            </w:r>
          </w:p>
        </w:tc>
        <w:tc>
          <w:tcPr>
            <w:tcW w:w="640" w:type="dxa"/>
            <w:tcBorders>
              <w:top w:val="single" w:sz="4" w:space="0" w:color="8ED973"/>
              <w:left w:val="nil"/>
              <w:bottom w:val="single" w:sz="4" w:space="0" w:color="8ED973"/>
              <w:right w:val="nil"/>
            </w:tcBorders>
            <w:shd w:val="clear" w:color="auto" w:fill="auto"/>
            <w:noWrap/>
            <w:vAlign w:val="bottom"/>
            <w:hideMark/>
          </w:tcPr>
          <w:p w14:paraId="32906B5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971C5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4CB215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0.23</w:t>
            </w:r>
          </w:p>
        </w:tc>
        <w:tc>
          <w:tcPr>
            <w:tcW w:w="640" w:type="dxa"/>
            <w:tcBorders>
              <w:top w:val="single" w:sz="4" w:space="0" w:color="8ED973"/>
              <w:left w:val="nil"/>
              <w:bottom w:val="single" w:sz="4" w:space="0" w:color="8ED973"/>
              <w:right w:val="nil"/>
            </w:tcBorders>
            <w:shd w:val="clear" w:color="auto" w:fill="auto"/>
            <w:noWrap/>
            <w:vAlign w:val="bottom"/>
            <w:hideMark/>
          </w:tcPr>
          <w:p w14:paraId="66F6F38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2AE86B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r>
      <w:tr w:rsidR="006B2BBA" w:rsidRPr="006B2BBA" w14:paraId="6D10E495"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A4F5C6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JEA</w:t>
            </w:r>
          </w:p>
        </w:tc>
        <w:tc>
          <w:tcPr>
            <w:tcW w:w="640" w:type="dxa"/>
            <w:tcBorders>
              <w:top w:val="single" w:sz="4" w:space="0" w:color="8ED973"/>
              <w:left w:val="nil"/>
              <w:bottom w:val="single" w:sz="4" w:space="0" w:color="8ED973"/>
              <w:right w:val="nil"/>
            </w:tcBorders>
            <w:shd w:val="clear" w:color="DAF2D0" w:fill="DAF2D0"/>
            <w:noWrap/>
            <w:vAlign w:val="bottom"/>
            <w:hideMark/>
          </w:tcPr>
          <w:p w14:paraId="71989B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06A2E2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1D2C8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7E6871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c>
          <w:tcPr>
            <w:tcW w:w="640" w:type="dxa"/>
            <w:tcBorders>
              <w:top w:val="single" w:sz="4" w:space="0" w:color="8ED973"/>
              <w:left w:val="nil"/>
              <w:bottom w:val="single" w:sz="4" w:space="0" w:color="8ED973"/>
              <w:right w:val="nil"/>
            </w:tcBorders>
            <w:shd w:val="clear" w:color="DAF2D0" w:fill="DAF2D0"/>
            <w:noWrap/>
            <w:vAlign w:val="bottom"/>
            <w:hideMark/>
          </w:tcPr>
          <w:p w14:paraId="07D17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0.33</w:t>
            </w:r>
          </w:p>
        </w:tc>
        <w:tc>
          <w:tcPr>
            <w:tcW w:w="640" w:type="dxa"/>
            <w:tcBorders>
              <w:top w:val="single" w:sz="4" w:space="0" w:color="8ED973"/>
              <w:left w:val="nil"/>
              <w:bottom w:val="single" w:sz="4" w:space="0" w:color="8ED973"/>
              <w:right w:val="nil"/>
            </w:tcBorders>
            <w:shd w:val="clear" w:color="DAF2D0" w:fill="DAF2D0"/>
            <w:noWrap/>
            <w:vAlign w:val="bottom"/>
            <w:hideMark/>
          </w:tcPr>
          <w:p w14:paraId="0AAFE4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DAF2D0" w:fill="DAF2D0"/>
            <w:noWrap/>
            <w:vAlign w:val="bottom"/>
            <w:hideMark/>
          </w:tcPr>
          <w:p w14:paraId="18E987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DAF2D0" w:fill="DAF2D0"/>
            <w:noWrap/>
            <w:vAlign w:val="bottom"/>
            <w:hideMark/>
          </w:tcPr>
          <w:p w14:paraId="51FA83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0.28</w:t>
            </w:r>
          </w:p>
        </w:tc>
        <w:tc>
          <w:tcPr>
            <w:tcW w:w="640" w:type="dxa"/>
            <w:tcBorders>
              <w:top w:val="single" w:sz="4" w:space="0" w:color="8ED973"/>
              <w:left w:val="nil"/>
              <w:bottom w:val="single" w:sz="4" w:space="0" w:color="8ED973"/>
              <w:right w:val="nil"/>
            </w:tcBorders>
            <w:shd w:val="clear" w:color="DAF2D0" w:fill="DAF2D0"/>
            <w:noWrap/>
            <w:vAlign w:val="bottom"/>
            <w:hideMark/>
          </w:tcPr>
          <w:p w14:paraId="129B5B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0.31</w:t>
            </w:r>
          </w:p>
        </w:tc>
      </w:tr>
      <w:tr w:rsidR="006B2BBA" w:rsidRPr="006B2BBA" w14:paraId="3E82470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C1E07B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Los Angeles Department of Water and Power</w:t>
            </w:r>
          </w:p>
        </w:tc>
        <w:tc>
          <w:tcPr>
            <w:tcW w:w="640" w:type="dxa"/>
            <w:tcBorders>
              <w:top w:val="single" w:sz="4" w:space="0" w:color="8ED973"/>
              <w:left w:val="nil"/>
              <w:bottom w:val="single" w:sz="4" w:space="0" w:color="8ED973"/>
              <w:right w:val="nil"/>
            </w:tcBorders>
            <w:shd w:val="clear" w:color="auto" w:fill="auto"/>
            <w:noWrap/>
            <w:vAlign w:val="bottom"/>
            <w:hideMark/>
          </w:tcPr>
          <w:p w14:paraId="671BAE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2C0E0A2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31A925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40FF79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23E807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c>
          <w:tcPr>
            <w:tcW w:w="640" w:type="dxa"/>
            <w:tcBorders>
              <w:top w:val="single" w:sz="4" w:space="0" w:color="8ED973"/>
              <w:left w:val="nil"/>
              <w:bottom w:val="single" w:sz="4" w:space="0" w:color="8ED973"/>
              <w:right w:val="nil"/>
            </w:tcBorders>
            <w:shd w:val="clear" w:color="auto" w:fill="auto"/>
            <w:noWrap/>
            <w:vAlign w:val="bottom"/>
            <w:hideMark/>
          </w:tcPr>
          <w:p w14:paraId="1770855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52B8E1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19BC5FD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0.25</w:t>
            </w:r>
          </w:p>
        </w:tc>
        <w:tc>
          <w:tcPr>
            <w:tcW w:w="640" w:type="dxa"/>
            <w:tcBorders>
              <w:top w:val="single" w:sz="4" w:space="0" w:color="8ED973"/>
              <w:left w:val="nil"/>
              <w:bottom w:val="single" w:sz="4" w:space="0" w:color="8ED973"/>
              <w:right w:val="nil"/>
            </w:tcBorders>
            <w:shd w:val="clear" w:color="auto" w:fill="auto"/>
            <w:noWrap/>
            <w:vAlign w:val="bottom"/>
            <w:hideMark/>
          </w:tcPr>
          <w:p w14:paraId="6AB50B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0.27</w:t>
            </w:r>
          </w:p>
        </w:tc>
      </w:tr>
      <w:tr w:rsidR="006B2BBA" w:rsidRPr="006B2BBA" w14:paraId="0D55939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6EBB9A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Desert Southwest Region</w:t>
            </w:r>
          </w:p>
        </w:tc>
        <w:tc>
          <w:tcPr>
            <w:tcW w:w="640" w:type="dxa"/>
            <w:tcBorders>
              <w:top w:val="single" w:sz="4" w:space="0" w:color="8ED973"/>
              <w:left w:val="nil"/>
              <w:bottom w:val="single" w:sz="4" w:space="0" w:color="8ED973"/>
              <w:right w:val="nil"/>
            </w:tcBorders>
            <w:shd w:val="clear" w:color="DAF2D0" w:fill="DAF2D0"/>
            <w:noWrap/>
            <w:vAlign w:val="bottom"/>
            <w:hideMark/>
          </w:tcPr>
          <w:p w14:paraId="3C3D00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B37AC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DAF2D0" w:fill="DAF2D0"/>
            <w:noWrap/>
            <w:vAlign w:val="bottom"/>
            <w:hideMark/>
          </w:tcPr>
          <w:p w14:paraId="71ECB8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DAF2D0" w:fill="DAF2D0"/>
            <w:noWrap/>
            <w:vAlign w:val="bottom"/>
            <w:hideMark/>
          </w:tcPr>
          <w:p w14:paraId="217B184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0.30</w:t>
            </w:r>
          </w:p>
        </w:tc>
        <w:tc>
          <w:tcPr>
            <w:tcW w:w="640" w:type="dxa"/>
            <w:tcBorders>
              <w:top w:val="single" w:sz="4" w:space="0" w:color="8ED973"/>
              <w:left w:val="nil"/>
              <w:bottom w:val="single" w:sz="4" w:space="0" w:color="8ED973"/>
              <w:right w:val="nil"/>
            </w:tcBorders>
            <w:shd w:val="clear" w:color="DAF2D0" w:fill="DAF2D0"/>
            <w:noWrap/>
            <w:vAlign w:val="bottom"/>
            <w:hideMark/>
          </w:tcPr>
          <w:p w14:paraId="0A5FE4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1BCE6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0.10</w:t>
            </w:r>
          </w:p>
        </w:tc>
        <w:tc>
          <w:tcPr>
            <w:tcW w:w="640" w:type="dxa"/>
            <w:tcBorders>
              <w:top w:val="single" w:sz="4" w:space="0" w:color="8ED973"/>
              <w:left w:val="nil"/>
              <w:bottom w:val="single" w:sz="4" w:space="0" w:color="8ED973"/>
              <w:right w:val="nil"/>
            </w:tcBorders>
            <w:shd w:val="clear" w:color="DAF2D0" w:fill="DAF2D0"/>
            <w:noWrap/>
            <w:vAlign w:val="bottom"/>
            <w:hideMark/>
          </w:tcPr>
          <w:p w14:paraId="5905AF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A3911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0.13</w:t>
            </w:r>
          </w:p>
        </w:tc>
        <w:tc>
          <w:tcPr>
            <w:tcW w:w="640" w:type="dxa"/>
            <w:tcBorders>
              <w:top w:val="single" w:sz="4" w:space="0" w:color="8ED973"/>
              <w:left w:val="nil"/>
              <w:bottom w:val="single" w:sz="4" w:space="0" w:color="8ED973"/>
              <w:right w:val="nil"/>
            </w:tcBorders>
            <w:shd w:val="clear" w:color="DAF2D0" w:fill="DAF2D0"/>
            <w:noWrap/>
            <w:vAlign w:val="bottom"/>
            <w:hideMark/>
          </w:tcPr>
          <w:p w14:paraId="0A4ED53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72D9522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70CCD9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ISO New England</w:t>
            </w:r>
          </w:p>
        </w:tc>
        <w:tc>
          <w:tcPr>
            <w:tcW w:w="640" w:type="dxa"/>
            <w:tcBorders>
              <w:top w:val="single" w:sz="4" w:space="0" w:color="8ED973"/>
              <w:left w:val="nil"/>
              <w:bottom w:val="single" w:sz="4" w:space="0" w:color="8ED973"/>
              <w:right w:val="nil"/>
            </w:tcBorders>
            <w:shd w:val="clear" w:color="auto" w:fill="auto"/>
            <w:noWrap/>
            <w:vAlign w:val="bottom"/>
            <w:hideMark/>
          </w:tcPr>
          <w:p w14:paraId="3137243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2B754B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4DDBF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09EE8C9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auto" w:fill="auto"/>
            <w:noWrap/>
            <w:vAlign w:val="bottom"/>
            <w:hideMark/>
          </w:tcPr>
          <w:p w14:paraId="1F955C4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auto" w:fill="auto"/>
            <w:noWrap/>
            <w:vAlign w:val="bottom"/>
            <w:hideMark/>
          </w:tcPr>
          <w:p w14:paraId="400198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auto" w:fill="auto"/>
            <w:noWrap/>
            <w:vAlign w:val="bottom"/>
            <w:hideMark/>
          </w:tcPr>
          <w:p w14:paraId="18520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1E2DB0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auto" w:fill="auto"/>
            <w:noWrap/>
            <w:vAlign w:val="bottom"/>
            <w:hideMark/>
          </w:tcPr>
          <w:p w14:paraId="59E9A12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r>
      <w:tr w:rsidR="006B2BBA" w:rsidRPr="006B2BBA" w14:paraId="47FE838B"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6327AD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Nevada Power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299F529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602F2A9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0C81B94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0.22</w:t>
            </w:r>
          </w:p>
        </w:tc>
        <w:tc>
          <w:tcPr>
            <w:tcW w:w="640" w:type="dxa"/>
            <w:tcBorders>
              <w:top w:val="single" w:sz="4" w:space="0" w:color="8ED973"/>
              <w:left w:val="nil"/>
              <w:bottom w:val="single" w:sz="4" w:space="0" w:color="8ED973"/>
              <w:right w:val="nil"/>
            </w:tcBorders>
            <w:shd w:val="clear" w:color="DAF2D0" w:fill="DAF2D0"/>
            <w:noWrap/>
            <w:vAlign w:val="bottom"/>
            <w:hideMark/>
          </w:tcPr>
          <w:p w14:paraId="67AC90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0.20</w:t>
            </w:r>
          </w:p>
        </w:tc>
        <w:tc>
          <w:tcPr>
            <w:tcW w:w="640" w:type="dxa"/>
            <w:tcBorders>
              <w:top w:val="single" w:sz="4" w:space="0" w:color="8ED973"/>
              <w:left w:val="nil"/>
              <w:bottom w:val="single" w:sz="4" w:space="0" w:color="8ED973"/>
              <w:right w:val="nil"/>
            </w:tcBorders>
            <w:shd w:val="clear" w:color="DAF2D0" w:fill="DAF2D0"/>
            <w:noWrap/>
            <w:vAlign w:val="bottom"/>
            <w:hideMark/>
          </w:tcPr>
          <w:p w14:paraId="622817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37209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78447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28A65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108E8E8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0.15</w:t>
            </w:r>
          </w:p>
        </w:tc>
      </w:tr>
      <w:tr w:rsidR="006B2BBA" w:rsidRPr="006B2BBA" w14:paraId="4E0B2873"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0A0955A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Arizona Public Service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232869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auto" w:fill="auto"/>
            <w:noWrap/>
            <w:vAlign w:val="bottom"/>
            <w:hideMark/>
          </w:tcPr>
          <w:p w14:paraId="606CA7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651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782EA5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65473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C6A4F5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0.24</w:t>
            </w:r>
          </w:p>
        </w:tc>
        <w:tc>
          <w:tcPr>
            <w:tcW w:w="640" w:type="dxa"/>
            <w:tcBorders>
              <w:top w:val="single" w:sz="4" w:space="0" w:color="8ED973"/>
              <w:left w:val="nil"/>
              <w:bottom w:val="single" w:sz="4" w:space="0" w:color="8ED973"/>
              <w:right w:val="nil"/>
            </w:tcBorders>
            <w:shd w:val="clear" w:color="auto" w:fill="auto"/>
            <w:noWrap/>
            <w:vAlign w:val="bottom"/>
            <w:hideMark/>
          </w:tcPr>
          <w:p w14:paraId="6571A8B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0.37</w:t>
            </w:r>
          </w:p>
        </w:tc>
        <w:tc>
          <w:tcPr>
            <w:tcW w:w="640" w:type="dxa"/>
            <w:tcBorders>
              <w:top w:val="single" w:sz="4" w:space="0" w:color="8ED973"/>
              <w:left w:val="nil"/>
              <w:bottom w:val="single" w:sz="4" w:space="0" w:color="8ED973"/>
              <w:right w:val="nil"/>
            </w:tcBorders>
            <w:shd w:val="clear" w:color="auto" w:fill="auto"/>
            <w:noWrap/>
            <w:vAlign w:val="bottom"/>
            <w:hideMark/>
          </w:tcPr>
          <w:p w14:paraId="54619F7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0.34</w:t>
            </w:r>
          </w:p>
        </w:tc>
        <w:tc>
          <w:tcPr>
            <w:tcW w:w="640" w:type="dxa"/>
            <w:tcBorders>
              <w:top w:val="single" w:sz="4" w:space="0" w:color="8ED973"/>
              <w:left w:val="nil"/>
              <w:bottom w:val="single" w:sz="4" w:space="0" w:color="8ED973"/>
              <w:right w:val="nil"/>
            </w:tcBorders>
            <w:shd w:val="clear" w:color="auto" w:fill="auto"/>
            <w:noWrap/>
            <w:vAlign w:val="bottom"/>
            <w:hideMark/>
          </w:tcPr>
          <w:p w14:paraId="402E5F4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0.40</w:t>
            </w:r>
          </w:p>
        </w:tc>
      </w:tr>
      <w:tr w:rsidR="006B2BBA" w:rsidRPr="006B2BBA" w14:paraId="0A8FF85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D1B99F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New York Independent System Operator</w:t>
            </w:r>
          </w:p>
        </w:tc>
        <w:tc>
          <w:tcPr>
            <w:tcW w:w="640" w:type="dxa"/>
            <w:tcBorders>
              <w:top w:val="single" w:sz="4" w:space="0" w:color="8ED973"/>
              <w:left w:val="nil"/>
              <w:bottom w:val="single" w:sz="4" w:space="0" w:color="8ED973"/>
              <w:right w:val="nil"/>
            </w:tcBorders>
            <w:shd w:val="clear" w:color="DAF2D0" w:fill="DAF2D0"/>
            <w:noWrap/>
            <w:vAlign w:val="bottom"/>
            <w:hideMark/>
          </w:tcPr>
          <w:p w14:paraId="46EDAE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748AF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A7965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0E4155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0.17</w:t>
            </w:r>
          </w:p>
        </w:tc>
        <w:tc>
          <w:tcPr>
            <w:tcW w:w="640" w:type="dxa"/>
            <w:tcBorders>
              <w:top w:val="single" w:sz="4" w:space="0" w:color="8ED973"/>
              <w:left w:val="nil"/>
              <w:bottom w:val="single" w:sz="4" w:space="0" w:color="8ED973"/>
              <w:right w:val="nil"/>
            </w:tcBorders>
            <w:shd w:val="clear" w:color="DAF2D0" w:fill="DAF2D0"/>
            <w:noWrap/>
            <w:vAlign w:val="bottom"/>
            <w:hideMark/>
          </w:tcPr>
          <w:p w14:paraId="7B7E19D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c>
          <w:tcPr>
            <w:tcW w:w="640" w:type="dxa"/>
            <w:tcBorders>
              <w:top w:val="single" w:sz="4" w:space="0" w:color="8ED973"/>
              <w:left w:val="nil"/>
              <w:bottom w:val="single" w:sz="4" w:space="0" w:color="8ED973"/>
              <w:right w:val="nil"/>
            </w:tcBorders>
            <w:shd w:val="clear" w:color="DAF2D0" w:fill="DAF2D0"/>
            <w:noWrap/>
            <w:vAlign w:val="bottom"/>
            <w:hideMark/>
          </w:tcPr>
          <w:p w14:paraId="2FB305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0.14</w:t>
            </w:r>
          </w:p>
        </w:tc>
        <w:tc>
          <w:tcPr>
            <w:tcW w:w="640" w:type="dxa"/>
            <w:tcBorders>
              <w:top w:val="single" w:sz="4" w:space="0" w:color="8ED973"/>
              <w:left w:val="nil"/>
              <w:bottom w:val="single" w:sz="4" w:space="0" w:color="8ED973"/>
              <w:right w:val="nil"/>
            </w:tcBorders>
            <w:shd w:val="clear" w:color="DAF2D0" w:fill="DAF2D0"/>
            <w:noWrap/>
            <w:vAlign w:val="bottom"/>
            <w:hideMark/>
          </w:tcPr>
          <w:p w14:paraId="01D7C4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0.18</w:t>
            </w:r>
          </w:p>
        </w:tc>
        <w:tc>
          <w:tcPr>
            <w:tcW w:w="640" w:type="dxa"/>
            <w:tcBorders>
              <w:top w:val="single" w:sz="4" w:space="0" w:color="8ED973"/>
              <w:left w:val="nil"/>
              <w:bottom w:val="single" w:sz="4" w:space="0" w:color="8ED973"/>
              <w:right w:val="nil"/>
            </w:tcBorders>
            <w:shd w:val="clear" w:color="DAF2D0" w:fill="DAF2D0"/>
            <w:noWrap/>
            <w:vAlign w:val="bottom"/>
            <w:hideMark/>
          </w:tcPr>
          <w:p w14:paraId="4D8C38B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0.19</w:t>
            </w:r>
          </w:p>
        </w:tc>
        <w:tc>
          <w:tcPr>
            <w:tcW w:w="640" w:type="dxa"/>
            <w:tcBorders>
              <w:top w:val="single" w:sz="4" w:space="0" w:color="8ED973"/>
              <w:left w:val="nil"/>
              <w:bottom w:val="single" w:sz="4" w:space="0" w:color="8ED973"/>
              <w:right w:val="nil"/>
            </w:tcBorders>
            <w:shd w:val="clear" w:color="DAF2D0" w:fill="DAF2D0"/>
            <w:noWrap/>
            <w:vAlign w:val="bottom"/>
            <w:hideMark/>
          </w:tcPr>
          <w:p w14:paraId="1767F7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0.16</w:t>
            </w:r>
          </w:p>
        </w:tc>
      </w:tr>
      <w:tr w:rsidR="006B2BBA" w:rsidRPr="006B2BBA" w14:paraId="303BCC15"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0371CF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Colorado</w:t>
            </w:r>
          </w:p>
        </w:tc>
        <w:tc>
          <w:tcPr>
            <w:tcW w:w="640" w:type="dxa"/>
            <w:tcBorders>
              <w:top w:val="single" w:sz="4" w:space="0" w:color="8ED973"/>
              <w:left w:val="nil"/>
              <w:bottom w:val="single" w:sz="4" w:space="0" w:color="8ED973"/>
              <w:right w:val="nil"/>
            </w:tcBorders>
            <w:shd w:val="clear" w:color="auto" w:fill="auto"/>
            <w:noWrap/>
            <w:vAlign w:val="bottom"/>
            <w:hideMark/>
          </w:tcPr>
          <w:p w14:paraId="6D5DFC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9A4088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c>
          <w:tcPr>
            <w:tcW w:w="640" w:type="dxa"/>
            <w:tcBorders>
              <w:top w:val="single" w:sz="4" w:space="0" w:color="8ED973"/>
              <w:left w:val="nil"/>
              <w:bottom w:val="single" w:sz="4" w:space="0" w:color="8ED973"/>
              <w:right w:val="nil"/>
            </w:tcBorders>
            <w:shd w:val="clear" w:color="auto" w:fill="auto"/>
            <w:noWrap/>
            <w:vAlign w:val="bottom"/>
            <w:hideMark/>
          </w:tcPr>
          <w:p w14:paraId="34E73F7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c>
          <w:tcPr>
            <w:tcW w:w="640" w:type="dxa"/>
            <w:tcBorders>
              <w:top w:val="single" w:sz="4" w:space="0" w:color="8ED973"/>
              <w:left w:val="nil"/>
              <w:bottom w:val="single" w:sz="4" w:space="0" w:color="8ED973"/>
              <w:right w:val="nil"/>
            </w:tcBorders>
            <w:shd w:val="clear" w:color="auto" w:fill="auto"/>
            <w:noWrap/>
            <w:vAlign w:val="bottom"/>
            <w:hideMark/>
          </w:tcPr>
          <w:p w14:paraId="267A82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44F548B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0F3BB6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169EC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079E56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072D3F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B8A7002"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111116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Associated Electric Cooperative,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06D66D9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6B3748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2EE95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55E184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7A16B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6B0EE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1CB43D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DAF2D0" w:fill="DAF2D0"/>
            <w:noWrap/>
            <w:vAlign w:val="bottom"/>
            <w:hideMark/>
          </w:tcPr>
          <w:p w14:paraId="49B38B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08074F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0.11</w:t>
            </w:r>
          </w:p>
        </w:tc>
      </w:tr>
      <w:tr w:rsidR="006B2BBA" w:rsidRPr="006B2BBA" w14:paraId="40EFD02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8F7C39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Midcontinent Independent System Operator, Inc.</w:t>
            </w:r>
          </w:p>
        </w:tc>
        <w:tc>
          <w:tcPr>
            <w:tcW w:w="640" w:type="dxa"/>
            <w:tcBorders>
              <w:top w:val="single" w:sz="4" w:space="0" w:color="8ED973"/>
              <w:left w:val="nil"/>
              <w:bottom w:val="single" w:sz="4" w:space="0" w:color="8ED973"/>
              <w:right w:val="nil"/>
            </w:tcBorders>
            <w:shd w:val="clear" w:color="auto" w:fill="auto"/>
            <w:noWrap/>
            <w:vAlign w:val="bottom"/>
            <w:hideMark/>
          </w:tcPr>
          <w:p w14:paraId="44180B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96D6B6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25BD71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FA9F9B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66DDF5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6C2FE56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48080A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50D35CA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57966D6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9B8F12C"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102EF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PacifiCorp East</w:t>
            </w:r>
          </w:p>
        </w:tc>
        <w:tc>
          <w:tcPr>
            <w:tcW w:w="640" w:type="dxa"/>
            <w:tcBorders>
              <w:top w:val="single" w:sz="4" w:space="0" w:color="8ED973"/>
              <w:left w:val="nil"/>
              <w:bottom w:val="single" w:sz="4" w:space="0" w:color="8ED973"/>
              <w:right w:val="nil"/>
            </w:tcBorders>
            <w:shd w:val="clear" w:color="DAF2D0" w:fill="DAF2D0"/>
            <w:noWrap/>
            <w:vAlign w:val="bottom"/>
            <w:hideMark/>
          </w:tcPr>
          <w:p w14:paraId="46E5D3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79E26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7D68FD4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3FC9A4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35C4FB4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60E7ED3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3C833EF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212DB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878B4B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r>
      <w:tr w:rsidR="006B2BBA" w:rsidRPr="006B2BBA" w14:paraId="0EB0A01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708FD06"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Service Company of New Mexico</w:t>
            </w:r>
          </w:p>
        </w:tc>
        <w:tc>
          <w:tcPr>
            <w:tcW w:w="640" w:type="dxa"/>
            <w:tcBorders>
              <w:top w:val="single" w:sz="4" w:space="0" w:color="8ED973"/>
              <w:left w:val="nil"/>
              <w:bottom w:val="single" w:sz="4" w:space="0" w:color="8ED973"/>
              <w:right w:val="nil"/>
            </w:tcBorders>
            <w:shd w:val="clear" w:color="auto" w:fill="auto"/>
            <w:noWrap/>
            <w:vAlign w:val="bottom"/>
            <w:hideMark/>
          </w:tcPr>
          <w:p w14:paraId="0EDFB96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7D97A2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D3088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9FF0D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08A68C9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auto" w:fill="auto"/>
            <w:noWrap/>
            <w:vAlign w:val="bottom"/>
            <w:hideMark/>
          </w:tcPr>
          <w:p w14:paraId="786C572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6F57F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1D5A83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3485DE5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7368FB2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28FAEB20"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lastRenderedPageBreak/>
              <w:t>Florida Municipal Power Pool</w:t>
            </w:r>
          </w:p>
        </w:tc>
        <w:tc>
          <w:tcPr>
            <w:tcW w:w="640" w:type="dxa"/>
            <w:tcBorders>
              <w:top w:val="single" w:sz="4" w:space="0" w:color="8ED973"/>
              <w:left w:val="nil"/>
              <w:bottom w:val="single" w:sz="4" w:space="0" w:color="8ED973"/>
              <w:right w:val="nil"/>
            </w:tcBorders>
            <w:shd w:val="clear" w:color="DAF2D0" w:fill="DAF2D0"/>
            <w:noWrap/>
            <w:vAlign w:val="bottom"/>
            <w:hideMark/>
          </w:tcPr>
          <w:p w14:paraId="3D1AF0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4D931CE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1FC9201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01DFE49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DAF2D0" w:fill="DAF2D0"/>
            <w:noWrap/>
            <w:vAlign w:val="bottom"/>
            <w:hideMark/>
          </w:tcPr>
          <w:p w14:paraId="055192C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2579BEC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A98D63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45FB9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76471A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r>
      <w:tr w:rsidR="006B2BBA" w:rsidRPr="006B2BBA" w14:paraId="5E56FCE2"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1D778E5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Louisville Gas and Electric Company and Kentucky Utilities Company</w:t>
            </w:r>
          </w:p>
        </w:tc>
        <w:tc>
          <w:tcPr>
            <w:tcW w:w="640" w:type="dxa"/>
            <w:tcBorders>
              <w:top w:val="single" w:sz="4" w:space="0" w:color="8ED973"/>
              <w:left w:val="nil"/>
              <w:bottom w:val="single" w:sz="4" w:space="0" w:color="8ED973"/>
              <w:right w:val="nil"/>
            </w:tcBorders>
            <w:shd w:val="clear" w:color="auto" w:fill="auto"/>
            <w:noWrap/>
            <w:vAlign w:val="bottom"/>
            <w:hideMark/>
          </w:tcPr>
          <w:p w14:paraId="0E9D4A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432E740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826A0F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CFADF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F5676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22FBB71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auto" w:fill="auto"/>
            <w:noWrap/>
            <w:vAlign w:val="bottom"/>
            <w:hideMark/>
          </w:tcPr>
          <w:p w14:paraId="2DAB326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auto" w:fill="auto"/>
            <w:noWrap/>
            <w:vAlign w:val="bottom"/>
            <w:hideMark/>
          </w:tcPr>
          <w:p w14:paraId="1BB8DBA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0.09</w:t>
            </w:r>
          </w:p>
        </w:tc>
        <w:tc>
          <w:tcPr>
            <w:tcW w:w="640" w:type="dxa"/>
            <w:tcBorders>
              <w:top w:val="single" w:sz="4" w:space="0" w:color="8ED973"/>
              <w:left w:val="nil"/>
              <w:bottom w:val="single" w:sz="4" w:space="0" w:color="8ED973"/>
              <w:right w:val="nil"/>
            </w:tcBorders>
            <w:shd w:val="clear" w:color="auto" w:fill="auto"/>
            <w:noWrap/>
            <w:vAlign w:val="bottom"/>
            <w:hideMark/>
          </w:tcPr>
          <w:p w14:paraId="1DD062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0.12</w:t>
            </w:r>
          </w:p>
        </w:tc>
      </w:tr>
      <w:tr w:rsidR="006B2BBA" w:rsidRPr="006B2BBA" w14:paraId="21007D81"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A3041B1"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PowerSouth Energy Cooperative</w:t>
            </w:r>
          </w:p>
        </w:tc>
        <w:tc>
          <w:tcPr>
            <w:tcW w:w="640" w:type="dxa"/>
            <w:tcBorders>
              <w:top w:val="single" w:sz="4" w:space="0" w:color="8ED973"/>
              <w:left w:val="nil"/>
              <w:bottom w:val="single" w:sz="4" w:space="0" w:color="8ED973"/>
              <w:right w:val="nil"/>
            </w:tcBorders>
            <w:shd w:val="clear" w:color="DAF2D0" w:fill="DAF2D0"/>
            <w:noWrap/>
            <w:vAlign w:val="bottom"/>
            <w:hideMark/>
          </w:tcPr>
          <w:p w14:paraId="38550A1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317169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6E47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64D880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0C1FF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0D83F62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0.07</w:t>
            </w:r>
          </w:p>
        </w:tc>
        <w:tc>
          <w:tcPr>
            <w:tcW w:w="640" w:type="dxa"/>
            <w:tcBorders>
              <w:top w:val="single" w:sz="4" w:space="0" w:color="8ED973"/>
              <w:left w:val="nil"/>
              <w:bottom w:val="single" w:sz="4" w:space="0" w:color="8ED973"/>
              <w:right w:val="nil"/>
            </w:tcBorders>
            <w:shd w:val="clear" w:color="DAF2D0" w:fill="DAF2D0"/>
            <w:noWrap/>
            <w:vAlign w:val="bottom"/>
            <w:hideMark/>
          </w:tcPr>
          <w:p w14:paraId="1A86DB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0.08</w:t>
            </w:r>
          </w:p>
        </w:tc>
        <w:tc>
          <w:tcPr>
            <w:tcW w:w="640" w:type="dxa"/>
            <w:tcBorders>
              <w:top w:val="single" w:sz="4" w:space="0" w:color="8ED973"/>
              <w:left w:val="nil"/>
              <w:bottom w:val="single" w:sz="4" w:space="0" w:color="8ED973"/>
              <w:right w:val="nil"/>
            </w:tcBorders>
            <w:shd w:val="clear" w:color="DAF2D0" w:fill="DAF2D0"/>
            <w:noWrap/>
            <w:vAlign w:val="bottom"/>
            <w:hideMark/>
          </w:tcPr>
          <w:p w14:paraId="429EE90E" w14:textId="77777777" w:rsidR="006B2BBA" w:rsidRPr="006B2BBA" w:rsidRDefault="006B2BBA" w:rsidP="006B2BBA">
            <w:pPr>
              <w:spacing w:after="0" w:line="240" w:lineRule="auto"/>
              <w:jc w:val="right"/>
              <w:rPr>
                <w:rFonts w:ascii="Aptos Narrow" w:eastAsia="Times New Roman" w:hAnsi="Aptos Narrow" w:cs="Times New Roman"/>
                <w:color w:val="000000"/>
              </w:rPr>
            </w:pPr>
          </w:p>
        </w:tc>
        <w:tc>
          <w:tcPr>
            <w:tcW w:w="640" w:type="dxa"/>
            <w:tcBorders>
              <w:top w:val="single" w:sz="4" w:space="0" w:color="8ED973"/>
              <w:left w:val="nil"/>
              <w:bottom w:val="single" w:sz="4" w:space="0" w:color="8ED973"/>
              <w:right w:val="nil"/>
            </w:tcBorders>
            <w:shd w:val="clear" w:color="DAF2D0" w:fill="DAF2D0"/>
            <w:noWrap/>
            <w:vAlign w:val="bottom"/>
            <w:hideMark/>
          </w:tcPr>
          <w:p w14:paraId="655FA316" w14:textId="77777777" w:rsidR="006B2BBA" w:rsidRPr="006B2BBA" w:rsidRDefault="006B2BBA" w:rsidP="006B2BBA">
            <w:pPr>
              <w:spacing w:after="0" w:line="240" w:lineRule="auto"/>
              <w:rPr>
                <w:rFonts w:ascii="Times New Roman" w:eastAsia="Times New Roman" w:hAnsi="Times New Roman" w:cs="Times New Roman"/>
                <w:sz w:val="20"/>
                <w:szCs w:val="20"/>
              </w:rPr>
            </w:pPr>
          </w:p>
        </w:tc>
      </w:tr>
      <w:tr w:rsidR="006B2BBA" w:rsidRPr="006B2BBA" w14:paraId="69E0C147"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2ADB70AB"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Progress East</w:t>
            </w:r>
          </w:p>
        </w:tc>
        <w:tc>
          <w:tcPr>
            <w:tcW w:w="640" w:type="dxa"/>
            <w:tcBorders>
              <w:top w:val="single" w:sz="4" w:space="0" w:color="8ED973"/>
              <w:left w:val="nil"/>
              <w:bottom w:val="single" w:sz="4" w:space="0" w:color="8ED973"/>
              <w:right w:val="nil"/>
            </w:tcBorders>
            <w:shd w:val="clear" w:color="auto" w:fill="auto"/>
            <w:noWrap/>
            <w:vAlign w:val="bottom"/>
            <w:hideMark/>
          </w:tcPr>
          <w:p w14:paraId="3F7E097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13D0C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7E0898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2ACE456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46496C8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9D5C81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696A12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542005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7014D29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r>
      <w:tr w:rsidR="006B2BBA" w:rsidRPr="006B2BBA" w14:paraId="3AC1CA6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6E639E8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Duke Energy Carolinas</w:t>
            </w:r>
          </w:p>
        </w:tc>
        <w:tc>
          <w:tcPr>
            <w:tcW w:w="640" w:type="dxa"/>
            <w:tcBorders>
              <w:top w:val="single" w:sz="4" w:space="0" w:color="8ED973"/>
              <w:left w:val="nil"/>
              <w:bottom w:val="single" w:sz="4" w:space="0" w:color="8ED973"/>
              <w:right w:val="nil"/>
            </w:tcBorders>
            <w:shd w:val="clear" w:color="DAF2D0" w:fill="DAF2D0"/>
            <w:noWrap/>
            <w:vAlign w:val="bottom"/>
            <w:hideMark/>
          </w:tcPr>
          <w:p w14:paraId="7EC583C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A5E1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5F9DB2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D582DD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AE496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6632E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1BCA81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D88FC6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0B46EB6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5A29CCF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77F82AD"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Florida Power &amp; Light Co.</w:t>
            </w:r>
          </w:p>
        </w:tc>
        <w:tc>
          <w:tcPr>
            <w:tcW w:w="640" w:type="dxa"/>
            <w:tcBorders>
              <w:top w:val="single" w:sz="4" w:space="0" w:color="8ED973"/>
              <w:left w:val="nil"/>
              <w:bottom w:val="single" w:sz="4" w:space="0" w:color="8ED973"/>
              <w:right w:val="nil"/>
            </w:tcBorders>
            <w:shd w:val="clear" w:color="auto" w:fill="auto"/>
            <w:noWrap/>
            <w:vAlign w:val="bottom"/>
            <w:hideMark/>
          </w:tcPr>
          <w:p w14:paraId="31C500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6DBDF1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0.05</w:t>
            </w:r>
          </w:p>
        </w:tc>
        <w:tc>
          <w:tcPr>
            <w:tcW w:w="640" w:type="dxa"/>
            <w:tcBorders>
              <w:top w:val="single" w:sz="4" w:space="0" w:color="8ED973"/>
              <w:left w:val="nil"/>
              <w:bottom w:val="single" w:sz="4" w:space="0" w:color="8ED973"/>
              <w:right w:val="nil"/>
            </w:tcBorders>
            <w:shd w:val="clear" w:color="auto" w:fill="auto"/>
            <w:noWrap/>
            <w:vAlign w:val="bottom"/>
            <w:hideMark/>
          </w:tcPr>
          <w:p w14:paraId="2AE0DAD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0F385F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0B53D0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43F1C7A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D84E9F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0FC88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B8C8DD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22C9F8F4"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10A9F123"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Public Utility District No. 2 of Grant County, Washington</w:t>
            </w:r>
          </w:p>
        </w:tc>
        <w:tc>
          <w:tcPr>
            <w:tcW w:w="640" w:type="dxa"/>
            <w:tcBorders>
              <w:top w:val="single" w:sz="4" w:space="0" w:color="8ED973"/>
              <w:left w:val="nil"/>
              <w:bottom w:val="single" w:sz="4" w:space="0" w:color="8ED973"/>
              <w:right w:val="nil"/>
            </w:tcBorders>
            <w:shd w:val="clear" w:color="DAF2D0" w:fill="DAF2D0"/>
            <w:noWrap/>
            <w:vAlign w:val="bottom"/>
            <w:hideMark/>
          </w:tcPr>
          <w:p w14:paraId="62947C6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575F14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8B5496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6DCD68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7C1DBC0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1BC405F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4A263E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82A70E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4F3AEE0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r>
      <w:tr w:rsidR="006B2BBA" w:rsidRPr="006B2BBA" w14:paraId="4D6F0F80"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396078E4"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Tennessee Valley Authority</w:t>
            </w:r>
          </w:p>
        </w:tc>
        <w:tc>
          <w:tcPr>
            <w:tcW w:w="640" w:type="dxa"/>
            <w:tcBorders>
              <w:top w:val="single" w:sz="4" w:space="0" w:color="8ED973"/>
              <w:left w:val="nil"/>
              <w:bottom w:val="single" w:sz="4" w:space="0" w:color="8ED973"/>
              <w:right w:val="nil"/>
            </w:tcBorders>
            <w:shd w:val="clear" w:color="auto" w:fill="auto"/>
            <w:noWrap/>
            <w:vAlign w:val="bottom"/>
            <w:hideMark/>
          </w:tcPr>
          <w:p w14:paraId="450A8A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07FDC7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38C60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112A2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2FFA0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73CAA27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3FC860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0524B5A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auto" w:fill="auto"/>
            <w:noWrap/>
            <w:vAlign w:val="bottom"/>
            <w:hideMark/>
          </w:tcPr>
          <w:p w14:paraId="6C59D5E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15F816D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38B2779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Dominion Energy South Carolina,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1A2D0B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E2EF0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9D2F22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CA0F1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554F74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7A01B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745AC84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59C22C7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9301DE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6A8BA9FB"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991DDFF"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NorthWestern Corporation</w:t>
            </w:r>
          </w:p>
        </w:tc>
        <w:tc>
          <w:tcPr>
            <w:tcW w:w="640" w:type="dxa"/>
            <w:tcBorders>
              <w:top w:val="single" w:sz="4" w:space="0" w:color="8ED973"/>
              <w:left w:val="nil"/>
              <w:bottom w:val="single" w:sz="4" w:space="0" w:color="8ED973"/>
              <w:right w:val="nil"/>
            </w:tcBorders>
            <w:shd w:val="clear" w:color="auto" w:fill="auto"/>
            <w:noWrap/>
            <w:vAlign w:val="bottom"/>
            <w:hideMark/>
          </w:tcPr>
          <w:p w14:paraId="1BFE64F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9733B3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4B328F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8363A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35C28C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1945F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auto" w:fill="auto"/>
            <w:noWrap/>
            <w:vAlign w:val="bottom"/>
            <w:hideMark/>
          </w:tcPr>
          <w:p w14:paraId="5425BCC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auto" w:fill="auto"/>
            <w:noWrap/>
            <w:vAlign w:val="bottom"/>
            <w:hideMark/>
          </w:tcPr>
          <w:p w14:paraId="46C883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56F513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B86C8CE"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B04FDD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Salt River Project Agricultural Improvement and Power District</w:t>
            </w:r>
          </w:p>
        </w:tc>
        <w:tc>
          <w:tcPr>
            <w:tcW w:w="640" w:type="dxa"/>
            <w:tcBorders>
              <w:top w:val="single" w:sz="4" w:space="0" w:color="8ED973"/>
              <w:left w:val="nil"/>
              <w:bottom w:val="single" w:sz="4" w:space="0" w:color="8ED973"/>
              <w:right w:val="nil"/>
            </w:tcBorders>
            <w:shd w:val="clear" w:color="DAF2D0" w:fill="DAF2D0"/>
            <w:noWrap/>
            <w:vAlign w:val="bottom"/>
            <w:hideMark/>
          </w:tcPr>
          <w:p w14:paraId="598A098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1F9C484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0.06</w:t>
            </w:r>
          </w:p>
        </w:tc>
        <w:tc>
          <w:tcPr>
            <w:tcW w:w="640" w:type="dxa"/>
            <w:tcBorders>
              <w:top w:val="single" w:sz="4" w:space="0" w:color="8ED973"/>
              <w:left w:val="nil"/>
              <w:bottom w:val="single" w:sz="4" w:space="0" w:color="8ED973"/>
              <w:right w:val="nil"/>
            </w:tcBorders>
            <w:shd w:val="clear" w:color="DAF2D0" w:fill="DAF2D0"/>
            <w:noWrap/>
            <w:vAlign w:val="bottom"/>
            <w:hideMark/>
          </w:tcPr>
          <w:p w14:paraId="498D83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0.04</w:t>
            </w:r>
          </w:p>
        </w:tc>
        <w:tc>
          <w:tcPr>
            <w:tcW w:w="640" w:type="dxa"/>
            <w:tcBorders>
              <w:top w:val="single" w:sz="4" w:space="0" w:color="8ED973"/>
              <w:left w:val="nil"/>
              <w:bottom w:val="single" w:sz="4" w:space="0" w:color="8ED973"/>
              <w:right w:val="nil"/>
            </w:tcBorders>
            <w:shd w:val="clear" w:color="DAF2D0" w:fill="DAF2D0"/>
            <w:noWrap/>
            <w:vAlign w:val="bottom"/>
            <w:hideMark/>
          </w:tcPr>
          <w:p w14:paraId="54EDC50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0.03</w:t>
            </w:r>
          </w:p>
        </w:tc>
        <w:tc>
          <w:tcPr>
            <w:tcW w:w="640" w:type="dxa"/>
            <w:tcBorders>
              <w:top w:val="single" w:sz="4" w:space="0" w:color="8ED973"/>
              <w:left w:val="nil"/>
              <w:bottom w:val="single" w:sz="4" w:space="0" w:color="8ED973"/>
              <w:right w:val="nil"/>
            </w:tcBorders>
            <w:shd w:val="clear" w:color="DAF2D0" w:fill="DAF2D0"/>
            <w:noWrap/>
            <w:vAlign w:val="bottom"/>
            <w:hideMark/>
          </w:tcPr>
          <w:p w14:paraId="40ABED5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EBDEA7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76D9B83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7D0B0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D1C8E2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68896E4F"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7CD2883C"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Southwest Power Pool</w:t>
            </w:r>
          </w:p>
        </w:tc>
        <w:tc>
          <w:tcPr>
            <w:tcW w:w="640" w:type="dxa"/>
            <w:tcBorders>
              <w:top w:val="single" w:sz="4" w:space="0" w:color="8ED973"/>
              <w:left w:val="nil"/>
              <w:bottom w:val="single" w:sz="4" w:space="0" w:color="8ED973"/>
              <w:right w:val="nil"/>
            </w:tcBorders>
            <w:shd w:val="clear" w:color="auto" w:fill="auto"/>
            <w:noWrap/>
            <w:vAlign w:val="bottom"/>
            <w:hideMark/>
          </w:tcPr>
          <w:p w14:paraId="33C15A5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1BB27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815FBC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E69C3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A8BA75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A9F74F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257290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04CEEB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12F8EE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r>
      <w:tr w:rsidR="006B2BBA" w:rsidRPr="006B2BBA" w14:paraId="3D11090A"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7B59B05A"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Tampa Electric Company</w:t>
            </w:r>
          </w:p>
        </w:tc>
        <w:tc>
          <w:tcPr>
            <w:tcW w:w="640" w:type="dxa"/>
            <w:tcBorders>
              <w:top w:val="single" w:sz="4" w:space="0" w:color="8ED973"/>
              <w:left w:val="nil"/>
              <w:bottom w:val="single" w:sz="4" w:space="0" w:color="8ED973"/>
              <w:right w:val="nil"/>
            </w:tcBorders>
            <w:shd w:val="clear" w:color="DAF2D0" w:fill="DAF2D0"/>
            <w:noWrap/>
            <w:vAlign w:val="bottom"/>
            <w:hideMark/>
          </w:tcPr>
          <w:p w14:paraId="3ACF5CD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402A60F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4D736B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F5B6A9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311507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D5975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31B2C8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348948E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11BDE54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r>
      <w:tr w:rsidR="006B2BBA" w:rsidRPr="006B2BBA" w14:paraId="4FF877AD"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194AC55"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Bonneville Power Administration</w:t>
            </w:r>
          </w:p>
        </w:tc>
        <w:tc>
          <w:tcPr>
            <w:tcW w:w="640" w:type="dxa"/>
            <w:tcBorders>
              <w:top w:val="single" w:sz="4" w:space="0" w:color="8ED973"/>
              <w:left w:val="nil"/>
              <w:bottom w:val="single" w:sz="4" w:space="0" w:color="8ED973"/>
              <w:right w:val="nil"/>
            </w:tcBorders>
            <w:shd w:val="clear" w:color="auto" w:fill="auto"/>
            <w:noWrap/>
            <w:vAlign w:val="bottom"/>
            <w:hideMark/>
          </w:tcPr>
          <w:p w14:paraId="4FA421B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6ADD4A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5C3D17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44801C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977E0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6F4AEA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3DC7B1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C6B971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69151B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129ADBA9"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0A140968"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Electric Reliability Council of Texas, Inc.</w:t>
            </w:r>
          </w:p>
        </w:tc>
        <w:tc>
          <w:tcPr>
            <w:tcW w:w="640" w:type="dxa"/>
            <w:tcBorders>
              <w:top w:val="single" w:sz="4" w:space="0" w:color="8ED973"/>
              <w:left w:val="nil"/>
              <w:bottom w:val="single" w:sz="4" w:space="0" w:color="8ED973"/>
              <w:right w:val="nil"/>
            </w:tcBorders>
            <w:shd w:val="clear" w:color="DAF2D0" w:fill="DAF2D0"/>
            <w:noWrap/>
            <w:vAlign w:val="bottom"/>
            <w:hideMark/>
          </w:tcPr>
          <w:p w14:paraId="3DB9A14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D6AC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1A708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00E2665"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E3B04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0EEF82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56833ED"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99CC94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6EE2EC9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00CCCD86"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59E9997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PJM Interconnection, LLC</w:t>
            </w:r>
          </w:p>
        </w:tc>
        <w:tc>
          <w:tcPr>
            <w:tcW w:w="640" w:type="dxa"/>
            <w:tcBorders>
              <w:top w:val="single" w:sz="4" w:space="0" w:color="8ED973"/>
              <w:left w:val="nil"/>
              <w:bottom w:val="single" w:sz="4" w:space="0" w:color="8ED973"/>
              <w:right w:val="nil"/>
            </w:tcBorders>
            <w:shd w:val="clear" w:color="auto" w:fill="auto"/>
            <w:noWrap/>
            <w:vAlign w:val="bottom"/>
            <w:hideMark/>
          </w:tcPr>
          <w:p w14:paraId="71B1577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3B75B6B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auto" w:fill="auto"/>
            <w:noWrap/>
            <w:vAlign w:val="bottom"/>
            <w:hideMark/>
          </w:tcPr>
          <w:p w14:paraId="2DEF6AC4"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4DFA457"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22B06DD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657332A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F6A8D6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05BE86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949018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41EE331D" w14:textId="77777777" w:rsidTr="006B2BBA">
        <w:trPr>
          <w:trHeight w:val="285"/>
        </w:trPr>
        <w:tc>
          <w:tcPr>
            <w:tcW w:w="6260" w:type="dxa"/>
            <w:tcBorders>
              <w:top w:val="single" w:sz="4" w:space="0" w:color="8ED973"/>
              <w:left w:val="nil"/>
              <w:bottom w:val="single" w:sz="4" w:space="0" w:color="8ED973"/>
              <w:right w:val="nil"/>
            </w:tcBorders>
            <w:shd w:val="clear" w:color="DAF2D0" w:fill="DAF2D0"/>
            <w:noWrap/>
            <w:vAlign w:val="bottom"/>
            <w:hideMark/>
          </w:tcPr>
          <w:p w14:paraId="4BF53EC2"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Southern Company Services, Inc. - Trans</w:t>
            </w:r>
          </w:p>
        </w:tc>
        <w:tc>
          <w:tcPr>
            <w:tcW w:w="640" w:type="dxa"/>
            <w:tcBorders>
              <w:top w:val="single" w:sz="4" w:space="0" w:color="8ED973"/>
              <w:left w:val="nil"/>
              <w:bottom w:val="single" w:sz="4" w:space="0" w:color="8ED973"/>
              <w:right w:val="nil"/>
            </w:tcBorders>
            <w:shd w:val="clear" w:color="DAF2D0" w:fill="DAF2D0"/>
            <w:noWrap/>
            <w:vAlign w:val="bottom"/>
            <w:hideMark/>
          </w:tcPr>
          <w:p w14:paraId="1A75715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68A0C3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1904871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DBFF5D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0.01</w:t>
            </w:r>
          </w:p>
        </w:tc>
        <w:tc>
          <w:tcPr>
            <w:tcW w:w="640" w:type="dxa"/>
            <w:tcBorders>
              <w:top w:val="single" w:sz="4" w:space="0" w:color="8ED973"/>
              <w:left w:val="nil"/>
              <w:bottom w:val="single" w:sz="4" w:space="0" w:color="8ED973"/>
              <w:right w:val="nil"/>
            </w:tcBorders>
            <w:shd w:val="clear" w:color="DAF2D0" w:fill="DAF2D0"/>
            <w:noWrap/>
            <w:vAlign w:val="bottom"/>
            <w:hideMark/>
          </w:tcPr>
          <w:p w14:paraId="2846390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0.02</w:t>
            </w:r>
          </w:p>
        </w:tc>
        <w:tc>
          <w:tcPr>
            <w:tcW w:w="640" w:type="dxa"/>
            <w:tcBorders>
              <w:top w:val="single" w:sz="4" w:space="0" w:color="8ED973"/>
              <w:left w:val="nil"/>
              <w:bottom w:val="single" w:sz="4" w:space="0" w:color="8ED973"/>
              <w:right w:val="nil"/>
            </w:tcBorders>
            <w:shd w:val="clear" w:color="DAF2D0" w:fill="DAF2D0"/>
            <w:noWrap/>
            <w:vAlign w:val="bottom"/>
            <w:hideMark/>
          </w:tcPr>
          <w:p w14:paraId="290797AB"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3523CD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24F49CAF"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DAF2D0" w:fill="DAF2D0"/>
            <w:noWrap/>
            <w:vAlign w:val="bottom"/>
            <w:hideMark/>
          </w:tcPr>
          <w:p w14:paraId="572BAF3A"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r w:rsidR="006B2BBA" w:rsidRPr="006B2BBA" w14:paraId="78BD59BE" w14:textId="77777777" w:rsidTr="006B2BBA">
        <w:trPr>
          <w:trHeight w:val="285"/>
        </w:trPr>
        <w:tc>
          <w:tcPr>
            <w:tcW w:w="6260" w:type="dxa"/>
            <w:tcBorders>
              <w:top w:val="single" w:sz="4" w:space="0" w:color="8ED973"/>
              <w:left w:val="nil"/>
              <w:bottom w:val="single" w:sz="4" w:space="0" w:color="8ED973"/>
              <w:right w:val="nil"/>
            </w:tcBorders>
            <w:shd w:val="clear" w:color="auto" w:fill="auto"/>
            <w:noWrap/>
            <w:vAlign w:val="bottom"/>
            <w:hideMark/>
          </w:tcPr>
          <w:p w14:paraId="6A2BC0B7" w14:textId="77777777" w:rsidR="006B2BBA" w:rsidRPr="006B2BBA" w:rsidRDefault="006B2BBA" w:rsidP="006B2BBA">
            <w:pPr>
              <w:spacing w:after="0" w:line="240" w:lineRule="auto"/>
              <w:rPr>
                <w:rFonts w:ascii="Aptos Narrow" w:eastAsia="Times New Roman" w:hAnsi="Aptos Narrow" w:cs="Times New Roman"/>
                <w:color w:val="000000"/>
              </w:rPr>
            </w:pPr>
            <w:r w:rsidRPr="006B2BBA">
              <w:rPr>
                <w:rFonts w:ascii="Aptos Narrow" w:eastAsia="Times New Roman" w:hAnsi="Aptos Narrow" w:cs="Times New Roman"/>
                <w:color w:val="000000"/>
              </w:rPr>
              <w:t>Western Area Power Administration - Rocky Mountain Region</w:t>
            </w:r>
          </w:p>
        </w:tc>
        <w:tc>
          <w:tcPr>
            <w:tcW w:w="640" w:type="dxa"/>
            <w:tcBorders>
              <w:top w:val="single" w:sz="4" w:space="0" w:color="8ED973"/>
              <w:left w:val="nil"/>
              <w:bottom w:val="single" w:sz="4" w:space="0" w:color="8ED973"/>
              <w:right w:val="nil"/>
            </w:tcBorders>
            <w:shd w:val="clear" w:color="auto" w:fill="auto"/>
            <w:noWrap/>
            <w:vAlign w:val="bottom"/>
            <w:hideMark/>
          </w:tcPr>
          <w:p w14:paraId="2B8D1CE0"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F998288"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F318E59"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4B2EB83C"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A5EAFB6"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87B1C1"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59BB34BE"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7DE35222"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c>
          <w:tcPr>
            <w:tcW w:w="640" w:type="dxa"/>
            <w:tcBorders>
              <w:top w:val="single" w:sz="4" w:space="0" w:color="8ED973"/>
              <w:left w:val="nil"/>
              <w:bottom w:val="single" w:sz="4" w:space="0" w:color="8ED973"/>
              <w:right w:val="nil"/>
            </w:tcBorders>
            <w:shd w:val="clear" w:color="auto" w:fill="auto"/>
            <w:noWrap/>
            <w:vAlign w:val="bottom"/>
            <w:hideMark/>
          </w:tcPr>
          <w:p w14:paraId="14D2DEE3" w14:textId="77777777" w:rsidR="006B2BBA" w:rsidRPr="006B2BBA" w:rsidRDefault="006B2BBA" w:rsidP="006B2BBA">
            <w:pPr>
              <w:spacing w:after="0" w:line="240" w:lineRule="auto"/>
              <w:jc w:val="right"/>
              <w:rPr>
                <w:rFonts w:ascii="Aptos Narrow" w:eastAsia="Times New Roman" w:hAnsi="Aptos Narrow" w:cs="Times New Roman"/>
                <w:color w:val="000000"/>
              </w:rPr>
            </w:pPr>
            <w:r w:rsidRPr="006B2BBA">
              <w:rPr>
                <w:rFonts w:ascii="Aptos Narrow" w:eastAsia="Times New Roman" w:hAnsi="Aptos Narrow" w:cs="Times New Roman"/>
                <w:color w:val="000000"/>
              </w:rPr>
              <w:t>0.00</w:t>
            </w:r>
          </w:p>
        </w:tc>
      </w:tr>
    </w:tbl>
    <w:p w14:paraId="71C344C2" w14:textId="77777777" w:rsidR="006B2BBA" w:rsidRDefault="006B2BBA" w:rsidP="0079338A">
      <w:pPr>
        <w:pStyle w:val="Caption"/>
        <w:keepNext/>
      </w:pPr>
      <w:bookmarkStart w:id="7" w:name="_Ref177631128"/>
    </w:p>
    <w:p w14:paraId="6EDC5BC0" w14:textId="77777777" w:rsidR="006B2BBA" w:rsidRDefault="006B2BBA">
      <w:pPr>
        <w:rPr>
          <w:i/>
          <w:iCs/>
          <w:color w:val="0E2841" w:themeColor="text2"/>
          <w:sz w:val="18"/>
          <w:szCs w:val="18"/>
        </w:rPr>
      </w:pPr>
      <w:r>
        <w:br w:type="page"/>
      </w:r>
    </w:p>
    <w:p w14:paraId="163BE9E0" w14:textId="5228EF70" w:rsidR="00F9434B" w:rsidRDefault="00CC2639" w:rsidP="0079338A">
      <w:pPr>
        <w:pStyle w:val="Caption"/>
        <w:keepNext/>
      </w:pPr>
      <w:bookmarkStart w:id="8" w:name="_Ref179611033"/>
      <w:r>
        <w:lastRenderedPageBreak/>
        <w:t xml:space="preserve">Table </w:t>
      </w:r>
      <w:fldSimple w:instr=" SEQ Table \* ARABIC ">
        <w:r w:rsidR="006B3902">
          <w:rPr>
            <w:noProof/>
          </w:rPr>
          <w:t>2</w:t>
        </w:r>
      </w:fldSimple>
      <w:bookmarkEnd w:id="7"/>
      <w:bookmarkEnd w:id="8"/>
      <w:r>
        <w:t xml:space="preserve"> Import diversity (measured by Shannon Diversity Index) by USA balancing authorities with annual average demand &gt;500 MW.</w:t>
      </w:r>
    </w:p>
    <w:tbl>
      <w:tblPr>
        <w:tblStyle w:val="GridTable4-Accent4"/>
        <w:tblW w:w="12093" w:type="dxa"/>
        <w:tblLook w:val="04A0" w:firstRow="1" w:lastRow="0" w:firstColumn="1" w:lastColumn="0" w:noHBand="0" w:noVBand="1"/>
      </w:tblPr>
      <w:tblGrid>
        <w:gridCol w:w="6300"/>
        <w:gridCol w:w="669"/>
        <w:gridCol w:w="663"/>
        <w:gridCol w:w="663"/>
        <w:gridCol w:w="663"/>
        <w:gridCol w:w="663"/>
        <w:gridCol w:w="663"/>
        <w:gridCol w:w="663"/>
        <w:gridCol w:w="663"/>
        <w:gridCol w:w="663"/>
      </w:tblGrid>
      <w:tr w:rsidR="00260939" w:rsidRPr="00260939" w14:paraId="74A94A56" w14:textId="77777777" w:rsidTr="00D7424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4EBB188" w14:textId="77777777" w:rsidR="00260939" w:rsidRPr="00260939" w:rsidRDefault="00260939" w:rsidP="00260939">
            <w:pPr>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Name</w:t>
            </w:r>
          </w:p>
        </w:tc>
        <w:tc>
          <w:tcPr>
            <w:tcW w:w="489" w:type="dxa"/>
            <w:noWrap/>
            <w:hideMark/>
          </w:tcPr>
          <w:p w14:paraId="01067CB6"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Total</w:t>
            </w:r>
          </w:p>
        </w:tc>
        <w:tc>
          <w:tcPr>
            <w:tcW w:w="663" w:type="dxa"/>
            <w:noWrap/>
            <w:hideMark/>
          </w:tcPr>
          <w:p w14:paraId="70EAFE79"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2016</w:t>
            </w:r>
          </w:p>
        </w:tc>
        <w:tc>
          <w:tcPr>
            <w:tcW w:w="663" w:type="dxa"/>
            <w:noWrap/>
            <w:hideMark/>
          </w:tcPr>
          <w:p w14:paraId="0231562F"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2017</w:t>
            </w:r>
          </w:p>
        </w:tc>
        <w:tc>
          <w:tcPr>
            <w:tcW w:w="663" w:type="dxa"/>
            <w:noWrap/>
            <w:hideMark/>
          </w:tcPr>
          <w:p w14:paraId="39C3E938"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2018</w:t>
            </w:r>
          </w:p>
        </w:tc>
        <w:tc>
          <w:tcPr>
            <w:tcW w:w="663" w:type="dxa"/>
            <w:noWrap/>
            <w:hideMark/>
          </w:tcPr>
          <w:p w14:paraId="2BD6E044"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2019</w:t>
            </w:r>
          </w:p>
        </w:tc>
        <w:tc>
          <w:tcPr>
            <w:tcW w:w="663" w:type="dxa"/>
            <w:noWrap/>
            <w:hideMark/>
          </w:tcPr>
          <w:p w14:paraId="6D664FCA"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2020</w:t>
            </w:r>
          </w:p>
        </w:tc>
        <w:tc>
          <w:tcPr>
            <w:tcW w:w="663" w:type="dxa"/>
            <w:noWrap/>
            <w:hideMark/>
          </w:tcPr>
          <w:p w14:paraId="090FF657"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2021</w:t>
            </w:r>
          </w:p>
        </w:tc>
        <w:tc>
          <w:tcPr>
            <w:tcW w:w="663" w:type="dxa"/>
            <w:noWrap/>
            <w:hideMark/>
          </w:tcPr>
          <w:p w14:paraId="446A281E"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2022</w:t>
            </w:r>
          </w:p>
        </w:tc>
        <w:tc>
          <w:tcPr>
            <w:tcW w:w="663" w:type="dxa"/>
            <w:noWrap/>
            <w:hideMark/>
          </w:tcPr>
          <w:p w14:paraId="3791EFCD" w14:textId="77777777" w:rsidR="00260939" w:rsidRPr="00260939" w:rsidRDefault="00260939" w:rsidP="00260939">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260939">
              <w:rPr>
                <w:rFonts w:ascii="Aptos Narrow" w:eastAsia="Times New Roman" w:hAnsi="Aptos Narrow" w:cs="Times New Roman"/>
                <w:color w:val="FFFFFF"/>
              </w:rPr>
              <w:t>2023</w:t>
            </w:r>
          </w:p>
        </w:tc>
      </w:tr>
      <w:tr w:rsidR="00260939" w:rsidRPr="00260939" w14:paraId="59E9A6A5"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D95AE4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Bonneville Power Administration</w:t>
            </w:r>
          </w:p>
        </w:tc>
        <w:tc>
          <w:tcPr>
            <w:tcW w:w="489" w:type="dxa"/>
            <w:noWrap/>
            <w:hideMark/>
          </w:tcPr>
          <w:p w14:paraId="124C40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247AC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c>
          <w:tcPr>
            <w:tcW w:w="663" w:type="dxa"/>
            <w:noWrap/>
            <w:hideMark/>
          </w:tcPr>
          <w:p w14:paraId="62C12BF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27C00A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0D526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2CDA8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1.72</w:t>
            </w:r>
          </w:p>
        </w:tc>
        <w:tc>
          <w:tcPr>
            <w:tcW w:w="663" w:type="dxa"/>
            <w:noWrap/>
            <w:hideMark/>
          </w:tcPr>
          <w:p w14:paraId="566554D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1.86</w:t>
            </w:r>
          </w:p>
        </w:tc>
        <w:tc>
          <w:tcPr>
            <w:tcW w:w="663" w:type="dxa"/>
            <w:noWrap/>
            <w:hideMark/>
          </w:tcPr>
          <w:p w14:paraId="08741B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c>
          <w:tcPr>
            <w:tcW w:w="663" w:type="dxa"/>
            <w:noWrap/>
            <w:hideMark/>
          </w:tcPr>
          <w:p w14:paraId="694D6A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2.11</w:t>
            </w:r>
          </w:p>
        </w:tc>
      </w:tr>
      <w:tr w:rsidR="00260939" w:rsidRPr="00260939" w14:paraId="6E49D5F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3AAFDC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California Independent System Operator</w:t>
            </w:r>
          </w:p>
        </w:tc>
        <w:tc>
          <w:tcPr>
            <w:tcW w:w="489" w:type="dxa"/>
            <w:noWrap/>
            <w:hideMark/>
          </w:tcPr>
          <w:p w14:paraId="01D796F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46C72E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623D10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5BA8D5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1.69</w:t>
            </w:r>
          </w:p>
        </w:tc>
        <w:tc>
          <w:tcPr>
            <w:tcW w:w="663" w:type="dxa"/>
            <w:noWrap/>
            <w:hideMark/>
          </w:tcPr>
          <w:p w14:paraId="7726127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1.73</w:t>
            </w:r>
          </w:p>
        </w:tc>
        <w:tc>
          <w:tcPr>
            <w:tcW w:w="663" w:type="dxa"/>
            <w:noWrap/>
            <w:hideMark/>
          </w:tcPr>
          <w:p w14:paraId="0A9F4A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1.82</w:t>
            </w:r>
          </w:p>
        </w:tc>
        <w:tc>
          <w:tcPr>
            <w:tcW w:w="663" w:type="dxa"/>
            <w:noWrap/>
            <w:hideMark/>
          </w:tcPr>
          <w:p w14:paraId="1C0C3A7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1.93</w:t>
            </w:r>
          </w:p>
        </w:tc>
        <w:tc>
          <w:tcPr>
            <w:tcW w:w="663" w:type="dxa"/>
            <w:noWrap/>
            <w:hideMark/>
          </w:tcPr>
          <w:p w14:paraId="1C2B41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1.91</w:t>
            </w:r>
          </w:p>
        </w:tc>
        <w:tc>
          <w:tcPr>
            <w:tcW w:w="663" w:type="dxa"/>
            <w:noWrap/>
            <w:hideMark/>
          </w:tcPr>
          <w:p w14:paraId="42811D3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1.92</w:t>
            </w:r>
          </w:p>
        </w:tc>
      </w:tr>
      <w:tr w:rsidR="00260939" w:rsidRPr="00260939" w14:paraId="27C8B17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1A328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Salt River Project Agricultural Improvement and Power District</w:t>
            </w:r>
          </w:p>
        </w:tc>
        <w:tc>
          <w:tcPr>
            <w:tcW w:w="489" w:type="dxa"/>
            <w:noWrap/>
            <w:hideMark/>
          </w:tcPr>
          <w:p w14:paraId="0B4425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506B3AA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3CB7262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593FE3E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1.43</w:t>
            </w:r>
          </w:p>
        </w:tc>
        <w:tc>
          <w:tcPr>
            <w:tcW w:w="663" w:type="dxa"/>
            <w:noWrap/>
            <w:hideMark/>
          </w:tcPr>
          <w:p w14:paraId="031652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0A54E8B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c>
          <w:tcPr>
            <w:tcW w:w="663" w:type="dxa"/>
            <w:noWrap/>
            <w:hideMark/>
          </w:tcPr>
          <w:p w14:paraId="766FE9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3E6E243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26F6D8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r>
      <w:tr w:rsidR="00260939" w:rsidRPr="00260939" w14:paraId="6FF1352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94C5C7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Midcontinent Independent System Operator, Inc.</w:t>
            </w:r>
          </w:p>
        </w:tc>
        <w:tc>
          <w:tcPr>
            <w:tcW w:w="489" w:type="dxa"/>
            <w:noWrap/>
            <w:hideMark/>
          </w:tcPr>
          <w:p w14:paraId="618463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1.74</w:t>
            </w:r>
          </w:p>
        </w:tc>
        <w:tc>
          <w:tcPr>
            <w:tcW w:w="663" w:type="dxa"/>
            <w:noWrap/>
            <w:hideMark/>
          </w:tcPr>
          <w:p w14:paraId="2EF0B5E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1.88</w:t>
            </w:r>
          </w:p>
        </w:tc>
        <w:tc>
          <w:tcPr>
            <w:tcW w:w="663" w:type="dxa"/>
            <w:noWrap/>
            <w:hideMark/>
          </w:tcPr>
          <w:p w14:paraId="637EE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1.83</w:t>
            </w:r>
          </w:p>
        </w:tc>
        <w:tc>
          <w:tcPr>
            <w:tcW w:w="663" w:type="dxa"/>
            <w:noWrap/>
            <w:hideMark/>
          </w:tcPr>
          <w:p w14:paraId="169967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1.84</w:t>
            </w:r>
          </w:p>
        </w:tc>
        <w:tc>
          <w:tcPr>
            <w:tcW w:w="663" w:type="dxa"/>
            <w:noWrap/>
            <w:hideMark/>
          </w:tcPr>
          <w:p w14:paraId="1621DA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1.79</w:t>
            </w:r>
          </w:p>
        </w:tc>
        <w:tc>
          <w:tcPr>
            <w:tcW w:w="663" w:type="dxa"/>
            <w:noWrap/>
            <w:hideMark/>
          </w:tcPr>
          <w:p w14:paraId="2BD97D0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19DA2A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27767E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07DACCD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1.39</w:t>
            </w:r>
          </w:p>
        </w:tc>
      </w:tr>
      <w:tr w:rsidR="00260939" w:rsidRPr="00260939" w14:paraId="03DF8C5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390622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Southwest Power Pool</w:t>
            </w:r>
          </w:p>
        </w:tc>
        <w:tc>
          <w:tcPr>
            <w:tcW w:w="489" w:type="dxa"/>
            <w:noWrap/>
            <w:hideMark/>
          </w:tcPr>
          <w:p w14:paraId="2512FF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64E2048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4DD4C67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1.77</w:t>
            </w:r>
          </w:p>
        </w:tc>
        <w:tc>
          <w:tcPr>
            <w:tcW w:w="663" w:type="dxa"/>
            <w:noWrap/>
            <w:hideMark/>
          </w:tcPr>
          <w:p w14:paraId="76CEED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1.87</w:t>
            </w:r>
          </w:p>
        </w:tc>
        <w:tc>
          <w:tcPr>
            <w:tcW w:w="663" w:type="dxa"/>
            <w:noWrap/>
            <w:hideMark/>
          </w:tcPr>
          <w:p w14:paraId="7B78E2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1.61</w:t>
            </w:r>
          </w:p>
        </w:tc>
        <w:tc>
          <w:tcPr>
            <w:tcW w:w="663" w:type="dxa"/>
            <w:noWrap/>
            <w:hideMark/>
          </w:tcPr>
          <w:p w14:paraId="6793F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33A1667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51E4C5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5069BF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r>
      <w:tr w:rsidR="00260939" w:rsidRPr="00260939" w14:paraId="3E01B75E"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21682A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NorthWestern Corporation</w:t>
            </w:r>
          </w:p>
        </w:tc>
        <w:tc>
          <w:tcPr>
            <w:tcW w:w="489" w:type="dxa"/>
            <w:noWrap/>
            <w:hideMark/>
          </w:tcPr>
          <w:p w14:paraId="249EECE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7FF22D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08CE6F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1.44</w:t>
            </w:r>
          </w:p>
        </w:tc>
        <w:tc>
          <w:tcPr>
            <w:tcW w:w="663" w:type="dxa"/>
            <w:noWrap/>
            <w:hideMark/>
          </w:tcPr>
          <w:p w14:paraId="729984A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0682E9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6735CD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1.53</w:t>
            </w:r>
          </w:p>
        </w:tc>
        <w:tc>
          <w:tcPr>
            <w:tcW w:w="663" w:type="dxa"/>
            <w:noWrap/>
            <w:hideMark/>
          </w:tcPr>
          <w:p w14:paraId="1618E0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1.67</w:t>
            </w:r>
          </w:p>
        </w:tc>
        <w:tc>
          <w:tcPr>
            <w:tcW w:w="663" w:type="dxa"/>
            <w:noWrap/>
            <w:hideMark/>
          </w:tcPr>
          <w:p w14:paraId="536DED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1.66</w:t>
            </w:r>
          </w:p>
        </w:tc>
        <w:tc>
          <w:tcPr>
            <w:tcW w:w="663" w:type="dxa"/>
            <w:noWrap/>
            <w:hideMark/>
          </w:tcPr>
          <w:p w14:paraId="3B4415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1.64</w:t>
            </w:r>
          </w:p>
        </w:tc>
      </w:tr>
      <w:tr w:rsidR="00260939" w:rsidRPr="00260939" w14:paraId="5495ACE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2E4593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Carolinas</w:t>
            </w:r>
          </w:p>
        </w:tc>
        <w:tc>
          <w:tcPr>
            <w:tcW w:w="489" w:type="dxa"/>
            <w:noWrap/>
            <w:hideMark/>
          </w:tcPr>
          <w:p w14:paraId="6D3FFC3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4ABC4E6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1.81</w:t>
            </w:r>
          </w:p>
        </w:tc>
        <w:tc>
          <w:tcPr>
            <w:tcW w:w="663" w:type="dxa"/>
            <w:noWrap/>
            <w:hideMark/>
          </w:tcPr>
          <w:p w14:paraId="3519BA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37140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1.68</w:t>
            </w:r>
          </w:p>
        </w:tc>
        <w:tc>
          <w:tcPr>
            <w:tcW w:w="663" w:type="dxa"/>
            <w:noWrap/>
            <w:hideMark/>
          </w:tcPr>
          <w:p w14:paraId="17AEDC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1.58</w:t>
            </w:r>
          </w:p>
        </w:tc>
        <w:tc>
          <w:tcPr>
            <w:tcW w:w="663" w:type="dxa"/>
            <w:noWrap/>
            <w:hideMark/>
          </w:tcPr>
          <w:p w14:paraId="2A4A26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9ADF06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20EBC77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104F7D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r>
      <w:tr w:rsidR="00260939" w:rsidRPr="00260939" w14:paraId="6B3950F1"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168C8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PJM Interconnection, LLC</w:t>
            </w:r>
          </w:p>
        </w:tc>
        <w:tc>
          <w:tcPr>
            <w:tcW w:w="489" w:type="dxa"/>
            <w:noWrap/>
            <w:hideMark/>
          </w:tcPr>
          <w:p w14:paraId="35191D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1.65</w:t>
            </w:r>
          </w:p>
        </w:tc>
        <w:tc>
          <w:tcPr>
            <w:tcW w:w="663" w:type="dxa"/>
            <w:noWrap/>
            <w:hideMark/>
          </w:tcPr>
          <w:p w14:paraId="1F882CD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c>
          <w:tcPr>
            <w:tcW w:w="663" w:type="dxa"/>
            <w:noWrap/>
            <w:hideMark/>
          </w:tcPr>
          <w:p w14:paraId="462DD6F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79D13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1005F2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4F36215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1.30</w:t>
            </w:r>
          </w:p>
        </w:tc>
        <w:tc>
          <w:tcPr>
            <w:tcW w:w="663" w:type="dxa"/>
            <w:noWrap/>
            <w:hideMark/>
          </w:tcPr>
          <w:p w14:paraId="6AAA3A4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F8ACC0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AC1E3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2726E440"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0E31D3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Florida, Inc.</w:t>
            </w:r>
          </w:p>
        </w:tc>
        <w:tc>
          <w:tcPr>
            <w:tcW w:w="489" w:type="dxa"/>
            <w:noWrap/>
            <w:hideMark/>
          </w:tcPr>
          <w:p w14:paraId="73E3D38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1.56</w:t>
            </w:r>
          </w:p>
        </w:tc>
        <w:tc>
          <w:tcPr>
            <w:tcW w:w="663" w:type="dxa"/>
            <w:noWrap/>
            <w:hideMark/>
          </w:tcPr>
          <w:p w14:paraId="06364C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6C1A7F7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1.57</w:t>
            </w:r>
          </w:p>
        </w:tc>
        <w:tc>
          <w:tcPr>
            <w:tcW w:w="663" w:type="dxa"/>
            <w:noWrap/>
            <w:hideMark/>
          </w:tcPr>
          <w:p w14:paraId="4F99C3D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1.71</w:t>
            </w:r>
          </w:p>
        </w:tc>
        <w:tc>
          <w:tcPr>
            <w:tcW w:w="663" w:type="dxa"/>
            <w:noWrap/>
            <w:hideMark/>
          </w:tcPr>
          <w:p w14:paraId="58FBCD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c>
          <w:tcPr>
            <w:tcW w:w="663" w:type="dxa"/>
            <w:noWrap/>
            <w:hideMark/>
          </w:tcPr>
          <w:p w14:paraId="4EF553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34A138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1.54</w:t>
            </w:r>
          </w:p>
        </w:tc>
        <w:tc>
          <w:tcPr>
            <w:tcW w:w="663" w:type="dxa"/>
            <w:noWrap/>
            <w:hideMark/>
          </w:tcPr>
          <w:p w14:paraId="27F0818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50A6B97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r>
      <w:tr w:rsidR="00260939" w:rsidRPr="00260939" w14:paraId="209517E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A0F3E0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New Mexico</w:t>
            </w:r>
          </w:p>
        </w:tc>
        <w:tc>
          <w:tcPr>
            <w:tcW w:w="489" w:type="dxa"/>
            <w:noWrap/>
            <w:hideMark/>
          </w:tcPr>
          <w:p w14:paraId="55CC212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1.51</w:t>
            </w:r>
          </w:p>
        </w:tc>
        <w:tc>
          <w:tcPr>
            <w:tcW w:w="663" w:type="dxa"/>
            <w:noWrap/>
            <w:hideMark/>
          </w:tcPr>
          <w:p w14:paraId="1321E53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6319F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72E8E2C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1.49</w:t>
            </w:r>
          </w:p>
        </w:tc>
        <w:tc>
          <w:tcPr>
            <w:tcW w:w="663" w:type="dxa"/>
            <w:noWrap/>
            <w:hideMark/>
          </w:tcPr>
          <w:p w14:paraId="6B513E1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1.42</w:t>
            </w:r>
          </w:p>
        </w:tc>
        <w:tc>
          <w:tcPr>
            <w:tcW w:w="663" w:type="dxa"/>
            <w:noWrap/>
            <w:hideMark/>
          </w:tcPr>
          <w:p w14:paraId="26C7E8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E41729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0FD61EC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24670E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1.62</w:t>
            </w:r>
          </w:p>
        </w:tc>
      </w:tr>
      <w:tr w:rsidR="00260939" w:rsidRPr="00260939" w14:paraId="53AD24F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C2903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Tucson Electric Power</w:t>
            </w:r>
          </w:p>
        </w:tc>
        <w:tc>
          <w:tcPr>
            <w:tcW w:w="489" w:type="dxa"/>
            <w:noWrap/>
            <w:hideMark/>
          </w:tcPr>
          <w:p w14:paraId="4D23A0F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6AE3F24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45D2B5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F835D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DA375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1.50</w:t>
            </w:r>
          </w:p>
        </w:tc>
        <w:tc>
          <w:tcPr>
            <w:tcW w:w="663" w:type="dxa"/>
            <w:noWrap/>
            <w:hideMark/>
          </w:tcPr>
          <w:p w14:paraId="72E6B40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c>
          <w:tcPr>
            <w:tcW w:w="663" w:type="dxa"/>
            <w:noWrap/>
            <w:hideMark/>
          </w:tcPr>
          <w:p w14:paraId="1795819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5D99E3F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1.48</w:t>
            </w:r>
          </w:p>
        </w:tc>
        <w:tc>
          <w:tcPr>
            <w:tcW w:w="663" w:type="dxa"/>
            <w:noWrap/>
            <w:hideMark/>
          </w:tcPr>
          <w:p w14:paraId="73CB273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1.59</w:t>
            </w:r>
          </w:p>
        </w:tc>
      </w:tr>
      <w:tr w:rsidR="00260939" w:rsidRPr="00260939" w14:paraId="3173723A"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6F7DB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Rocky Mountain Region</w:t>
            </w:r>
          </w:p>
        </w:tc>
        <w:tc>
          <w:tcPr>
            <w:tcW w:w="489" w:type="dxa"/>
            <w:noWrap/>
            <w:hideMark/>
          </w:tcPr>
          <w:p w14:paraId="343747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47C487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5990A9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0.72</w:t>
            </w:r>
          </w:p>
        </w:tc>
        <w:tc>
          <w:tcPr>
            <w:tcW w:w="663" w:type="dxa"/>
            <w:noWrap/>
            <w:hideMark/>
          </w:tcPr>
          <w:p w14:paraId="1DD5A46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2811C3D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1.31</w:t>
            </w:r>
          </w:p>
        </w:tc>
        <w:tc>
          <w:tcPr>
            <w:tcW w:w="663" w:type="dxa"/>
            <w:noWrap/>
            <w:hideMark/>
          </w:tcPr>
          <w:p w14:paraId="4C91D0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1.24</w:t>
            </w:r>
          </w:p>
        </w:tc>
        <w:tc>
          <w:tcPr>
            <w:tcW w:w="663" w:type="dxa"/>
            <w:noWrap/>
            <w:hideMark/>
          </w:tcPr>
          <w:p w14:paraId="1100C14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65031DC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1.47</w:t>
            </w:r>
          </w:p>
        </w:tc>
        <w:tc>
          <w:tcPr>
            <w:tcW w:w="663" w:type="dxa"/>
            <w:noWrap/>
            <w:hideMark/>
          </w:tcPr>
          <w:p w14:paraId="439B21F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1.14</w:t>
            </w:r>
          </w:p>
        </w:tc>
      </w:tr>
      <w:tr w:rsidR="00260939" w:rsidRPr="00260939" w14:paraId="4933747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34F1DEF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Western Area Power Administration - Desert Southwest Region</w:t>
            </w:r>
          </w:p>
        </w:tc>
        <w:tc>
          <w:tcPr>
            <w:tcW w:w="489" w:type="dxa"/>
            <w:noWrap/>
            <w:hideMark/>
          </w:tcPr>
          <w:p w14:paraId="3E03263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1.41</w:t>
            </w:r>
          </w:p>
        </w:tc>
        <w:tc>
          <w:tcPr>
            <w:tcW w:w="663" w:type="dxa"/>
            <w:noWrap/>
            <w:hideMark/>
          </w:tcPr>
          <w:p w14:paraId="19DDAAD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67F040B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06F080C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538A39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78BE55B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8EC410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5A88604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3CE21B0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1.46</w:t>
            </w:r>
          </w:p>
        </w:tc>
      </w:tr>
      <w:tr w:rsidR="00260939" w:rsidRPr="00260939" w14:paraId="33B29BD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608F24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Louisville Gas and Electric Company and Kentucky Utilities Company</w:t>
            </w:r>
          </w:p>
        </w:tc>
        <w:tc>
          <w:tcPr>
            <w:tcW w:w="489" w:type="dxa"/>
            <w:noWrap/>
            <w:hideMark/>
          </w:tcPr>
          <w:p w14:paraId="30431B8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1.40</w:t>
            </w:r>
          </w:p>
        </w:tc>
        <w:tc>
          <w:tcPr>
            <w:tcW w:w="663" w:type="dxa"/>
            <w:noWrap/>
            <w:hideMark/>
          </w:tcPr>
          <w:p w14:paraId="198306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2AD442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5C1C83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4CF7590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482055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B6B2A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793C61D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C819EB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2B9549A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1133E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Southern Company Services, Inc. - Trans</w:t>
            </w:r>
          </w:p>
        </w:tc>
        <w:tc>
          <w:tcPr>
            <w:tcW w:w="489" w:type="dxa"/>
            <w:noWrap/>
            <w:hideMark/>
          </w:tcPr>
          <w:p w14:paraId="3D0163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1.36</w:t>
            </w:r>
          </w:p>
        </w:tc>
        <w:tc>
          <w:tcPr>
            <w:tcW w:w="663" w:type="dxa"/>
            <w:noWrap/>
            <w:hideMark/>
          </w:tcPr>
          <w:p w14:paraId="794BBC9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1.55</w:t>
            </w:r>
          </w:p>
        </w:tc>
        <w:tc>
          <w:tcPr>
            <w:tcW w:w="663" w:type="dxa"/>
            <w:noWrap/>
            <w:hideMark/>
          </w:tcPr>
          <w:p w14:paraId="698EE67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2A2C359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7D103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1.34</w:t>
            </w:r>
          </w:p>
        </w:tc>
        <w:tc>
          <w:tcPr>
            <w:tcW w:w="663" w:type="dxa"/>
            <w:noWrap/>
            <w:hideMark/>
          </w:tcPr>
          <w:p w14:paraId="72936C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1CC728C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1F73277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1.29</w:t>
            </w:r>
          </w:p>
        </w:tc>
        <w:tc>
          <w:tcPr>
            <w:tcW w:w="663" w:type="dxa"/>
            <w:noWrap/>
            <w:hideMark/>
          </w:tcPr>
          <w:p w14:paraId="1FBCDDC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r>
      <w:tr w:rsidR="00260939" w:rsidRPr="00260939" w14:paraId="38CDF525"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37592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Nevada Power Company</w:t>
            </w:r>
          </w:p>
        </w:tc>
        <w:tc>
          <w:tcPr>
            <w:tcW w:w="489" w:type="dxa"/>
            <w:noWrap/>
            <w:hideMark/>
          </w:tcPr>
          <w:p w14:paraId="7B63B33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3ADFF9F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1.37</w:t>
            </w:r>
          </w:p>
        </w:tc>
        <w:tc>
          <w:tcPr>
            <w:tcW w:w="663" w:type="dxa"/>
            <w:noWrap/>
            <w:hideMark/>
          </w:tcPr>
          <w:p w14:paraId="3D8615A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1.38</w:t>
            </w:r>
          </w:p>
        </w:tc>
        <w:tc>
          <w:tcPr>
            <w:tcW w:w="663" w:type="dxa"/>
            <w:noWrap/>
            <w:hideMark/>
          </w:tcPr>
          <w:p w14:paraId="5BFAABF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1.27</w:t>
            </w:r>
          </w:p>
        </w:tc>
        <w:tc>
          <w:tcPr>
            <w:tcW w:w="663" w:type="dxa"/>
            <w:noWrap/>
            <w:hideMark/>
          </w:tcPr>
          <w:p w14:paraId="3AA346C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24DFB87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1.32</w:t>
            </w:r>
          </w:p>
        </w:tc>
        <w:tc>
          <w:tcPr>
            <w:tcW w:w="663" w:type="dxa"/>
            <w:noWrap/>
            <w:hideMark/>
          </w:tcPr>
          <w:p w14:paraId="35B42AC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5BD92E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5DB4AB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r>
      <w:tr w:rsidR="00260939" w:rsidRPr="00260939" w14:paraId="11A0E98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0425BC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Los Angeles Department of Water and Power</w:t>
            </w:r>
          </w:p>
        </w:tc>
        <w:tc>
          <w:tcPr>
            <w:tcW w:w="489" w:type="dxa"/>
            <w:noWrap/>
            <w:hideMark/>
          </w:tcPr>
          <w:p w14:paraId="1CC83BF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48B01A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1.22</w:t>
            </w:r>
          </w:p>
        </w:tc>
        <w:tc>
          <w:tcPr>
            <w:tcW w:w="663" w:type="dxa"/>
            <w:noWrap/>
            <w:hideMark/>
          </w:tcPr>
          <w:p w14:paraId="26FD9E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ABAFFD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22F4EE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1.21</w:t>
            </w:r>
          </w:p>
        </w:tc>
        <w:tc>
          <w:tcPr>
            <w:tcW w:w="663" w:type="dxa"/>
            <w:noWrap/>
            <w:hideMark/>
          </w:tcPr>
          <w:p w14:paraId="29786FA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0C6038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2542C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1.25</w:t>
            </w:r>
          </w:p>
        </w:tc>
        <w:tc>
          <w:tcPr>
            <w:tcW w:w="663" w:type="dxa"/>
            <w:noWrap/>
            <w:hideMark/>
          </w:tcPr>
          <w:p w14:paraId="522933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1.35</w:t>
            </w:r>
          </w:p>
        </w:tc>
      </w:tr>
      <w:tr w:rsidR="00260939" w:rsidRPr="00260939" w14:paraId="6222E7FD"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52AFB56"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West</w:t>
            </w:r>
          </w:p>
        </w:tc>
        <w:tc>
          <w:tcPr>
            <w:tcW w:w="489" w:type="dxa"/>
            <w:noWrap/>
            <w:hideMark/>
          </w:tcPr>
          <w:p w14:paraId="3CF90D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98D795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0375B96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6559AD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2D2264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1B69068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272C6B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6E24A3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1.26</w:t>
            </w:r>
          </w:p>
        </w:tc>
        <w:tc>
          <w:tcPr>
            <w:tcW w:w="663" w:type="dxa"/>
            <w:noWrap/>
            <w:hideMark/>
          </w:tcPr>
          <w:p w14:paraId="0EA81B1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r>
      <w:tr w:rsidR="00260939" w:rsidRPr="00260939" w14:paraId="3B99E4B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02AB11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East</w:t>
            </w:r>
          </w:p>
        </w:tc>
        <w:tc>
          <w:tcPr>
            <w:tcW w:w="489" w:type="dxa"/>
            <w:noWrap/>
            <w:hideMark/>
          </w:tcPr>
          <w:p w14:paraId="30D7E9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622544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1.08</w:t>
            </w:r>
          </w:p>
        </w:tc>
        <w:tc>
          <w:tcPr>
            <w:tcW w:w="663" w:type="dxa"/>
            <w:noWrap/>
            <w:hideMark/>
          </w:tcPr>
          <w:p w14:paraId="4E093B8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533CB7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5B6327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05DE352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8A9F6A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6B693F0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FA5181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r>
      <w:tr w:rsidR="00260939" w:rsidRPr="00260939" w14:paraId="660B9B5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9E87A2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New York Independent System Operator</w:t>
            </w:r>
          </w:p>
        </w:tc>
        <w:tc>
          <w:tcPr>
            <w:tcW w:w="489" w:type="dxa"/>
            <w:noWrap/>
            <w:hideMark/>
          </w:tcPr>
          <w:p w14:paraId="06A3080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3778CB6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302082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6A3CCA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3934D04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1.10</w:t>
            </w:r>
          </w:p>
        </w:tc>
        <w:tc>
          <w:tcPr>
            <w:tcW w:w="663" w:type="dxa"/>
            <w:noWrap/>
            <w:hideMark/>
          </w:tcPr>
          <w:p w14:paraId="3A263FC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1.11</w:t>
            </w:r>
          </w:p>
        </w:tc>
        <w:tc>
          <w:tcPr>
            <w:tcW w:w="663" w:type="dxa"/>
            <w:noWrap/>
            <w:hideMark/>
          </w:tcPr>
          <w:p w14:paraId="686A94C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5BDA99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6C3C72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r>
      <w:tr w:rsidR="00260939" w:rsidRPr="00260939" w14:paraId="44930D43"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6529BF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PacifiCorp East</w:t>
            </w:r>
          </w:p>
        </w:tc>
        <w:tc>
          <w:tcPr>
            <w:tcW w:w="489" w:type="dxa"/>
            <w:noWrap/>
            <w:hideMark/>
          </w:tcPr>
          <w:p w14:paraId="0A3714C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7E24BDE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629730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5D330ED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ACC946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65665F3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2360212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c>
          <w:tcPr>
            <w:tcW w:w="663" w:type="dxa"/>
            <w:noWrap/>
            <w:hideMark/>
          </w:tcPr>
          <w:p w14:paraId="39E5341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1.23</w:t>
            </w:r>
          </w:p>
        </w:tc>
        <w:tc>
          <w:tcPr>
            <w:tcW w:w="663" w:type="dxa"/>
            <w:noWrap/>
            <w:hideMark/>
          </w:tcPr>
          <w:p w14:paraId="290BCBB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0AAC13A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8709EC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South Carolina Public Service Authority</w:t>
            </w:r>
          </w:p>
        </w:tc>
        <w:tc>
          <w:tcPr>
            <w:tcW w:w="489" w:type="dxa"/>
            <w:noWrap/>
            <w:hideMark/>
          </w:tcPr>
          <w:p w14:paraId="73871C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21639BB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0558D1E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1.19</w:t>
            </w:r>
          </w:p>
        </w:tc>
        <w:tc>
          <w:tcPr>
            <w:tcW w:w="663" w:type="dxa"/>
            <w:noWrap/>
            <w:hideMark/>
          </w:tcPr>
          <w:p w14:paraId="3B798DB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1.15</w:t>
            </w:r>
          </w:p>
        </w:tc>
        <w:tc>
          <w:tcPr>
            <w:tcW w:w="663" w:type="dxa"/>
            <w:noWrap/>
            <w:hideMark/>
          </w:tcPr>
          <w:p w14:paraId="413F916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3EBA256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1.20</w:t>
            </w:r>
          </w:p>
        </w:tc>
        <w:tc>
          <w:tcPr>
            <w:tcW w:w="663" w:type="dxa"/>
            <w:noWrap/>
            <w:hideMark/>
          </w:tcPr>
          <w:p w14:paraId="0639224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58E5CDE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1.09</w:t>
            </w:r>
          </w:p>
        </w:tc>
        <w:tc>
          <w:tcPr>
            <w:tcW w:w="663" w:type="dxa"/>
            <w:noWrap/>
            <w:hideMark/>
          </w:tcPr>
          <w:p w14:paraId="0319A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2D618F04"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67BCC4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Power &amp; Light Co.</w:t>
            </w:r>
          </w:p>
        </w:tc>
        <w:tc>
          <w:tcPr>
            <w:tcW w:w="489" w:type="dxa"/>
            <w:noWrap/>
            <w:hideMark/>
          </w:tcPr>
          <w:p w14:paraId="5657EC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1.05</w:t>
            </w:r>
          </w:p>
        </w:tc>
        <w:tc>
          <w:tcPr>
            <w:tcW w:w="663" w:type="dxa"/>
            <w:noWrap/>
            <w:hideMark/>
          </w:tcPr>
          <w:p w14:paraId="0625BBC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70A121F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1.16</w:t>
            </w:r>
          </w:p>
        </w:tc>
        <w:tc>
          <w:tcPr>
            <w:tcW w:w="663" w:type="dxa"/>
            <w:noWrap/>
            <w:hideMark/>
          </w:tcPr>
          <w:p w14:paraId="70A12A2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1DA9B7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6A8A1B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F4791A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7AA8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1.07</w:t>
            </w:r>
          </w:p>
        </w:tc>
        <w:tc>
          <w:tcPr>
            <w:tcW w:w="663" w:type="dxa"/>
            <w:noWrap/>
            <w:hideMark/>
          </w:tcPr>
          <w:p w14:paraId="3472A64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1.00</w:t>
            </w:r>
          </w:p>
        </w:tc>
      </w:tr>
      <w:tr w:rsidR="00260939" w:rsidRPr="00260939" w14:paraId="61C03E4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2B86027"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Arizona Public Service Company</w:t>
            </w:r>
          </w:p>
        </w:tc>
        <w:tc>
          <w:tcPr>
            <w:tcW w:w="489" w:type="dxa"/>
            <w:noWrap/>
            <w:hideMark/>
          </w:tcPr>
          <w:p w14:paraId="464D678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228951B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1.18</w:t>
            </w:r>
          </w:p>
        </w:tc>
        <w:tc>
          <w:tcPr>
            <w:tcW w:w="663" w:type="dxa"/>
            <w:noWrap/>
            <w:hideMark/>
          </w:tcPr>
          <w:p w14:paraId="0911227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1.45</w:t>
            </w:r>
          </w:p>
        </w:tc>
        <w:tc>
          <w:tcPr>
            <w:tcW w:w="663" w:type="dxa"/>
            <w:noWrap/>
            <w:hideMark/>
          </w:tcPr>
          <w:p w14:paraId="716302A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1.33</w:t>
            </w:r>
          </w:p>
        </w:tc>
        <w:tc>
          <w:tcPr>
            <w:tcW w:w="663" w:type="dxa"/>
            <w:noWrap/>
            <w:hideMark/>
          </w:tcPr>
          <w:p w14:paraId="7E6A4E1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1.17</w:t>
            </w:r>
          </w:p>
        </w:tc>
        <w:tc>
          <w:tcPr>
            <w:tcW w:w="663" w:type="dxa"/>
            <w:noWrap/>
            <w:hideMark/>
          </w:tcPr>
          <w:p w14:paraId="4F4368E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681C52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21A6A60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113CBA3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0.42</w:t>
            </w:r>
          </w:p>
        </w:tc>
      </w:tr>
      <w:tr w:rsidR="00260939" w:rsidRPr="00260939" w14:paraId="5F66EF5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722C88C"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Associated Electric Cooperative, Inc.</w:t>
            </w:r>
          </w:p>
        </w:tc>
        <w:tc>
          <w:tcPr>
            <w:tcW w:w="489" w:type="dxa"/>
            <w:noWrap/>
            <w:hideMark/>
          </w:tcPr>
          <w:p w14:paraId="7C745B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6ED09B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1E9B32B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42F5398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c>
          <w:tcPr>
            <w:tcW w:w="663" w:type="dxa"/>
            <w:noWrap/>
            <w:hideMark/>
          </w:tcPr>
          <w:p w14:paraId="54AD89F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2093E9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656578F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1.01</w:t>
            </w:r>
          </w:p>
        </w:tc>
        <w:tc>
          <w:tcPr>
            <w:tcW w:w="663" w:type="dxa"/>
            <w:noWrap/>
            <w:hideMark/>
          </w:tcPr>
          <w:p w14:paraId="00DF04E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06CC1C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1.04</w:t>
            </w:r>
          </w:p>
        </w:tc>
      </w:tr>
      <w:tr w:rsidR="00260939" w:rsidRPr="00260939" w14:paraId="325A707C"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F8F6D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ISO New England</w:t>
            </w:r>
          </w:p>
        </w:tc>
        <w:tc>
          <w:tcPr>
            <w:tcW w:w="489" w:type="dxa"/>
            <w:noWrap/>
            <w:hideMark/>
          </w:tcPr>
          <w:p w14:paraId="0C22A5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2845EB5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0.98</w:t>
            </w:r>
          </w:p>
        </w:tc>
        <w:tc>
          <w:tcPr>
            <w:tcW w:w="663" w:type="dxa"/>
            <w:noWrap/>
            <w:hideMark/>
          </w:tcPr>
          <w:p w14:paraId="1D62570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60B25D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35BAA25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0.94</w:t>
            </w:r>
          </w:p>
        </w:tc>
        <w:tc>
          <w:tcPr>
            <w:tcW w:w="663" w:type="dxa"/>
            <w:noWrap/>
            <w:hideMark/>
          </w:tcPr>
          <w:p w14:paraId="53F1BF9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7C4FC6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0.86</w:t>
            </w:r>
          </w:p>
        </w:tc>
        <w:tc>
          <w:tcPr>
            <w:tcW w:w="663" w:type="dxa"/>
            <w:noWrap/>
            <w:hideMark/>
          </w:tcPr>
          <w:p w14:paraId="1B750FD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74EC8FE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0.89</w:t>
            </w:r>
          </w:p>
        </w:tc>
      </w:tr>
      <w:tr w:rsidR="00260939" w:rsidRPr="00260939" w14:paraId="3FCAFD88"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29A026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Duke Energy Progress West</w:t>
            </w:r>
          </w:p>
        </w:tc>
        <w:tc>
          <w:tcPr>
            <w:tcW w:w="489" w:type="dxa"/>
            <w:noWrap/>
            <w:hideMark/>
          </w:tcPr>
          <w:p w14:paraId="795B6D4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0.90</w:t>
            </w:r>
          </w:p>
        </w:tc>
        <w:tc>
          <w:tcPr>
            <w:tcW w:w="663" w:type="dxa"/>
            <w:noWrap/>
            <w:hideMark/>
          </w:tcPr>
          <w:p w14:paraId="437C35A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0F23211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51B80AA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0.95</w:t>
            </w:r>
          </w:p>
        </w:tc>
        <w:tc>
          <w:tcPr>
            <w:tcW w:w="663" w:type="dxa"/>
            <w:noWrap/>
            <w:hideMark/>
          </w:tcPr>
          <w:p w14:paraId="1C7E5A9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366691E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17F8EB9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4373E0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0.96</w:t>
            </w:r>
          </w:p>
        </w:tc>
        <w:tc>
          <w:tcPr>
            <w:tcW w:w="663" w:type="dxa"/>
            <w:noWrap/>
            <w:hideMark/>
          </w:tcPr>
          <w:p w14:paraId="4F886D0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r>
      <w:tr w:rsidR="00260939" w:rsidRPr="00260939" w14:paraId="10A08790"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696D2465"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Florida Municipal Power Pool</w:t>
            </w:r>
          </w:p>
        </w:tc>
        <w:tc>
          <w:tcPr>
            <w:tcW w:w="489" w:type="dxa"/>
            <w:noWrap/>
            <w:hideMark/>
          </w:tcPr>
          <w:p w14:paraId="1B1A164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52D6591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0425C93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0.92</w:t>
            </w:r>
          </w:p>
        </w:tc>
        <w:tc>
          <w:tcPr>
            <w:tcW w:w="663" w:type="dxa"/>
            <w:noWrap/>
            <w:hideMark/>
          </w:tcPr>
          <w:p w14:paraId="38A5EDD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50A34D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0.93</w:t>
            </w:r>
          </w:p>
        </w:tc>
        <w:tc>
          <w:tcPr>
            <w:tcW w:w="663" w:type="dxa"/>
            <w:noWrap/>
            <w:hideMark/>
          </w:tcPr>
          <w:p w14:paraId="23D342B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0.91</w:t>
            </w:r>
          </w:p>
        </w:tc>
        <w:tc>
          <w:tcPr>
            <w:tcW w:w="663" w:type="dxa"/>
            <w:noWrap/>
            <w:hideMark/>
          </w:tcPr>
          <w:p w14:paraId="7AB2F16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3DE483A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0.80</w:t>
            </w:r>
          </w:p>
        </w:tc>
        <w:tc>
          <w:tcPr>
            <w:tcW w:w="663" w:type="dxa"/>
            <w:noWrap/>
            <w:hideMark/>
          </w:tcPr>
          <w:p w14:paraId="029B087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r>
      <w:tr w:rsidR="00260939" w:rsidRPr="00260939" w14:paraId="00C47A2E"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97D59F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Utility District No. 2 of Grant County, Washington</w:t>
            </w:r>
          </w:p>
        </w:tc>
        <w:tc>
          <w:tcPr>
            <w:tcW w:w="489" w:type="dxa"/>
            <w:noWrap/>
            <w:hideMark/>
          </w:tcPr>
          <w:p w14:paraId="58F1EB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53E9DD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4DDD99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494F872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0B019F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5851607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44EDD8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73A7919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0.85</w:t>
            </w:r>
          </w:p>
        </w:tc>
        <w:tc>
          <w:tcPr>
            <w:tcW w:w="663" w:type="dxa"/>
            <w:noWrap/>
            <w:hideMark/>
          </w:tcPr>
          <w:p w14:paraId="7E899FC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r>
      <w:tr w:rsidR="00260939" w:rsidRPr="00260939" w14:paraId="7B68A46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C8FF02F"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lastRenderedPageBreak/>
              <w:t>Tampa Electric Company</w:t>
            </w:r>
          </w:p>
        </w:tc>
        <w:tc>
          <w:tcPr>
            <w:tcW w:w="489" w:type="dxa"/>
            <w:noWrap/>
            <w:hideMark/>
          </w:tcPr>
          <w:p w14:paraId="08FDFAC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1289FF5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53149AE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58879B9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1.28</w:t>
            </w:r>
          </w:p>
        </w:tc>
        <w:tc>
          <w:tcPr>
            <w:tcW w:w="663" w:type="dxa"/>
            <w:noWrap/>
            <w:hideMark/>
          </w:tcPr>
          <w:p w14:paraId="656A031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1.03</w:t>
            </w:r>
          </w:p>
        </w:tc>
        <w:tc>
          <w:tcPr>
            <w:tcW w:w="663" w:type="dxa"/>
            <w:noWrap/>
            <w:hideMark/>
          </w:tcPr>
          <w:p w14:paraId="2F06865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285D904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0.88</w:t>
            </w:r>
          </w:p>
        </w:tc>
        <w:tc>
          <w:tcPr>
            <w:tcW w:w="663" w:type="dxa"/>
            <w:noWrap/>
            <w:hideMark/>
          </w:tcPr>
          <w:p w14:paraId="2874BC4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2166AF8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0.45</w:t>
            </w:r>
          </w:p>
        </w:tc>
      </w:tr>
      <w:tr w:rsidR="00260939" w:rsidRPr="00260939" w14:paraId="30D9202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87920B8"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Idaho Power Company</w:t>
            </w:r>
          </w:p>
        </w:tc>
        <w:tc>
          <w:tcPr>
            <w:tcW w:w="489" w:type="dxa"/>
            <w:noWrap/>
            <w:hideMark/>
          </w:tcPr>
          <w:p w14:paraId="59E930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0.77</w:t>
            </w:r>
          </w:p>
        </w:tc>
        <w:tc>
          <w:tcPr>
            <w:tcW w:w="663" w:type="dxa"/>
            <w:noWrap/>
            <w:hideMark/>
          </w:tcPr>
          <w:p w14:paraId="61F0A9C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0.82</w:t>
            </w:r>
          </w:p>
        </w:tc>
        <w:tc>
          <w:tcPr>
            <w:tcW w:w="663" w:type="dxa"/>
            <w:noWrap/>
            <w:hideMark/>
          </w:tcPr>
          <w:p w14:paraId="68AD791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0.84</w:t>
            </w:r>
          </w:p>
        </w:tc>
        <w:tc>
          <w:tcPr>
            <w:tcW w:w="663" w:type="dxa"/>
            <w:noWrap/>
            <w:hideMark/>
          </w:tcPr>
          <w:p w14:paraId="620BBD6D"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0.87</w:t>
            </w:r>
          </w:p>
        </w:tc>
        <w:tc>
          <w:tcPr>
            <w:tcW w:w="663" w:type="dxa"/>
            <w:noWrap/>
            <w:hideMark/>
          </w:tcPr>
          <w:p w14:paraId="776ED66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722475D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c>
          <w:tcPr>
            <w:tcW w:w="663" w:type="dxa"/>
            <w:noWrap/>
            <w:hideMark/>
          </w:tcPr>
          <w:p w14:paraId="7BCA01D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0FB5604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3C3AA5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r>
      <w:tr w:rsidR="00260939" w:rsidRPr="00260939" w14:paraId="7A7C35C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4B4787A"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 Paso Electric Company</w:t>
            </w:r>
          </w:p>
        </w:tc>
        <w:tc>
          <w:tcPr>
            <w:tcW w:w="489" w:type="dxa"/>
            <w:noWrap/>
            <w:hideMark/>
          </w:tcPr>
          <w:p w14:paraId="6A7EAC2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189F00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0.76</w:t>
            </w:r>
          </w:p>
        </w:tc>
        <w:tc>
          <w:tcPr>
            <w:tcW w:w="663" w:type="dxa"/>
            <w:noWrap/>
            <w:hideMark/>
          </w:tcPr>
          <w:p w14:paraId="26ECA28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0.74</w:t>
            </w:r>
          </w:p>
        </w:tc>
        <w:tc>
          <w:tcPr>
            <w:tcW w:w="663" w:type="dxa"/>
            <w:noWrap/>
            <w:hideMark/>
          </w:tcPr>
          <w:p w14:paraId="5F23507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0.64</w:t>
            </w:r>
          </w:p>
        </w:tc>
        <w:tc>
          <w:tcPr>
            <w:tcW w:w="663" w:type="dxa"/>
            <w:noWrap/>
            <w:hideMark/>
          </w:tcPr>
          <w:p w14:paraId="68D3772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138F897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0.48</w:t>
            </w:r>
          </w:p>
        </w:tc>
        <w:tc>
          <w:tcPr>
            <w:tcW w:w="663" w:type="dxa"/>
            <w:noWrap/>
            <w:hideMark/>
          </w:tcPr>
          <w:p w14:paraId="0499295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0.68</w:t>
            </w:r>
          </w:p>
        </w:tc>
        <w:tc>
          <w:tcPr>
            <w:tcW w:w="663" w:type="dxa"/>
            <w:noWrap/>
            <w:hideMark/>
          </w:tcPr>
          <w:p w14:paraId="02D4C92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0.79</w:t>
            </w:r>
          </w:p>
        </w:tc>
        <w:tc>
          <w:tcPr>
            <w:tcW w:w="663" w:type="dxa"/>
            <w:noWrap/>
            <w:hideMark/>
          </w:tcPr>
          <w:p w14:paraId="3835940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r>
      <w:tr w:rsidR="00260939" w:rsidRPr="00260939" w14:paraId="615AE147"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A28A383"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Avista Corporation</w:t>
            </w:r>
          </w:p>
        </w:tc>
        <w:tc>
          <w:tcPr>
            <w:tcW w:w="489" w:type="dxa"/>
            <w:noWrap/>
            <w:hideMark/>
          </w:tcPr>
          <w:p w14:paraId="5415885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0.73</w:t>
            </w:r>
          </w:p>
        </w:tc>
        <w:tc>
          <w:tcPr>
            <w:tcW w:w="663" w:type="dxa"/>
            <w:noWrap/>
            <w:hideMark/>
          </w:tcPr>
          <w:p w14:paraId="591B805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0F1664B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0.56</w:t>
            </w:r>
          </w:p>
        </w:tc>
        <w:tc>
          <w:tcPr>
            <w:tcW w:w="663" w:type="dxa"/>
            <w:noWrap/>
            <w:hideMark/>
          </w:tcPr>
          <w:p w14:paraId="692195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487C6F2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68C00B6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0.57</w:t>
            </w:r>
          </w:p>
        </w:tc>
        <w:tc>
          <w:tcPr>
            <w:tcW w:w="663" w:type="dxa"/>
            <w:noWrap/>
            <w:hideMark/>
          </w:tcPr>
          <w:p w14:paraId="2A82FE2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0.83</w:t>
            </w:r>
          </w:p>
        </w:tc>
        <w:tc>
          <w:tcPr>
            <w:tcW w:w="663" w:type="dxa"/>
            <w:noWrap/>
            <w:hideMark/>
          </w:tcPr>
          <w:p w14:paraId="7E5E23A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0.81</w:t>
            </w:r>
          </w:p>
        </w:tc>
        <w:tc>
          <w:tcPr>
            <w:tcW w:w="663" w:type="dxa"/>
            <w:noWrap/>
            <w:hideMark/>
          </w:tcPr>
          <w:p w14:paraId="7C8A513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0.99</w:t>
            </w:r>
          </w:p>
        </w:tc>
      </w:tr>
      <w:tr w:rsidR="00260939" w:rsidRPr="00260939" w14:paraId="725C4E37"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6815E72"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Tennessee Valley Authority</w:t>
            </w:r>
          </w:p>
        </w:tc>
        <w:tc>
          <w:tcPr>
            <w:tcW w:w="489" w:type="dxa"/>
            <w:noWrap/>
            <w:hideMark/>
          </w:tcPr>
          <w:p w14:paraId="5C112CB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0.66</w:t>
            </w:r>
          </w:p>
        </w:tc>
        <w:tc>
          <w:tcPr>
            <w:tcW w:w="663" w:type="dxa"/>
            <w:noWrap/>
            <w:hideMark/>
          </w:tcPr>
          <w:p w14:paraId="19ECE7C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0.62</w:t>
            </w:r>
          </w:p>
        </w:tc>
        <w:tc>
          <w:tcPr>
            <w:tcW w:w="663" w:type="dxa"/>
            <w:noWrap/>
            <w:hideMark/>
          </w:tcPr>
          <w:p w14:paraId="3085B1B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13FE7D5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0.75</w:t>
            </w:r>
          </w:p>
        </w:tc>
        <w:tc>
          <w:tcPr>
            <w:tcW w:w="663" w:type="dxa"/>
            <w:noWrap/>
            <w:hideMark/>
          </w:tcPr>
          <w:p w14:paraId="251B224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1CFE2BE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0.65</w:t>
            </w:r>
          </w:p>
        </w:tc>
        <w:tc>
          <w:tcPr>
            <w:tcW w:w="663" w:type="dxa"/>
            <w:noWrap/>
            <w:hideMark/>
          </w:tcPr>
          <w:p w14:paraId="5DE6DBF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0.60</w:t>
            </w:r>
          </w:p>
        </w:tc>
        <w:tc>
          <w:tcPr>
            <w:tcW w:w="663" w:type="dxa"/>
            <w:noWrap/>
            <w:hideMark/>
          </w:tcPr>
          <w:p w14:paraId="7C9067A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0.47</w:t>
            </w:r>
          </w:p>
        </w:tc>
        <w:tc>
          <w:tcPr>
            <w:tcW w:w="663" w:type="dxa"/>
            <w:noWrap/>
            <w:hideMark/>
          </w:tcPr>
          <w:p w14:paraId="4AE5F10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0.59</w:t>
            </w:r>
          </w:p>
        </w:tc>
      </w:tr>
      <w:tr w:rsidR="00260939" w:rsidRPr="00260939" w14:paraId="2FA5F86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5A31886B"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Balancing Authority of Northern California</w:t>
            </w:r>
          </w:p>
        </w:tc>
        <w:tc>
          <w:tcPr>
            <w:tcW w:w="489" w:type="dxa"/>
            <w:noWrap/>
            <w:hideMark/>
          </w:tcPr>
          <w:p w14:paraId="394B553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0.58</w:t>
            </w:r>
          </w:p>
        </w:tc>
        <w:tc>
          <w:tcPr>
            <w:tcW w:w="663" w:type="dxa"/>
            <w:noWrap/>
            <w:hideMark/>
          </w:tcPr>
          <w:p w14:paraId="1A1067B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02667C7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0.39</w:t>
            </w:r>
          </w:p>
        </w:tc>
        <w:tc>
          <w:tcPr>
            <w:tcW w:w="663" w:type="dxa"/>
            <w:noWrap/>
            <w:hideMark/>
          </w:tcPr>
          <w:p w14:paraId="30C1BD8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13914EF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c>
          <w:tcPr>
            <w:tcW w:w="663" w:type="dxa"/>
            <w:noWrap/>
            <w:hideMark/>
          </w:tcPr>
          <w:p w14:paraId="488E75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0.55</w:t>
            </w:r>
          </w:p>
        </w:tc>
        <w:tc>
          <w:tcPr>
            <w:tcW w:w="663" w:type="dxa"/>
            <w:noWrap/>
            <w:hideMark/>
          </w:tcPr>
          <w:p w14:paraId="1C3AC1F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152F060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0.71</w:t>
            </w:r>
          </w:p>
        </w:tc>
        <w:tc>
          <w:tcPr>
            <w:tcW w:w="663" w:type="dxa"/>
            <w:noWrap/>
            <w:hideMark/>
          </w:tcPr>
          <w:p w14:paraId="48062AD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1.02</w:t>
            </w:r>
          </w:p>
        </w:tc>
      </w:tr>
      <w:tr w:rsidR="00260939" w:rsidRPr="00260939" w14:paraId="559B900F"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D369AA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PowerSouth Energy Cooperative</w:t>
            </w:r>
          </w:p>
        </w:tc>
        <w:tc>
          <w:tcPr>
            <w:tcW w:w="489" w:type="dxa"/>
            <w:noWrap/>
            <w:hideMark/>
          </w:tcPr>
          <w:p w14:paraId="02D6A97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0.36</w:t>
            </w:r>
          </w:p>
        </w:tc>
        <w:tc>
          <w:tcPr>
            <w:tcW w:w="663" w:type="dxa"/>
            <w:noWrap/>
            <w:hideMark/>
          </w:tcPr>
          <w:p w14:paraId="0031178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7661285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08561B6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6A64DF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3AF088A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0.54</w:t>
            </w:r>
          </w:p>
        </w:tc>
        <w:tc>
          <w:tcPr>
            <w:tcW w:w="663" w:type="dxa"/>
            <w:noWrap/>
            <w:hideMark/>
          </w:tcPr>
          <w:p w14:paraId="38B84A6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c>
          <w:tcPr>
            <w:tcW w:w="663" w:type="dxa"/>
            <w:noWrap/>
            <w:hideMark/>
          </w:tcPr>
          <w:p w14:paraId="110B77C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7FFE30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33F1524D"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F2831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Puget Sound Energy, Inc.</w:t>
            </w:r>
          </w:p>
        </w:tc>
        <w:tc>
          <w:tcPr>
            <w:tcW w:w="489" w:type="dxa"/>
            <w:noWrap/>
            <w:hideMark/>
          </w:tcPr>
          <w:p w14:paraId="319AE11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0.35</w:t>
            </w:r>
          </w:p>
        </w:tc>
        <w:tc>
          <w:tcPr>
            <w:tcW w:w="663" w:type="dxa"/>
            <w:noWrap/>
            <w:hideMark/>
          </w:tcPr>
          <w:p w14:paraId="1DB9245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62B4DF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4FFA710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55CFAE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1B5FA59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0.78</w:t>
            </w:r>
          </w:p>
        </w:tc>
        <w:tc>
          <w:tcPr>
            <w:tcW w:w="663" w:type="dxa"/>
            <w:noWrap/>
            <w:hideMark/>
          </w:tcPr>
          <w:p w14:paraId="3F6104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07E4366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590871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0.41</w:t>
            </w:r>
          </w:p>
        </w:tc>
      </w:tr>
      <w:tr w:rsidR="00260939" w:rsidRPr="00260939" w14:paraId="2CCF0256"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BEF2E3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Dominion Energy South Carolina, Inc.</w:t>
            </w:r>
          </w:p>
        </w:tc>
        <w:tc>
          <w:tcPr>
            <w:tcW w:w="489" w:type="dxa"/>
            <w:noWrap/>
            <w:hideMark/>
          </w:tcPr>
          <w:p w14:paraId="31CBB597"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6F0226A3"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c>
          <w:tcPr>
            <w:tcW w:w="663" w:type="dxa"/>
            <w:noWrap/>
            <w:hideMark/>
          </w:tcPr>
          <w:p w14:paraId="409131AD"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D2B9A6F"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0.37</w:t>
            </w:r>
          </w:p>
        </w:tc>
        <w:tc>
          <w:tcPr>
            <w:tcW w:w="663" w:type="dxa"/>
            <w:noWrap/>
            <w:hideMark/>
          </w:tcPr>
          <w:p w14:paraId="2CD04CF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0.51</w:t>
            </w:r>
          </w:p>
        </w:tc>
        <w:tc>
          <w:tcPr>
            <w:tcW w:w="663" w:type="dxa"/>
            <w:noWrap/>
            <w:hideMark/>
          </w:tcPr>
          <w:p w14:paraId="4E25AC38"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0.50</w:t>
            </w:r>
          </w:p>
        </w:tc>
        <w:tc>
          <w:tcPr>
            <w:tcW w:w="663" w:type="dxa"/>
            <w:noWrap/>
            <w:hideMark/>
          </w:tcPr>
          <w:p w14:paraId="164CD04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0.40</w:t>
            </w:r>
          </w:p>
        </w:tc>
        <w:tc>
          <w:tcPr>
            <w:tcW w:w="663" w:type="dxa"/>
            <w:noWrap/>
            <w:hideMark/>
          </w:tcPr>
          <w:p w14:paraId="1BDF689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64BC74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r>
      <w:tr w:rsidR="00260939" w:rsidRPr="00260939" w14:paraId="7AF3F8DA"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1C9965ED"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Public Service Company of Colorado</w:t>
            </w:r>
          </w:p>
        </w:tc>
        <w:tc>
          <w:tcPr>
            <w:tcW w:w="489" w:type="dxa"/>
            <w:noWrap/>
            <w:hideMark/>
          </w:tcPr>
          <w:p w14:paraId="43E7EFE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33EBD46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7940389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FC7525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0CAEC60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0.14</w:t>
            </w:r>
          </w:p>
        </w:tc>
        <w:tc>
          <w:tcPr>
            <w:tcW w:w="663" w:type="dxa"/>
            <w:noWrap/>
            <w:hideMark/>
          </w:tcPr>
          <w:p w14:paraId="27EF95A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2D4D918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0.38</w:t>
            </w:r>
          </w:p>
        </w:tc>
        <w:tc>
          <w:tcPr>
            <w:tcW w:w="663" w:type="dxa"/>
            <w:noWrap/>
            <w:hideMark/>
          </w:tcPr>
          <w:p w14:paraId="13D471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0.53</w:t>
            </w:r>
          </w:p>
        </w:tc>
        <w:tc>
          <w:tcPr>
            <w:tcW w:w="663" w:type="dxa"/>
            <w:noWrap/>
            <w:hideMark/>
          </w:tcPr>
          <w:p w14:paraId="580CB7CC"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0.52</w:t>
            </w:r>
          </w:p>
        </w:tc>
      </w:tr>
      <w:tr w:rsidR="00260939" w:rsidRPr="00260939" w14:paraId="2FCF8163"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7C9ECB09"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Seattle City Light</w:t>
            </w:r>
          </w:p>
        </w:tc>
        <w:tc>
          <w:tcPr>
            <w:tcW w:w="489" w:type="dxa"/>
            <w:noWrap/>
            <w:hideMark/>
          </w:tcPr>
          <w:p w14:paraId="72E024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0.22</w:t>
            </w:r>
          </w:p>
        </w:tc>
        <w:tc>
          <w:tcPr>
            <w:tcW w:w="663" w:type="dxa"/>
            <w:noWrap/>
            <w:hideMark/>
          </w:tcPr>
          <w:p w14:paraId="1BE956C1"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0.27</w:t>
            </w:r>
          </w:p>
        </w:tc>
        <w:tc>
          <w:tcPr>
            <w:tcW w:w="663" w:type="dxa"/>
            <w:noWrap/>
            <w:hideMark/>
          </w:tcPr>
          <w:p w14:paraId="61B1FB1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0.13</w:t>
            </w:r>
          </w:p>
        </w:tc>
        <w:tc>
          <w:tcPr>
            <w:tcW w:w="663" w:type="dxa"/>
            <w:noWrap/>
            <w:hideMark/>
          </w:tcPr>
          <w:p w14:paraId="03FB489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0.25</w:t>
            </w:r>
          </w:p>
        </w:tc>
        <w:tc>
          <w:tcPr>
            <w:tcW w:w="663" w:type="dxa"/>
            <w:noWrap/>
            <w:hideMark/>
          </w:tcPr>
          <w:p w14:paraId="5A1BFC5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0.21</w:t>
            </w:r>
          </w:p>
        </w:tc>
        <w:tc>
          <w:tcPr>
            <w:tcW w:w="663" w:type="dxa"/>
            <w:noWrap/>
            <w:hideMark/>
          </w:tcPr>
          <w:p w14:paraId="7EACF77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C9D6F5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0.33</w:t>
            </w:r>
          </w:p>
        </w:tc>
        <w:tc>
          <w:tcPr>
            <w:tcW w:w="663" w:type="dxa"/>
            <w:noWrap/>
            <w:hideMark/>
          </w:tcPr>
          <w:p w14:paraId="4EC5F702"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1BA1F8B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5CA013AF"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6A384F0"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Electric Reliability Council of Texas, Inc.</w:t>
            </w:r>
          </w:p>
        </w:tc>
        <w:tc>
          <w:tcPr>
            <w:tcW w:w="489" w:type="dxa"/>
            <w:noWrap/>
            <w:hideMark/>
          </w:tcPr>
          <w:p w14:paraId="0A2FBA17"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0.20</w:t>
            </w:r>
          </w:p>
        </w:tc>
        <w:tc>
          <w:tcPr>
            <w:tcW w:w="663" w:type="dxa"/>
            <w:noWrap/>
            <w:hideMark/>
          </w:tcPr>
          <w:p w14:paraId="6402C218"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58DD065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3248CF22"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2E3F268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0.15</w:t>
            </w:r>
          </w:p>
        </w:tc>
        <w:tc>
          <w:tcPr>
            <w:tcW w:w="663" w:type="dxa"/>
            <w:noWrap/>
            <w:hideMark/>
          </w:tcPr>
          <w:p w14:paraId="47B6582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0.32</w:t>
            </w:r>
          </w:p>
        </w:tc>
        <w:tc>
          <w:tcPr>
            <w:tcW w:w="663" w:type="dxa"/>
            <w:noWrap/>
            <w:hideMark/>
          </w:tcPr>
          <w:p w14:paraId="39605F61"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0.26</w:t>
            </w:r>
          </w:p>
        </w:tc>
        <w:tc>
          <w:tcPr>
            <w:tcW w:w="663" w:type="dxa"/>
            <w:noWrap/>
            <w:hideMark/>
          </w:tcPr>
          <w:p w14:paraId="4137E135"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0.23</w:t>
            </w:r>
          </w:p>
        </w:tc>
        <w:tc>
          <w:tcPr>
            <w:tcW w:w="663" w:type="dxa"/>
            <w:noWrap/>
            <w:hideMark/>
          </w:tcPr>
          <w:p w14:paraId="17C78759"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0.16</w:t>
            </w:r>
          </w:p>
        </w:tc>
      </w:tr>
      <w:tr w:rsidR="00260939" w:rsidRPr="00260939" w14:paraId="474136E2"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041FFCD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Portland General Electric Company</w:t>
            </w:r>
          </w:p>
        </w:tc>
        <w:tc>
          <w:tcPr>
            <w:tcW w:w="489" w:type="dxa"/>
            <w:noWrap/>
            <w:hideMark/>
          </w:tcPr>
          <w:p w14:paraId="5A32820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5EB3A89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0.30</w:t>
            </w:r>
          </w:p>
        </w:tc>
        <w:tc>
          <w:tcPr>
            <w:tcW w:w="663" w:type="dxa"/>
            <w:noWrap/>
            <w:hideMark/>
          </w:tcPr>
          <w:p w14:paraId="2D57F6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0.28</w:t>
            </w:r>
          </w:p>
        </w:tc>
        <w:tc>
          <w:tcPr>
            <w:tcW w:w="663" w:type="dxa"/>
            <w:noWrap/>
            <w:hideMark/>
          </w:tcPr>
          <w:p w14:paraId="228B510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0.31</w:t>
            </w:r>
          </w:p>
        </w:tc>
        <w:tc>
          <w:tcPr>
            <w:tcW w:w="663" w:type="dxa"/>
            <w:noWrap/>
            <w:hideMark/>
          </w:tcPr>
          <w:p w14:paraId="55B0FE2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0212A18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0.08</w:t>
            </w:r>
          </w:p>
        </w:tc>
        <w:tc>
          <w:tcPr>
            <w:tcW w:w="663" w:type="dxa"/>
            <w:noWrap/>
            <w:hideMark/>
          </w:tcPr>
          <w:p w14:paraId="1FCC0BA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0.09</w:t>
            </w:r>
          </w:p>
        </w:tc>
        <w:tc>
          <w:tcPr>
            <w:tcW w:w="663" w:type="dxa"/>
            <w:noWrap/>
            <w:hideMark/>
          </w:tcPr>
          <w:p w14:paraId="71E76A9E"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55F230A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r w:rsidR="00260939" w:rsidRPr="00260939" w14:paraId="4640D9A2" w14:textId="77777777" w:rsidTr="00D7424B">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2BE34921"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JEA</w:t>
            </w:r>
          </w:p>
        </w:tc>
        <w:tc>
          <w:tcPr>
            <w:tcW w:w="489" w:type="dxa"/>
            <w:noWrap/>
            <w:hideMark/>
          </w:tcPr>
          <w:p w14:paraId="49794656"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0.12</w:t>
            </w:r>
          </w:p>
        </w:tc>
        <w:tc>
          <w:tcPr>
            <w:tcW w:w="663" w:type="dxa"/>
            <w:noWrap/>
            <w:hideMark/>
          </w:tcPr>
          <w:p w14:paraId="4C8C38CB"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A6B9EA3"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4DB1935A"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0.04</w:t>
            </w:r>
          </w:p>
        </w:tc>
        <w:tc>
          <w:tcPr>
            <w:tcW w:w="663" w:type="dxa"/>
            <w:noWrap/>
            <w:hideMark/>
          </w:tcPr>
          <w:p w14:paraId="306ED01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0.06</w:t>
            </w:r>
          </w:p>
        </w:tc>
        <w:tc>
          <w:tcPr>
            <w:tcW w:w="663" w:type="dxa"/>
            <w:noWrap/>
            <w:hideMark/>
          </w:tcPr>
          <w:p w14:paraId="2632E25F"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0.05</w:t>
            </w:r>
          </w:p>
        </w:tc>
        <w:tc>
          <w:tcPr>
            <w:tcW w:w="663" w:type="dxa"/>
            <w:noWrap/>
            <w:hideMark/>
          </w:tcPr>
          <w:p w14:paraId="09231754"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c>
          <w:tcPr>
            <w:tcW w:w="663" w:type="dxa"/>
            <w:noWrap/>
            <w:hideMark/>
          </w:tcPr>
          <w:p w14:paraId="2242A990"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0.19</w:t>
            </w:r>
          </w:p>
        </w:tc>
        <w:tc>
          <w:tcPr>
            <w:tcW w:w="663" w:type="dxa"/>
            <w:noWrap/>
            <w:hideMark/>
          </w:tcPr>
          <w:p w14:paraId="726FCE0E" w14:textId="77777777" w:rsidR="00260939" w:rsidRPr="00260939" w:rsidRDefault="00260939" w:rsidP="00260939">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0.18</w:t>
            </w:r>
          </w:p>
        </w:tc>
      </w:tr>
      <w:tr w:rsidR="00260939" w:rsidRPr="00260939" w14:paraId="0A74994B" w14:textId="77777777" w:rsidTr="00D7424B">
        <w:trPr>
          <w:trHeight w:val="285"/>
        </w:trPr>
        <w:tc>
          <w:tcPr>
            <w:cnfStyle w:val="001000000000" w:firstRow="0" w:lastRow="0" w:firstColumn="1" w:lastColumn="0" w:oddVBand="0" w:evenVBand="0" w:oddHBand="0" w:evenHBand="0" w:firstRowFirstColumn="0" w:firstRowLastColumn="0" w:lastRowFirstColumn="0" w:lastRowLastColumn="0"/>
            <w:tcW w:w="6300" w:type="dxa"/>
            <w:noWrap/>
            <w:hideMark/>
          </w:tcPr>
          <w:p w14:paraId="40EA0114" w14:textId="77777777" w:rsidR="00260939" w:rsidRPr="00D7424B" w:rsidRDefault="00260939" w:rsidP="00260939">
            <w:pPr>
              <w:rPr>
                <w:rFonts w:ascii="Aptos Narrow" w:eastAsia="Times New Roman" w:hAnsi="Aptos Narrow" w:cs="Times New Roman"/>
                <w:b w:val="0"/>
                <w:bCs w:val="0"/>
                <w:color w:val="000000"/>
              </w:rPr>
            </w:pPr>
            <w:r w:rsidRPr="00D7424B">
              <w:rPr>
                <w:rFonts w:ascii="Aptos Narrow" w:eastAsia="Times New Roman" w:hAnsi="Aptos Narrow" w:cs="Times New Roman"/>
                <w:b w:val="0"/>
                <w:bCs w:val="0"/>
                <w:color w:val="000000"/>
              </w:rPr>
              <w:t>City of Tacoma, Department of Public Utilities, Light Division</w:t>
            </w:r>
          </w:p>
        </w:tc>
        <w:tc>
          <w:tcPr>
            <w:tcW w:w="489" w:type="dxa"/>
            <w:noWrap/>
            <w:hideMark/>
          </w:tcPr>
          <w:p w14:paraId="6C384550"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0.01</w:t>
            </w:r>
          </w:p>
        </w:tc>
        <w:tc>
          <w:tcPr>
            <w:tcW w:w="663" w:type="dxa"/>
            <w:noWrap/>
            <w:hideMark/>
          </w:tcPr>
          <w:p w14:paraId="45C8013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24E3EEF4"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5752DB29"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20AE898A"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62DF3E36"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0.03</w:t>
            </w:r>
          </w:p>
        </w:tc>
        <w:tc>
          <w:tcPr>
            <w:tcW w:w="663" w:type="dxa"/>
            <w:noWrap/>
            <w:hideMark/>
          </w:tcPr>
          <w:p w14:paraId="2962779C"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c>
          <w:tcPr>
            <w:tcW w:w="663" w:type="dxa"/>
            <w:noWrap/>
            <w:hideMark/>
          </w:tcPr>
          <w:p w14:paraId="419354EB"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0.02</w:t>
            </w:r>
          </w:p>
        </w:tc>
        <w:tc>
          <w:tcPr>
            <w:tcW w:w="663" w:type="dxa"/>
            <w:noWrap/>
            <w:hideMark/>
          </w:tcPr>
          <w:p w14:paraId="4C2D8C85" w14:textId="77777777" w:rsidR="00260939" w:rsidRPr="00260939" w:rsidRDefault="00260939" w:rsidP="00260939">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260939">
              <w:rPr>
                <w:rFonts w:ascii="Aptos Narrow" w:eastAsia="Times New Roman" w:hAnsi="Aptos Narrow" w:cs="Times New Roman"/>
                <w:color w:val="000000"/>
              </w:rPr>
              <w:t>0.00</w:t>
            </w:r>
          </w:p>
        </w:tc>
      </w:tr>
    </w:tbl>
    <w:p w14:paraId="48F27B00" w14:textId="6B05CFD5" w:rsidR="00260939" w:rsidRDefault="00260939" w:rsidP="00F9434B"/>
    <w:p w14:paraId="5903106B" w14:textId="77777777" w:rsidR="00260939" w:rsidRDefault="00260939">
      <w:r>
        <w:br w:type="page"/>
      </w:r>
    </w:p>
    <w:p w14:paraId="4E15A54C" w14:textId="2A8D0255" w:rsidR="00840B1A" w:rsidRDefault="00840B1A" w:rsidP="00840B1A">
      <w:pPr>
        <w:pStyle w:val="Caption"/>
        <w:keepNext/>
      </w:pPr>
      <w:bookmarkStart w:id="9" w:name="_Ref179611009"/>
      <w:r>
        <w:lastRenderedPageBreak/>
        <w:t xml:space="preserve">Table </w:t>
      </w:r>
      <w:fldSimple w:instr=" SEQ Table \* ARABIC ">
        <w:r w:rsidR="006B3902">
          <w:rPr>
            <w:noProof/>
          </w:rPr>
          <w:t>3</w:t>
        </w:r>
      </w:fldSimple>
      <w:bookmarkEnd w:id="9"/>
      <w:r>
        <w:t xml:space="preserve"> </w:t>
      </w:r>
      <w:r w:rsidR="00C32C83">
        <w:t>Import reliance-diversity metric for U.S. BAs</w:t>
      </w:r>
      <w:r w:rsidR="00E41D5D">
        <w:t>.</w:t>
      </w:r>
    </w:p>
    <w:tbl>
      <w:tblPr>
        <w:tblStyle w:val="GridTable4-Accent5"/>
        <w:tblW w:w="12268" w:type="dxa"/>
        <w:tblLook w:val="04A0" w:firstRow="1" w:lastRow="0" w:firstColumn="1" w:lastColumn="0" w:noHBand="0" w:noVBand="1"/>
      </w:tblPr>
      <w:tblGrid>
        <w:gridCol w:w="6295"/>
        <w:gridCol w:w="669"/>
        <w:gridCol w:w="663"/>
        <w:gridCol w:w="663"/>
        <w:gridCol w:w="663"/>
        <w:gridCol w:w="663"/>
        <w:gridCol w:w="663"/>
        <w:gridCol w:w="663"/>
        <w:gridCol w:w="663"/>
        <w:gridCol w:w="663"/>
      </w:tblGrid>
      <w:tr w:rsidR="00840B1A" w:rsidRPr="00840B1A" w14:paraId="0A85988E" w14:textId="77777777" w:rsidTr="00F5744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A07C9CC" w14:textId="77777777" w:rsidR="00840B1A" w:rsidRPr="00840B1A" w:rsidRDefault="00840B1A" w:rsidP="00840B1A">
            <w:pPr>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Name</w:t>
            </w:r>
          </w:p>
        </w:tc>
        <w:tc>
          <w:tcPr>
            <w:tcW w:w="669" w:type="dxa"/>
            <w:noWrap/>
            <w:hideMark/>
          </w:tcPr>
          <w:p w14:paraId="67D5581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Total</w:t>
            </w:r>
          </w:p>
        </w:tc>
        <w:tc>
          <w:tcPr>
            <w:tcW w:w="663" w:type="dxa"/>
            <w:noWrap/>
            <w:hideMark/>
          </w:tcPr>
          <w:p w14:paraId="7EA096E2"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2016</w:t>
            </w:r>
          </w:p>
        </w:tc>
        <w:tc>
          <w:tcPr>
            <w:tcW w:w="663" w:type="dxa"/>
            <w:noWrap/>
            <w:hideMark/>
          </w:tcPr>
          <w:p w14:paraId="71C94EF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2017</w:t>
            </w:r>
          </w:p>
        </w:tc>
        <w:tc>
          <w:tcPr>
            <w:tcW w:w="663" w:type="dxa"/>
            <w:noWrap/>
            <w:hideMark/>
          </w:tcPr>
          <w:p w14:paraId="52E7451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2018</w:t>
            </w:r>
          </w:p>
        </w:tc>
        <w:tc>
          <w:tcPr>
            <w:tcW w:w="663" w:type="dxa"/>
            <w:noWrap/>
            <w:hideMark/>
          </w:tcPr>
          <w:p w14:paraId="0D52DB87"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2019</w:t>
            </w:r>
          </w:p>
        </w:tc>
        <w:tc>
          <w:tcPr>
            <w:tcW w:w="663" w:type="dxa"/>
            <w:noWrap/>
            <w:hideMark/>
          </w:tcPr>
          <w:p w14:paraId="3EBC7ECB"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2020</w:t>
            </w:r>
          </w:p>
        </w:tc>
        <w:tc>
          <w:tcPr>
            <w:tcW w:w="663" w:type="dxa"/>
            <w:noWrap/>
            <w:hideMark/>
          </w:tcPr>
          <w:p w14:paraId="605906CA"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2021</w:t>
            </w:r>
          </w:p>
        </w:tc>
        <w:tc>
          <w:tcPr>
            <w:tcW w:w="663" w:type="dxa"/>
            <w:noWrap/>
            <w:hideMark/>
          </w:tcPr>
          <w:p w14:paraId="52665371"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2022</w:t>
            </w:r>
          </w:p>
        </w:tc>
        <w:tc>
          <w:tcPr>
            <w:tcW w:w="663" w:type="dxa"/>
            <w:noWrap/>
            <w:hideMark/>
          </w:tcPr>
          <w:p w14:paraId="3A9BEAA5" w14:textId="77777777" w:rsidR="00840B1A" w:rsidRPr="00840B1A" w:rsidRDefault="00840B1A" w:rsidP="00840B1A">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840B1A">
              <w:rPr>
                <w:rFonts w:ascii="Aptos Narrow" w:eastAsia="Times New Roman" w:hAnsi="Aptos Narrow" w:cs="Times New Roman"/>
                <w:color w:val="FFFFFF"/>
              </w:rPr>
              <w:t>2023</w:t>
            </w:r>
          </w:p>
        </w:tc>
      </w:tr>
      <w:tr w:rsidR="00840B1A" w:rsidRPr="00840B1A" w14:paraId="56A0D1F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3A468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California Independent System Operator</w:t>
            </w:r>
          </w:p>
        </w:tc>
        <w:tc>
          <w:tcPr>
            <w:tcW w:w="669" w:type="dxa"/>
            <w:noWrap/>
            <w:hideMark/>
          </w:tcPr>
          <w:p w14:paraId="50B11CD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35AD000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48E62FA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0.45</w:t>
            </w:r>
          </w:p>
        </w:tc>
        <w:tc>
          <w:tcPr>
            <w:tcW w:w="663" w:type="dxa"/>
            <w:noWrap/>
            <w:hideMark/>
          </w:tcPr>
          <w:p w14:paraId="41BE2A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3778EE7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0.43</w:t>
            </w:r>
          </w:p>
        </w:tc>
        <w:tc>
          <w:tcPr>
            <w:tcW w:w="663" w:type="dxa"/>
            <w:noWrap/>
            <w:hideMark/>
          </w:tcPr>
          <w:p w14:paraId="35622C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0.49</w:t>
            </w:r>
          </w:p>
        </w:tc>
        <w:tc>
          <w:tcPr>
            <w:tcW w:w="663" w:type="dxa"/>
            <w:noWrap/>
            <w:hideMark/>
          </w:tcPr>
          <w:p w14:paraId="1263EDB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0.48</w:t>
            </w:r>
          </w:p>
        </w:tc>
        <w:tc>
          <w:tcPr>
            <w:tcW w:w="663" w:type="dxa"/>
            <w:noWrap/>
            <w:hideMark/>
          </w:tcPr>
          <w:p w14:paraId="1EA3C4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0BC66F1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r>
      <w:tr w:rsidR="00840B1A" w:rsidRPr="00840B1A" w14:paraId="6B0C024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2A4FB2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Tucson Electric Power</w:t>
            </w:r>
          </w:p>
        </w:tc>
        <w:tc>
          <w:tcPr>
            <w:tcW w:w="669" w:type="dxa"/>
            <w:noWrap/>
            <w:hideMark/>
          </w:tcPr>
          <w:p w14:paraId="3E43E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E01D12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0.51</w:t>
            </w:r>
          </w:p>
        </w:tc>
        <w:tc>
          <w:tcPr>
            <w:tcW w:w="663" w:type="dxa"/>
            <w:noWrap/>
            <w:hideMark/>
          </w:tcPr>
          <w:p w14:paraId="36C0A8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180FAAC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C166D0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3627B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2431F0B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AEC0A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3C6433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r>
      <w:tr w:rsidR="00840B1A" w:rsidRPr="00840B1A" w14:paraId="542A32B6"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BFB80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West</w:t>
            </w:r>
          </w:p>
        </w:tc>
        <w:tc>
          <w:tcPr>
            <w:tcW w:w="669" w:type="dxa"/>
            <w:noWrap/>
            <w:hideMark/>
          </w:tcPr>
          <w:p w14:paraId="4403CFC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146694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654158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6EB32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57FF585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79EBD00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669863A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7F33BF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0.77</w:t>
            </w:r>
          </w:p>
        </w:tc>
        <w:tc>
          <w:tcPr>
            <w:tcW w:w="663" w:type="dxa"/>
            <w:noWrap/>
            <w:hideMark/>
          </w:tcPr>
          <w:p w14:paraId="7F4D510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1.00</w:t>
            </w:r>
          </w:p>
        </w:tc>
      </w:tr>
      <w:tr w:rsidR="00840B1A" w:rsidRPr="00840B1A" w14:paraId="20F448B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1E860B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West</w:t>
            </w:r>
          </w:p>
        </w:tc>
        <w:tc>
          <w:tcPr>
            <w:tcW w:w="669" w:type="dxa"/>
            <w:noWrap/>
            <w:hideMark/>
          </w:tcPr>
          <w:p w14:paraId="7AD3E6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E393E2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0.61</w:t>
            </w:r>
          </w:p>
        </w:tc>
        <w:tc>
          <w:tcPr>
            <w:tcW w:w="663" w:type="dxa"/>
            <w:noWrap/>
            <w:hideMark/>
          </w:tcPr>
          <w:p w14:paraId="651212D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0.63</w:t>
            </w:r>
          </w:p>
        </w:tc>
        <w:tc>
          <w:tcPr>
            <w:tcW w:w="663" w:type="dxa"/>
            <w:noWrap/>
            <w:hideMark/>
          </w:tcPr>
          <w:p w14:paraId="0169B6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0.53</w:t>
            </w:r>
          </w:p>
        </w:tc>
        <w:tc>
          <w:tcPr>
            <w:tcW w:w="663" w:type="dxa"/>
            <w:noWrap/>
            <w:hideMark/>
          </w:tcPr>
          <w:p w14:paraId="4F8CD6A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69147F1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525B9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c>
          <w:tcPr>
            <w:tcW w:w="663" w:type="dxa"/>
            <w:noWrap/>
            <w:hideMark/>
          </w:tcPr>
          <w:p w14:paraId="1F4D717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9071D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r>
      <w:tr w:rsidR="00840B1A" w:rsidRPr="00840B1A" w14:paraId="57704A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697297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Florida, Inc.</w:t>
            </w:r>
          </w:p>
        </w:tc>
        <w:tc>
          <w:tcPr>
            <w:tcW w:w="669" w:type="dxa"/>
            <w:noWrap/>
            <w:hideMark/>
          </w:tcPr>
          <w:p w14:paraId="001F8E6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55A6F8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018A0D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0.41</w:t>
            </w:r>
          </w:p>
        </w:tc>
        <w:tc>
          <w:tcPr>
            <w:tcW w:w="663" w:type="dxa"/>
            <w:noWrap/>
            <w:hideMark/>
          </w:tcPr>
          <w:p w14:paraId="283CF3C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0.44</w:t>
            </w:r>
          </w:p>
        </w:tc>
        <w:tc>
          <w:tcPr>
            <w:tcW w:w="663" w:type="dxa"/>
            <w:noWrap/>
            <w:hideMark/>
          </w:tcPr>
          <w:p w14:paraId="456112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0.40</w:t>
            </w:r>
          </w:p>
        </w:tc>
        <w:tc>
          <w:tcPr>
            <w:tcW w:w="663" w:type="dxa"/>
            <w:noWrap/>
            <w:hideMark/>
          </w:tcPr>
          <w:p w14:paraId="380AE69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153D452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0.35</w:t>
            </w:r>
          </w:p>
        </w:tc>
        <w:tc>
          <w:tcPr>
            <w:tcW w:w="663" w:type="dxa"/>
            <w:noWrap/>
            <w:hideMark/>
          </w:tcPr>
          <w:p w14:paraId="6A931D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28F19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r>
      <w:tr w:rsidR="00840B1A" w:rsidRPr="00840B1A" w14:paraId="785952A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EEF0C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 Carolina Public Service Authority</w:t>
            </w:r>
          </w:p>
        </w:tc>
        <w:tc>
          <w:tcPr>
            <w:tcW w:w="669" w:type="dxa"/>
            <w:noWrap/>
            <w:hideMark/>
          </w:tcPr>
          <w:p w14:paraId="2E98A34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0.37</w:t>
            </w:r>
          </w:p>
        </w:tc>
        <w:tc>
          <w:tcPr>
            <w:tcW w:w="663" w:type="dxa"/>
            <w:noWrap/>
            <w:hideMark/>
          </w:tcPr>
          <w:p w14:paraId="30BD3E4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670AEEF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297DD33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5B1CD7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C7A65C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0.46</w:t>
            </w:r>
          </w:p>
        </w:tc>
        <w:tc>
          <w:tcPr>
            <w:tcW w:w="663" w:type="dxa"/>
            <w:noWrap/>
            <w:hideMark/>
          </w:tcPr>
          <w:p w14:paraId="7EA042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651527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77A7B86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r>
      <w:tr w:rsidR="00840B1A" w:rsidRPr="00840B1A" w14:paraId="2DF586B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5C5B75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 Paso Electric Company</w:t>
            </w:r>
          </w:p>
        </w:tc>
        <w:tc>
          <w:tcPr>
            <w:tcW w:w="669" w:type="dxa"/>
            <w:noWrap/>
            <w:hideMark/>
          </w:tcPr>
          <w:p w14:paraId="5D17BEF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7305668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0.42</w:t>
            </w:r>
          </w:p>
        </w:tc>
        <w:tc>
          <w:tcPr>
            <w:tcW w:w="663" w:type="dxa"/>
            <w:noWrap/>
            <w:hideMark/>
          </w:tcPr>
          <w:p w14:paraId="313AA18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c>
          <w:tcPr>
            <w:tcW w:w="663" w:type="dxa"/>
            <w:noWrap/>
            <w:hideMark/>
          </w:tcPr>
          <w:p w14:paraId="3154A91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17E6BA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099D25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CC4F8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B7EF71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c>
          <w:tcPr>
            <w:tcW w:w="663" w:type="dxa"/>
            <w:noWrap/>
            <w:hideMark/>
          </w:tcPr>
          <w:p w14:paraId="30D9C8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r>
      <w:tr w:rsidR="00840B1A" w:rsidRPr="00840B1A" w14:paraId="7E3F7053"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F3D245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Avista Corporation</w:t>
            </w:r>
          </w:p>
        </w:tc>
        <w:tc>
          <w:tcPr>
            <w:tcW w:w="669" w:type="dxa"/>
            <w:noWrap/>
            <w:hideMark/>
          </w:tcPr>
          <w:p w14:paraId="27A7267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527BAAC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6D535E5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32565B5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5F9D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4CFBB7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6FB5CD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0.27</w:t>
            </w:r>
          </w:p>
        </w:tc>
        <w:tc>
          <w:tcPr>
            <w:tcW w:w="663" w:type="dxa"/>
            <w:noWrap/>
            <w:hideMark/>
          </w:tcPr>
          <w:p w14:paraId="2C990D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6A4E0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0.38</w:t>
            </w:r>
          </w:p>
        </w:tc>
      </w:tr>
      <w:tr w:rsidR="00840B1A" w:rsidRPr="00840B1A" w14:paraId="4CC5403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2C51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Desert Southwest Region</w:t>
            </w:r>
          </w:p>
        </w:tc>
        <w:tc>
          <w:tcPr>
            <w:tcW w:w="669" w:type="dxa"/>
            <w:noWrap/>
            <w:hideMark/>
          </w:tcPr>
          <w:p w14:paraId="3D1B6FF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60A3262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0.33</w:t>
            </w:r>
          </w:p>
        </w:tc>
        <w:tc>
          <w:tcPr>
            <w:tcW w:w="663" w:type="dxa"/>
            <w:noWrap/>
            <w:hideMark/>
          </w:tcPr>
          <w:p w14:paraId="6DFB94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0.47</w:t>
            </w:r>
          </w:p>
        </w:tc>
        <w:tc>
          <w:tcPr>
            <w:tcW w:w="663" w:type="dxa"/>
            <w:noWrap/>
            <w:hideMark/>
          </w:tcPr>
          <w:p w14:paraId="6783FA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0.39</w:t>
            </w:r>
          </w:p>
        </w:tc>
        <w:tc>
          <w:tcPr>
            <w:tcW w:w="663" w:type="dxa"/>
            <w:noWrap/>
            <w:hideMark/>
          </w:tcPr>
          <w:p w14:paraId="4D35B26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200A835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5DA3F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967B1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A0F01D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18F5BE1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63E161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Los Angeles Department of Water and Power</w:t>
            </w:r>
          </w:p>
        </w:tc>
        <w:tc>
          <w:tcPr>
            <w:tcW w:w="669" w:type="dxa"/>
            <w:noWrap/>
            <w:hideMark/>
          </w:tcPr>
          <w:p w14:paraId="56E13C9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9DEC3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11F17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73685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19A0D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E1304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0A8D1B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625BC59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0.31</w:t>
            </w:r>
          </w:p>
        </w:tc>
        <w:tc>
          <w:tcPr>
            <w:tcW w:w="663" w:type="dxa"/>
            <w:noWrap/>
            <w:hideMark/>
          </w:tcPr>
          <w:p w14:paraId="75B76DA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0.36</w:t>
            </w:r>
          </w:p>
        </w:tc>
      </w:tr>
      <w:tr w:rsidR="00840B1A" w:rsidRPr="00840B1A" w14:paraId="54B4ECAA"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68B257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Nevada Power Company</w:t>
            </w:r>
          </w:p>
        </w:tc>
        <w:tc>
          <w:tcPr>
            <w:tcW w:w="669" w:type="dxa"/>
            <w:noWrap/>
            <w:hideMark/>
          </w:tcPr>
          <w:p w14:paraId="432A2D2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441273C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12F162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5157F41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0.25</w:t>
            </w:r>
          </w:p>
        </w:tc>
        <w:tc>
          <w:tcPr>
            <w:tcW w:w="663" w:type="dxa"/>
            <w:noWrap/>
            <w:hideMark/>
          </w:tcPr>
          <w:p w14:paraId="363BC97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2EAC62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65334A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1180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15493B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07D9C05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BE80D5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Idaho Power Company</w:t>
            </w:r>
          </w:p>
        </w:tc>
        <w:tc>
          <w:tcPr>
            <w:tcW w:w="669" w:type="dxa"/>
            <w:noWrap/>
            <w:hideMark/>
          </w:tcPr>
          <w:p w14:paraId="5054F6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67358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0.26</w:t>
            </w:r>
          </w:p>
        </w:tc>
        <w:tc>
          <w:tcPr>
            <w:tcW w:w="663" w:type="dxa"/>
            <w:noWrap/>
            <w:hideMark/>
          </w:tcPr>
          <w:p w14:paraId="720EAB8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7D65C8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A8EA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2C3A39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50B9D22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03C00DE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0.30</w:t>
            </w:r>
          </w:p>
        </w:tc>
        <w:tc>
          <w:tcPr>
            <w:tcW w:w="663" w:type="dxa"/>
            <w:noWrap/>
            <w:hideMark/>
          </w:tcPr>
          <w:p w14:paraId="79E2AB7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34D479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7B3981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Puget Sound Energy, Inc.</w:t>
            </w:r>
          </w:p>
        </w:tc>
        <w:tc>
          <w:tcPr>
            <w:tcW w:w="669" w:type="dxa"/>
            <w:noWrap/>
            <w:hideMark/>
          </w:tcPr>
          <w:p w14:paraId="4FDEEB8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35FE31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3BDA95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E16E8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5FD67B7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24A572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0.23</w:t>
            </w:r>
          </w:p>
        </w:tc>
        <w:tc>
          <w:tcPr>
            <w:tcW w:w="663" w:type="dxa"/>
            <w:noWrap/>
            <w:hideMark/>
          </w:tcPr>
          <w:p w14:paraId="38FE100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0.29</w:t>
            </w:r>
          </w:p>
        </w:tc>
        <w:tc>
          <w:tcPr>
            <w:tcW w:w="663" w:type="dxa"/>
            <w:noWrap/>
            <w:hideMark/>
          </w:tcPr>
          <w:p w14:paraId="05B940A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0.32</w:t>
            </w:r>
          </w:p>
        </w:tc>
        <w:tc>
          <w:tcPr>
            <w:tcW w:w="663" w:type="dxa"/>
            <w:noWrap/>
            <w:hideMark/>
          </w:tcPr>
          <w:p w14:paraId="2EF2CA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r>
      <w:tr w:rsidR="00840B1A" w:rsidRPr="00840B1A" w14:paraId="6E736B1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6C02CF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New York Independent System Operator</w:t>
            </w:r>
          </w:p>
        </w:tc>
        <w:tc>
          <w:tcPr>
            <w:tcW w:w="669" w:type="dxa"/>
            <w:noWrap/>
            <w:hideMark/>
          </w:tcPr>
          <w:p w14:paraId="0589FA0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19492F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7B8452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6342333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0.20</w:t>
            </w:r>
          </w:p>
        </w:tc>
        <w:tc>
          <w:tcPr>
            <w:tcW w:w="663" w:type="dxa"/>
            <w:noWrap/>
            <w:hideMark/>
          </w:tcPr>
          <w:p w14:paraId="7DB4F3A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21F4C3A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4602EA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8E96FF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0.22</w:t>
            </w:r>
          </w:p>
        </w:tc>
        <w:tc>
          <w:tcPr>
            <w:tcW w:w="663" w:type="dxa"/>
            <w:noWrap/>
            <w:hideMark/>
          </w:tcPr>
          <w:p w14:paraId="2E78E19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r>
      <w:tr w:rsidR="00840B1A" w:rsidRPr="00840B1A" w14:paraId="3D8EC79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CE0609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Arizona Public Service Company</w:t>
            </w:r>
          </w:p>
        </w:tc>
        <w:tc>
          <w:tcPr>
            <w:tcW w:w="669" w:type="dxa"/>
            <w:noWrap/>
            <w:hideMark/>
          </w:tcPr>
          <w:p w14:paraId="26E772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18254D2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A0E84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9F0869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B6902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6950E4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4F50C4A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0.19</w:t>
            </w:r>
          </w:p>
        </w:tc>
        <w:tc>
          <w:tcPr>
            <w:tcW w:w="663" w:type="dxa"/>
            <w:noWrap/>
            <w:hideMark/>
          </w:tcPr>
          <w:p w14:paraId="689624C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630E7A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0.17</w:t>
            </w:r>
          </w:p>
        </w:tc>
      </w:tr>
      <w:tr w:rsidR="00840B1A" w:rsidRPr="00840B1A" w14:paraId="269C6100"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98CB2F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ISO New England</w:t>
            </w:r>
          </w:p>
        </w:tc>
        <w:tc>
          <w:tcPr>
            <w:tcW w:w="669" w:type="dxa"/>
            <w:noWrap/>
            <w:hideMark/>
          </w:tcPr>
          <w:p w14:paraId="15BB95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86D2B5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6F255A3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0703ACA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c>
          <w:tcPr>
            <w:tcW w:w="663" w:type="dxa"/>
            <w:noWrap/>
            <w:hideMark/>
          </w:tcPr>
          <w:p w14:paraId="330267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7E4EDF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0.18</w:t>
            </w:r>
          </w:p>
        </w:tc>
        <w:tc>
          <w:tcPr>
            <w:tcW w:w="663" w:type="dxa"/>
            <w:noWrap/>
            <w:hideMark/>
          </w:tcPr>
          <w:p w14:paraId="32E2664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279C3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450B0D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7E5EA3D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842086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Balancing Authority of Northern California</w:t>
            </w:r>
          </w:p>
        </w:tc>
        <w:tc>
          <w:tcPr>
            <w:tcW w:w="669" w:type="dxa"/>
            <w:noWrap/>
            <w:hideMark/>
          </w:tcPr>
          <w:p w14:paraId="784840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06E861C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1BFC2E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3497170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35A8D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3E4156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40170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964A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0.28</w:t>
            </w:r>
          </w:p>
        </w:tc>
        <w:tc>
          <w:tcPr>
            <w:tcW w:w="663" w:type="dxa"/>
            <w:noWrap/>
            <w:hideMark/>
          </w:tcPr>
          <w:p w14:paraId="76BAFB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0.16</w:t>
            </w:r>
          </w:p>
        </w:tc>
      </w:tr>
      <w:tr w:rsidR="00840B1A" w:rsidRPr="00840B1A" w14:paraId="26090F88"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FC01732"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Portland General Electric Company</w:t>
            </w:r>
          </w:p>
        </w:tc>
        <w:tc>
          <w:tcPr>
            <w:tcW w:w="669" w:type="dxa"/>
            <w:noWrap/>
            <w:hideMark/>
          </w:tcPr>
          <w:p w14:paraId="5746938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996B55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35B81B9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7306ED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0.21</w:t>
            </w:r>
          </w:p>
        </w:tc>
        <w:tc>
          <w:tcPr>
            <w:tcW w:w="663" w:type="dxa"/>
            <w:noWrap/>
            <w:hideMark/>
          </w:tcPr>
          <w:p w14:paraId="6BD0828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92CA44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00A7F26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60BC18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C0CE7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B1C75B5"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4A58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Midcontinent Independent System Operator, Inc.</w:t>
            </w:r>
          </w:p>
        </w:tc>
        <w:tc>
          <w:tcPr>
            <w:tcW w:w="669" w:type="dxa"/>
            <w:noWrap/>
            <w:hideMark/>
          </w:tcPr>
          <w:p w14:paraId="1D8B989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0F691F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4EE8C67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5312797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06CB2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0.14</w:t>
            </w:r>
          </w:p>
        </w:tc>
        <w:tc>
          <w:tcPr>
            <w:tcW w:w="663" w:type="dxa"/>
            <w:noWrap/>
            <w:hideMark/>
          </w:tcPr>
          <w:p w14:paraId="3B2FAFF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0.15</w:t>
            </w:r>
          </w:p>
        </w:tc>
        <w:tc>
          <w:tcPr>
            <w:tcW w:w="663" w:type="dxa"/>
            <w:noWrap/>
            <w:hideMark/>
          </w:tcPr>
          <w:p w14:paraId="2F7D8CA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7E892C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F6E72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37A8CAFF"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DDCA35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Seattle City Light</w:t>
            </w:r>
          </w:p>
        </w:tc>
        <w:tc>
          <w:tcPr>
            <w:tcW w:w="669" w:type="dxa"/>
            <w:noWrap/>
            <w:hideMark/>
          </w:tcPr>
          <w:p w14:paraId="6473A4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37EEA9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76FB38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EBD85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67C018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4F6D180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c>
          <w:tcPr>
            <w:tcW w:w="663" w:type="dxa"/>
            <w:noWrap/>
            <w:hideMark/>
          </w:tcPr>
          <w:p w14:paraId="273F5A3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c>
          <w:tcPr>
            <w:tcW w:w="663" w:type="dxa"/>
            <w:noWrap/>
            <w:hideMark/>
          </w:tcPr>
          <w:p w14:paraId="44741C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587D9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r>
      <w:tr w:rsidR="00840B1A" w:rsidRPr="00840B1A" w14:paraId="20AED347"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18078E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New Mexico</w:t>
            </w:r>
          </w:p>
        </w:tc>
        <w:tc>
          <w:tcPr>
            <w:tcW w:w="669" w:type="dxa"/>
            <w:noWrap/>
            <w:hideMark/>
          </w:tcPr>
          <w:p w14:paraId="18ABB8D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EE0134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4FB9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E89340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0.13</w:t>
            </w:r>
          </w:p>
        </w:tc>
        <w:tc>
          <w:tcPr>
            <w:tcW w:w="663" w:type="dxa"/>
            <w:noWrap/>
            <w:hideMark/>
          </w:tcPr>
          <w:p w14:paraId="109E01E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18BBE3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114EC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208E5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0A635B3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0.10</w:t>
            </w:r>
          </w:p>
        </w:tc>
      </w:tr>
      <w:tr w:rsidR="00840B1A" w:rsidRPr="00840B1A" w14:paraId="27F5C48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6DEC08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PacifiCorp East</w:t>
            </w:r>
          </w:p>
        </w:tc>
        <w:tc>
          <w:tcPr>
            <w:tcW w:w="669" w:type="dxa"/>
            <w:noWrap/>
            <w:hideMark/>
          </w:tcPr>
          <w:p w14:paraId="1301DDA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A1BBC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CAD35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7BE8888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2CA26F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4044B01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262503B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50CE3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A7E3C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521165BE"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A81E928"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Associated Electric Cooperative, Inc.</w:t>
            </w:r>
          </w:p>
        </w:tc>
        <w:tc>
          <w:tcPr>
            <w:tcW w:w="669" w:type="dxa"/>
            <w:noWrap/>
            <w:hideMark/>
          </w:tcPr>
          <w:p w14:paraId="04DA63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91A647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48C59B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75B3F7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29F6F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97650B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3B02C07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739E5C1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0.07</w:t>
            </w:r>
          </w:p>
        </w:tc>
        <w:tc>
          <w:tcPr>
            <w:tcW w:w="663" w:type="dxa"/>
            <w:noWrap/>
            <w:hideMark/>
          </w:tcPr>
          <w:p w14:paraId="1D4097E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r>
      <w:tr w:rsidR="00840B1A" w:rsidRPr="00840B1A" w14:paraId="13BEFB35"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079138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Louisville Gas and Electric Company and Kentucky Utilities Company</w:t>
            </w:r>
          </w:p>
        </w:tc>
        <w:tc>
          <w:tcPr>
            <w:tcW w:w="669" w:type="dxa"/>
            <w:noWrap/>
            <w:hideMark/>
          </w:tcPr>
          <w:p w14:paraId="3FEECBE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4712318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0037CC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0D6017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D02BD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D25C82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4D7B95F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0.09</w:t>
            </w:r>
          </w:p>
        </w:tc>
        <w:tc>
          <w:tcPr>
            <w:tcW w:w="663" w:type="dxa"/>
            <w:noWrap/>
            <w:hideMark/>
          </w:tcPr>
          <w:p w14:paraId="193622B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0.11</w:t>
            </w:r>
          </w:p>
        </w:tc>
        <w:tc>
          <w:tcPr>
            <w:tcW w:w="663" w:type="dxa"/>
            <w:noWrap/>
            <w:hideMark/>
          </w:tcPr>
          <w:p w14:paraId="4CDEA07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0.12</w:t>
            </w:r>
          </w:p>
        </w:tc>
      </w:tr>
      <w:tr w:rsidR="00840B1A" w:rsidRPr="00840B1A" w14:paraId="66C74ED2"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0B7CB0A"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Municipal Power Pool</w:t>
            </w:r>
          </w:p>
        </w:tc>
        <w:tc>
          <w:tcPr>
            <w:tcW w:w="669" w:type="dxa"/>
            <w:noWrap/>
            <w:hideMark/>
          </w:tcPr>
          <w:p w14:paraId="45F50D9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6517DE6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5FBB1EB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896D09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3CCBFB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88E939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0C0E5A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33794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4817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r>
      <w:tr w:rsidR="00840B1A" w:rsidRPr="00840B1A" w14:paraId="08EA36CA"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727C59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Progress East</w:t>
            </w:r>
          </w:p>
        </w:tc>
        <w:tc>
          <w:tcPr>
            <w:tcW w:w="669" w:type="dxa"/>
            <w:noWrap/>
            <w:hideMark/>
          </w:tcPr>
          <w:p w14:paraId="1BD378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1ACF7AD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4A76BE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5E478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68F58DC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F4D40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1A39DE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3CED1F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6FE6EB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7F3CD58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C4498F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Duke Energy Carolinas</w:t>
            </w:r>
          </w:p>
        </w:tc>
        <w:tc>
          <w:tcPr>
            <w:tcW w:w="669" w:type="dxa"/>
            <w:noWrap/>
            <w:hideMark/>
          </w:tcPr>
          <w:p w14:paraId="0EACC3F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14E7008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7D0CD39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01D8AA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5C802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FAC680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1EA51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AF213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479A22F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r>
      <w:tr w:rsidR="00840B1A" w:rsidRPr="00840B1A" w14:paraId="5F89C347"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BD81D17"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JEA</w:t>
            </w:r>
          </w:p>
        </w:tc>
        <w:tc>
          <w:tcPr>
            <w:tcW w:w="669" w:type="dxa"/>
            <w:noWrap/>
            <w:hideMark/>
          </w:tcPr>
          <w:p w14:paraId="0CE0EA2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B848CA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713AC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E2E5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8D509D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FE73A1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4ACA56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7E513A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0D5060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4D49E831"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3156BE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Florida Power &amp; Light Co.</w:t>
            </w:r>
          </w:p>
        </w:tc>
        <w:tc>
          <w:tcPr>
            <w:tcW w:w="669" w:type="dxa"/>
            <w:noWrap/>
            <w:hideMark/>
          </w:tcPr>
          <w:p w14:paraId="27DA94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7783E1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2AF1E1D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1C7138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E998E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40B5C1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2D92FC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10AD96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443F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BE8CA3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75D7E7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lastRenderedPageBreak/>
              <w:t>Salt River Project Agricultural Improvement and Power District</w:t>
            </w:r>
          </w:p>
        </w:tc>
        <w:tc>
          <w:tcPr>
            <w:tcW w:w="669" w:type="dxa"/>
            <w:noWrap/>
            <w:hideMark/>
          </w:tcPr>
          <w:p w14:paraId="48C851F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7FD9B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0.08</w:t>
            </w:r>
          </w:p>
        </w:tc>
        <w:tc>
          <w:tcPr>
            <w:tcW w:w="663" w:type="dxa"/>
            <w:noWrap/>
            <w:hideMark/>
          </w:tcPr>
          <w:p w14:paraId="6748C8C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c>
          <w:tcPr>
            <w:tcW w:w="663" w:type="dxa"/>
            <w:noWrap/>
            <w:hideMark/>
          </w:tcPr>
          <w:p w14:paraId="6E4B713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5F42BBD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E2D334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715BE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840EB6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D93D89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22BF3ED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A32E2B"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Service Company of Colorado</w:t>
            </w:r>
          </w:p>
        </w:tc>
        <w:tc>
          <w:tcPr>
            <w:tcW w:w="669" w:type="dxa"/>
            <w:noWrap/>
            <w:hideMark/>
          </w:tcPr>
          <w:p w14:paraId="1B2F27A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B11DBA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724A4A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3CCA43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CC4587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383F8C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8EB887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EE004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32B649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70E58D06"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DDB72BD"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Southwest Power Pool</w:t>
            </w:r>
          </w:p>
        </w:tc>
        <w:tc>
          <w:tcPr>
            <w:tcW w:w="669" w:type="dxa"/>
            <w:noWrap/>
            <w:hideMark/>
          </w:tcPr>
          <w:p w14:paraId="06CD76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35954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10136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4C546B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377E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F0A41E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8EB9B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977A5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E0C820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r>
      <w:tr w:rsidR="00840B1A" w:rsidRPr="00840B1A" w14:paraId="553AA330"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316025D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NorthWestern Corporation</w:t>
            </w:r>
          </w:p>
        </w:tc>
        <w:tc>
          <w:tcPr>
            <w:tcW w:w="669" w:type="dxa"/>
            <w:noWrap/>
            <w:hideMark/>
          </w:tcPr>
          <w:p w14:paraId="5097F93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7140FD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541C3D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70305B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39FF2BE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0D44F2E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0.05</w:t>
            </w:r>
          </w:p>
        </w:tc>
        <w:tc>
          <w:tcPr>
            <w:tcW w:w="663" w:type="dxa"/>
            <w:noWrap/>
            <w:hideMark/>
          </w:tcPr>
          <w:p w14:paraId="2927263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5DF0E7F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DFFB11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E160AE2"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59359C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Public Utility District No. 2 of Grant County, Washington</w:t>
            </w:r>
          </w:p>
        </w:tc>
        <w:tc>
          <w:tcPr>
            <w:tcW w:w="669" w:type="dxa"/>
            <w:noWrap/>
            <w:hideMark/>
          </w:tcPr>
          <w:p w14:paraId="40E906D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6B8E34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DF45EA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2E0258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4C0C855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764E1A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32A01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7534379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F45A69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0.06</w:t>
            </w:r>
          </w:p>
        </w:tc>
      </w:tr>
      <w:tr w:rsidR="00840B1A" w:rsidRPr="00840B1A" w14:paraId="2966011D"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EAC7A5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PowerSouth Energy Cooperative</w:t>
            </w:r>
          </w:p>
        </w:tc>
        <w:tc>
          <w:tcPr>
            <w:tcW w:w="669" w:type="dxa"/>
            <w:noWrap/>
            <w:hideMark/>
          </w:tcPr>
          <w:p w14:paraId="09DD0C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02FC8D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399CE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14522D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572B1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F1CCAD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0.04</w:t>
            </w:r>
          </w:p>
        </w:tc>
        <w:tc>
          <w:tcPr>
            <w:tcW w:w="663" w:type="dxa"/>
            <w:noWrap/>
            <w:hideMark/>
          </w:tcPr>
          <w:p w14:paraId="2E9DE6B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7AA8705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EB8BF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15D772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94582B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Tennessee Valley Authority</w:t>
            </w:r>
          </w:p>
        </w:tc>
        <w:tc>
          <w:tcPr>
            <w:tcW w:w="669" w:type="dxa"/>
            <w:noWrap/>
            <w:hideMark/>
          </w:tcPr>
          <w:p w14:paraId="0AB45D6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47017BA"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B4B163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A9FCE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FCA0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4492E8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568A684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16CF3BF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273C5A3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56A7C72C"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09B1BD9C"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Tampa Electric Company</w:t>
            </w:r>
          </w:p>
        </w:tc>
        <w:tc>
          <w:tcPr>
            <w:tcW w:w="669" w:type="dxa"/>
            <w:noWrap/>
            <w:hideMark/>
          </w:tcPr>
          <w:p w14:paraId="02C3CF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CF6AD0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E59A12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F87D59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91AEBAF"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8D077E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093F4BD"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5720D61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1C326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r>
      <w:tr w:rsidR="00840B1A" w:rsidRPr="00840B1A" w14:paraId="135F4F54"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D90CD4E"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City of Tacoma, Department of Public Utilities, Light Division</w:t>
            </w:r>
          </w:p>
        </w:tc>
        <w:tc>
          <w:tcPr>
            <w:tcW w:w="669" w:type="dxa"/>
            <w:noWrap/>
            <w:hideMark/>
          </w:tcPr>
          <w:p w14:paraId="37211FE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D095A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09701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1D44E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FE9D82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16B993"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17D9E8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DBD88F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0B3BE225"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5F312F98"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A731199"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Dominion Energy South Carolina, Inc.</w:t>
            </w:r>
          </w:p>
        </w:tc>
        <w:tc>
          <w:tcPr>
            <w:tcW w:w="669" w:type="dxa"/>
            <w:noWrap/>
            <w:hideMark/>
          </w:tcPr>
          <w:p w14:paraId="3B76EA6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C0A763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66C45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986668A"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1893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6DDC878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4048121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27EB0AA5"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F04334E"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29FA881"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7CFBC896"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Bonneville Power Administration</w:t>
            </w:r>
          </w:p>
        </w:tc>
        <w:tc>
          <w:tcPr>
            <w:tcW w:w="669" w:type="dxa"/>
            <w:noWrap/>
            <w:hideMark/>
          </w:tcPr>
          <w:p w14:paraId="624B11A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F255B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FCE4F7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8CADB3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948070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414BF6"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30C08B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FB7212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F7EE839"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CA7014F"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42100F84"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Electric Reliability Council of Texas, Inc.</w:t>
            </w:r>
          </w:p>
        </w:tc>
        <w:tc>
          <w:tcPr>
            <w:tcW w:w="669" w:type="dxa"/>
            <w:noWrap/>
            <w:hideMark/>
          </w:tcPr>
          <w:p w14:paraId="7D300CB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7642664"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8218B72"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9EF41F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AC2B1B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2A28A587"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4630308"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57845B1"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42164D7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68A558DD"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5DEA122F"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PJM Interconnection, LLC</w:t>
            </w:r>
          </w:p>
        </w:tc>
        <w:tc>
          <w:tcPr>
            <w:tcW w:w="669" w:type="dxa"/>
            <w:noWrap/>
            <w:hideMark/>
          </w:tcPr>
          <w:p w14:paraId="77C870DC"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F9E95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0.02</w:t>
            </w:r>
          </w:p>
        </w:tc>
        <w:tc>
          <w:tcPr>
            <w:tcW w:w="663" w:type="dxa"/>
            <w:noWrap/>
            <w:hideMark/>
          </w:tcPr>
          <w:p w14:paraId="61D325C2"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C5C5B70"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E2CE15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ACD4748"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5034610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47C565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10A066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068E1B44" w14:textId="77777777" w:rsidTr="00F5744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2A4F0B40"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Southern Company Services, Inc. - Trans</w:t>
            </w:r>
          </w:p>
        </w:tc>
        <w:tc>
          <w:tcPr>
            <w:tcW w:w="669" w:type="dxa"/>
            <w:noWrap/>
            <w:hideMark/>
          </w:tcPr>
          <w:p w14:paraId="356F5E7B"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C88726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99A55A0"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0D3C4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0.01</w:t>
            </w:r>
          </w:p>
        </w:tc>
        <w:tc>
          <w:tcPr>
            <w:tcW w:w="663" w:type="dxa"/>
            <w:noWrap/>
            <w:hideMark/>
          </w:tcPr>
          <w:p w14:paraId="37225EC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0.03</w:t>
            </w:r>
          </w:p>
        </w:tc>
        <w:tc>
          <w:tcPr>
            <w:tcW w:w="663" w:type="dxa"/>
            <w:noWrap/>
            <w:hideMark/>
          </w:tcPr>
          <w:p w14:paraId="3C9A3349"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02AE4633"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2C7BB5C"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36BB866" w14:textId="77777777" w:rsidR="00840B1A" w:rsidRPr="00840B1A" w:rsidRDefault="00840B1A" w:rsidP="00840B1A">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r w:rsidR="00840B1A" w:rsidRPr="00840B1A" w14:paraId="1BD6119C" w14:textId="77777777" w:rsidTr="00F5744F">
        <w:trPr>
          <w:trHeight w:val="285"/>
        </w:trPr>
        <w:tc>
          <w:tcPr>
            <w:cnfStyle w:val="001000000000" w:firstRow="0" w:lastRow="0" w:firstColumn="1" w:lastColumn="0" w:oddVBand="0" w:evenVBand="0" w:oddHBand="0" w:evenHBand="0" w:firstRowFirstColumn="0" w:firstRowLastColumn="0" w:lastRowFirstColumn="0" w:lastRowLastColumn="0"/>
            <w:tcW w:w="6295" w:type="dxa"/>
            <w:noWrap/>
            <w:hideMark/>
          </w:tcPr>
          <w:p w14:paraId="14B8BD13" w14:textId="77777777" w:rsidR="00840B1A" w:rsidRPr="00F5744F" w:rsidRDefault="00840B1A" w:rsidP="00840B1A">
            <w:pPr>
              <w:rPr>
                <w:rFonts w:ascii="Aptos Narrow" w:eastAsia="Times New Roman" w:hAnsi="Aptos Narrow" w:cs="Times New Roman"/>
                <w:b w:val="0"/>
                <w:bCs w:val="0"/>
                <w:color w:val="000000"/>
              </w:rPr>
            </w:pPr>
            <w:r w:rsidRPr="00F5744F">
              <w:rPr>
                <w:rFonts w:ascii="Aptos Narrow" w:eastAsia="Times New Roman" w:hAnsi="Aptos Narrow" w:cs="Times New Roman"/>
                <w:b w:val="0"/>
                <w:bCs w:val="0"/>
                <w:color w:val="000000"/>
              </w:rPr>
              <w:t>Western Area Power Administration - Rocky Mountain Region</w:t>
            </w:r>
          </w:p>
        </w:tc>
        <w:tc>
          <w:tcPr>
            <w:tcW w:w="669" w:type="dxa"/>
            <w:noWrap/>
            <w:hideMark/>
          </w:tcPr>
          <w:p w14:paraId="0E3A2C51"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68C2CB8E"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4080644"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12E525F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BEE1E3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790AFC1F"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773C1B"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A49A19D"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c>
          <w:tcPr>
            <w:tcW w:w="663" w:type="dxa"/>
            <w:noWrap/>
            <w:hideMark/>
          </w:tcPr>
          <w:p w14:paraId="35C9DAA7" w14:textId="77777777" w:rsidR="00840B1A" w:rsidRPr="00840B1A" w:rsidRDefault="00840B1A" w:rsidP="00840B1A">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840B1A">
              <w:rPr>
                <w:rFonts w:ascii="Aptos Narrow" w:eastAsia="Times New Roman" w:hAnsi="Aptos Narrow" w:cs="Times New Roman"/>
                <w:color w:val="000000"/>
              </w:rPr>
              <w:t>0.00</w:t>
            </w:r>
          </w:p>
        </w:tc>
      </w:tr>
    </w:tbl>
    <w:p w14:paraId="5AA4455C" w14:textId="140C3B3F" w:rsidR="006952FC" w:rsidRDefault="006952FC" w:rsidP="00F9434B"/>
    <w:p w14:paraId="344993D0" w14:textId="77777777" w:rsidR="006952FC" w:rsidRDefault="006952FC">
      <w:r>
        <w:br w:type="page"/>
      </w:r>
    </w:p>
    <w:p w14:paraId="11E77DE0" w14:textId="604B5B8C" w:rsidR="00630ADB" w:rsidRDefault="00630ADB" w:rsidP="00630ADB">
      <w:pPr>
        <w:pStyle w:val="Caption"/>
        <w:keepNext/>
      </w:pPr>
      <w:bookmarkStart w:id="10" w:name="_Ref183551621"/>
      <w:r>
        <w:lastRenderedPageBreak/>
        <w:t xml:space="preserve">Table </w:t>
      </w:r>
      <w:fldSimple w:instr=" SEQ Table \* ARABIC ">
        <w:r w:rsidR="006B3902">
          <w:rPr>
            <w:noProof/>
          </w:rPr>
          <w:t>4</w:t>
        </w:r>
      </w:fldSimple>
      <w:bookmarkEnd w:id="10"/>
      <w:r>
        <w:t xml:space="preserve"> Import shares during high net load periods </w:t>
      </w:r>
      <w:r w:rsidR="00A679F1">
        <w:t xml:space="preserve">(&gt;=p95) </w:t>
      </w:r>
      <w:r>
        <w:t>compared to import shares during all periods by US balancing authority, 2018-2023.</w:t>
      </w:r>
    </w:p>
    <w:tbl>
      <w:tblPr>
        <w:tblStyle w:val="GridTable4-Accent1"/>
        <w:tblW w:w="11561" w:type="dxa"/>
        <w:tblLook w:val="04A0" w:firstRow="1" w:lastRow="0" w:firstColumn="1" w:lastColumn="0" w:noHBand="0" w:noVBand="1"/>
      </w:tblPr>
      <w:tblGrid>
        <w:gridCol w:w="6336"/>
        <w:gridCol w:w="2345"/>
        <w:gridCol w:w="90"/>
        <w:gridCol w:w="1530"/>
        <w:gridCol w:w="90"/>
        <w:gridCol w:w="1177"/>
      </w:tblGrid>
      <w:tr w:rsidR="00D6341A" w:rsidRPr="00D0785F" w14:paraId="5BFFFA70" w14:textId="77777777" w:rsidTr="001A669F">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4875B4F" w14:textId="77777777" w:rsidR="00D0785F" w:rsidRPr="00D0785F" w:rsidRDefault="00D0785F" w:rsidP="00D0785F">
            <w:pPr>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Name</w:t>
            </w:r>
          </w:p>
        </w:tc>
        <w:tc>
          <w:tcPr>
            <w:tcW w:w="2435" w:type="dxa"/>
            <w:gridSpan w:val="2"/>
            <w:noWrap/>
            <w:hideMark/>
          </w:tcPr>
          <w:p w14:paraId="77C6BA24" w14:textId="1BB8C342"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 xml:space="preserve">Average Import Share </w:t>
            </w:r>
            <w:r w:rsidR="006F42C9">
              <w:rPr>
                <w:rFonts w:ascii="Aptos Narrow" w:eastAsia="Times New Roman" w:hAnsi="Aptos Narrow" w:cs="Times New Roman"/>
                <w:color w:val="FFFFFF"/>
              </w:rPr>
              <w:t>with</w:t>
            </w:r>
            <w:r w:rsidRPr="00D0785F">
              <w:rPr>
                <w:rFonts w:ascii="Aptos Narrow" w:eastAsia="Times New Roman" w:hAnsi="Aptos Narrow" w:cs="Times New Roman"/>
                <w:color w:val="FFFFFF"/>
              </w:rPr>
              <w:t xml:space="preserve"> High Net Load</w:t>
            </w:r>
          </w:p>
        </w:tc>
        <w:tc>
          <w:tcPr>
            <w:tcW w:w="1620" w:type="dxa"/>
            <w:gridSpan w:val="2"/>
            <w:noWrap/>
            <w:hideMark/>
          </w:tcPr>
          <w:p w14:paraId="1DDFEC1E"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Average Import Share</w:t>
            </w:r>
          </w:p>
        </w:tc>
        <w:tc>
          <w:tcPr>
            <w:tcW w:w="1170" w:type="dxa"/>
            <w:noWrap/>
            <w:hideMark/>
          </w:tcPr>
          <w:p w14:paraId="32720A40" w14:textId="77777777" w:rsidR="00D0785F" w:rsidRPr="00D0785F" w:rsidRDefault="00D0785F" w:rsidP="008F59E7">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b w:val="0"/>
                <w:bCs w:val="0"/>
                <w:color w:val="FFFFFF"/>
              </w:rPr>
            </w:pPr>
            <w:r w:rsidRPr="00D0785F">
              <w:rPr>
                <w:rFonts w:ascii="Aptos Narrow" w:eastAsia="Times New Roman" w:hAnsi="Aptos Narrow" w:cs="Times New Roman"/>
                <w:color w:val="FFFFFF"/>
              </w:rPr>
              <w:t>Difference</w:t>
            </w:r>
          </w:p>
        </w:tc>
      </w:tr>
      <w:tr w:rsidR="00D6341A" w:rsidRPr="00D0785F" w14:paraId="5CA8891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6377594"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West</w:t>
            </w:r>
          </w:p>
        </w:tc>
        <w:tc>
          <w:tcPr>
            <w:tcW w:w="2345" w:type="dxa"/>
            <w:noWrap/>
            <w:hideMark/>
          </w:tcPr>
          <w:p w14:paraId="18A66EE8" w14:textId="60370C5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w:t>
            </w:r>
            <w:r w:rsidR="00E33DB5">
              <w:rPr>
                <w:rFonts w:ascii="Aptos Narrow" w:eastAsia="Times New Roman" w:hAnsi="Aptos Narrow" w:cs="Times New Roman"/>
                <w:color w:val="000000"/>
              </w:rPr>
              <w:t>0</w:t>
            </w:r>
          </w:p>
        </w:tc>
        <w:tc>
          <w:tcPr>
            <w:tcW w:w="1620" w:type="dxa"/>
            <w:gridSpan w:val="2"/>
            <w:noWrap/>
            <w:hideMark/>
          </w:tcPr>
          <w:p w14:paraId="43F9805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0.46</w:t>
            </w:r>
          </w:p>
        </w:tc>
        <w:tc>
          <w:tcPr>
            <w:tcW w:w="1260" w:type="dxa"/>
            <w:gridSpan w:val="2"/>
            <w:noWrap/>
            <w:hideMark/>
          </w:tcPr>
          <w:p w14:paraId="55BD5D1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r>
      <w:tr w:rsidR="00D6341A" w:rsidRPr="00D0785F" w14:paraId="10749154"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89FA2AD"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Associated Electric Cooperative, Inc.</w:t>
            </w:r>
          </w:p>
        </w:tc>
        <w:tc>
          <w:tcPr>
            <w:tcW w:w="2345" w:type="dxa"/>
            <w:noWrap/>
            <w:hideMark/>
          </w:tcPr>
          <w:p w14:paraId="2F309B98"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0.18</w:t>
            </w:r>
          </w:p>
        </w:tc>
        <w:tc>
          <w:tcPr>
            <w:tcW w:w="1620" w:type="dxa"/>
            <w:gridSpan w:val="2"/>
            <w:noWrap/>
            <w:hideMark/>
          </w:tcPr>
          <w:p w14:paraId="76CDDA6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260" w:type="dxa"/>
            <w:gridSpan w:val="2"/>
            <w:noWrap/>
            <w:hideMark/>
          </w:tcPr>
          <w:p w14:paraId="524086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0.11</w:t>
            </w:r>
          </w:p>
        </w:tc>
      </w:tr>
      <w:tr w:rsidR="00D6341A" w:rsidRPr="00D0785F" w14:paraId="201D8BC5"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2F7F92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Idaho Power Company</w:t>
            </w:r>
          </w:p>
        </w:tc>
        <w:tc>
          <w:tcPr>
            <w:tcW w:w="2345" w:type="dxa"/>
            <w:noWrap/>
            <w:hideMark/>
          </w:tcPr>
          <w:p w14:paraId="5E1E9C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0.39</w:t>
            </w:r>
          </w:p>
        </w:tc>
        <w:tc>
          <w:tcPr>
            <w:tcW w:w="1620" w:type="dxa"/>
            <w:gridSpan w:val="2"/>
            <w:noWrap/>
            <w:hideMark/>
          </w:tcPr>
          <w:p w14:paraId="575AFF22"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0.29</w:t>
            </w:r>
          </w:p>
        </w:tc>
        <w:tc>
          <w:tcPr>
            <w:tcW w:w="1260" w:type="dxa"/>
            <w:gridSpan w:val="2"/>
            <w:noWrap/>
            <w:hideMark/>
          </w:tcPr>
          <w:p w14:paraId="58FA9471" w14:textId="071C91F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52BC85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87BA7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Arizona Public Service Company</w:t>
            </w:r>
          </w:p>
        </w:tc>
        <w:tc>
          <w:tcPr>
            <w:tcW w:w="2345" w:type="dxa"/>
            <w:noWrap/>
            <w:hideMark/>
          </w:tcPr>
          <w:p w14:paraId="7A084B87"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620" w:type="dxa"/>
            <w:gridSpan w:val="2"/>
            <w:noWrap/>
            <w:hideMark/>
          </w:tcPr>
          <w:p w14:paraId="2B46690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47377261" w14:textId="7F94102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447DDD3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BB23215"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Nevada Power Company</w:t>
            </w:r>
          </w:p>
        </w:tc>
        <w:tc>
          <w:tcPr>
            <w:tcW w:w="2345" w:type="dxa"/>
            <w:noWrap/>
            <w:hideMark/>
          </w:tcPr>
          <w:p w14:paraId="2E38467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3FF4205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38A8786" w14:textId="6E3BCC61"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631F54">
              <w:rPr>
                <w:rFonts w:ascii="Aptos Narrow" w:eastAsia="Times New Roman" w:hAnsi="Aptos Narrow" w:cs="Times New Roman"/>
                <w:color w:val="000000"/>
              </w:rPr>
              <w:t>0</w:t>
            </w:r>
          </w:p>
        </w:tc>
      </w:tr>
      <w:tr w:rsidR="00D6341A" w:rsidRPr="00D0785F" w14:paraId="3FA0D68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B9BA5E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Tucson Electric Power</w:t>
            </w:r>
          </w:p>
        </w:tc>
        <w:tc>
          <w:tcPr>
            <w:tcW w:w="2345" w:type="dxa"/>
            <w:noWrap/>
            <w:hideMark/>
          </w:tcPr>
          <w:p w14:paraId="0D374CA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0.36</w:t>
            </w:r>
          </w:p>
        </w:tc>
        <w:tc>
          <w:tcPr>
            <w:tcW w:w="1620" w:type="dxa"/>
            <w:gridSpan w:val="2"/>
            <w:noWrap/>
            <w:hideMark/>
          </w:tcPr>
          <w:p w14:paraId="1D83968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5C3385CC"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D6341A" w:rsidRPr="00D0785F" w14:paraId="604E751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851BBD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Avista Corporation</w:t>
            </w:r>
          </w:p>
        </w:tc>
        <w:tc>
          <w:tcPr>
            <w:tcW w:w="2345" w:type="dxa"/>
            <w:noWrap/>
            <w:hideMark/>
          </w:tcPr>
          <w:p w14:paraId="12A05B6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0.45</w:t>
            </w:r>
          </w:p>
        </w:tc>
        <w:tc>
          <w:tcPr>
            <w:tcW w:w="1620" w:type="dxa"/>
            <w:gridSpan w:val="2"/>
            <w:noWrap/>
            <w:hideMark/>
          </w:tcPr>
          <w:p w14:paraId="2CDE997E"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0.37</w:t>
            </w:r>
          </w:p>
        </w:tc>
        <w:tc>
          <w:tcPr>
            <w:tcW w:w="1260" w:type="dxa"/>
            <w:gridSpan w:val="2"/>
            <w:noWrap/>
            <w:hideMark/>
          </w:tcPr>
          <w:p w14:paraId="72B336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2C39D9F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CEDE0B9"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New Mexico</w:t>
            </w:r>
          </w:p>
        </w:tc>
        <w:tc>
          <w:tcPr>
            <w:tcW w:w="2345" w:type="dxa"/>
            <w:noWrap/>
            <w:hideMark/>
          </w:tcPr>
          <w:p w14:paraId="0CD2E0F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110E243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668F8DA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7F7F69B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26BCF91"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Seattle City Light</w:t>
            </w:r>
          </w:p>
        </w:tc>
        <w:tc>
          <w:tcPr>
            <w:tcW w:w="2345" w:type="dxa"/>
            <w:noWrap/>
            <w:hideMark/>
          </w:tcPr>
          <w:p w14:paraId="3D06CAAA"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0.49</w:t>
            </w:r>
          </w:p>
        </w:tc>
        <w:tc>
          <w:tcPr>
            <w:tcW w:w="1620" w:type="dxa"/>
            <w:gridSpan w:val="2"/>
            <w:noWrap/>
            <w:hideMark/>
          </w:tcPr>
          <w:p w14:paraId="48999F3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260" w:type="dxa"/>
            <w:gridSpan w:val="2"/>
            <w:noWrap/>
            <w:hideMark/>
          </w:tcPr>
          <w:p w14:paraId="487D06E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r>
      <w:tr w:rsidR="00D6341A" w:rsidRPr="00D0785F" w14:paraId="6313A226"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606A2F6"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East</w:t>
            </w:r>
          </w:p>
        </w:tc>
        <w:tc>
          <w:tcPr>
            <w:tcW w:w="2345" w:type="dxa"/>
            <w:noWrap/>
            <w:hideMark/>
          </w:tcPr>
          <w:p w14:paraId="57A6945A"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0.08</w:t>
            </w:r>
          </w:p>
        </w:tc>
        <w:tc>
          <w:tcPr>
            <w:tcW w:w="1620" w:type="dxa"/>
            <w:gridSpan w:val="2"/>
            <w:noWrap/>
            <w:hideMark/>
          </w:tcPr>
          <w:p w14:paraId="2C962A7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17E90FE6"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016DFAA4"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34083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PacifiCorp East</w:t>
            </w:r>
          </w:p>
        </w:tc>
        <w:tc>
          <w:tcPr>
            <w:tcW w:w="2345" w:type="dxa"/>
            <w:noWrap/>
            <w:hideMark/>
          </w:tcPr>
          <w:p w14:paraId="5D004924"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c>
          <w:tcPr>
            <w:tcW w:w="1620" w:type="dxa"/>
            <w:gridSpan w:val="2"/>
            <w:noWrap/>
            <w:hideMark/>
          </w:tcPr>
          <w:p w14:paraId="6F02CCE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597BE7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3E63A2D5"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351BD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Tennessee Valley Authority</w:t>
            </w:r>
          </w:p>
        </w:tc>
        <w:tc>
          <w:tcPr>
            <w:tcW w:w="2345" w:type="dxa"/>
            <w:noWrap/>
            <w:hideMark/>
          </w:tcPr>
          <w:p w14:paraId="57795AF9"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65A3E86F"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5C18CC54"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D6341A" w:rsidRPr="00D0785F" w14:paraId="13482130"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F6AA9F0"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Service Company of Colorado</w:t>
            </w:r>
          </w:p>
        </w:tc>
        <w:tc>
          <w:tcPr>
            <w:tcW w:w="2345" w:type="dxa"/>
            <w:noWrap/>
            <w:hideMark/>
          </w:tcPr>
          <w:p w14:paraId="0A060687"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c>
          <w:tcPr>
            <w:tcW w:w="1620" w:type="dxa"/>
            <w:gridSpan w:val="2"/>
            <w:noWrap/>
            <w:hideMark/>
          </w:tcPr>
          <w:p w14:paraId="24350E36"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260" w:type="dxa"/>
            <w:gridSpan w:val="2"/>
            <w:noWrap/>
            <w:hideMark/>
          </w:tcPr>
          <w:p w14:paraId="226EE4B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D6341A" w:rsidRPr="00D0785F" w14:paraId="44E68B01"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12DDB7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Electric Reliability Council of Texas, Inc.</w:t>
            </w:r>
          </w:p>
        </w:tc>
        <w:tc>
          <w:tcPr>
            <w:tcW w:w="2345" w:type="dxa"/>
            <w:noWrap/>
            <w:hideMark/>
          </w:tcPr>
          <w:p w14:paraId="67496ACD"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06931D02" w14:textId="61F7141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54CC83BB"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425FE30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6F78AF"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Power &amp; Light Co.</w:t>
            </w:r>
          </w:p>
        </w:tc>
        <w:tc>
          <w:tcPr>
            <w:tcW w:w="2345" w:type="dxa"/>
            <w:noWrap/>
            <w:hideMark/>
          </w:tcPr>
          <w:p w14:paraId="5E75AAD0"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6326D436" w14:textId="7B4AD40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63A815F9"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62CA77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3962B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NorthWestern Corporation</w:t>
            </w:r>
          </w:p>
        </w:tc>
        <w:tc>
          <w:tcPr>
            <w:tcW w:w="2345" w:type="dxa"/>
            <w:noWrap/>
            <w:hideMark/>
          </w:tcPr>
          <w:p w14:paraId="630766E2"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2E02E48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0054B75"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DBB61CE"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A22340A"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El Paso Electric Company</w:t>
            </w:r>
          </w:p>
        </w:tc>
        <w:tc>
          <w:tcPr>
            <w:tcW w:w="2345" w:type="dxa"/>
            <w:noWrap/>
            <w:hideMark/>
          </w:tcPr>
          <w:p w14:paraId="2D331E01"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0.41</w:t>
            </w:r>
          </w:p>
        </w:tc>
        <w:tc>
          <w:tcPr>
            <w:tcW w:w="1620" w:type="dxa"/>
            <w:gridSpan w:val="2"/>
            <w:noWrap/>
            <w:hideMark/>
          </w:tcPr>
          <w:p w14:paraId="1D12D2F3"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w:t>
            </w:r>
          </w:p>
        </w:tc>
        <w:tc>
          <w:tcPr>
            <w:tcW w:w="1260" w:type="dxa"/>
            <w:gridSpan w:val="2"/>
            <w:noWrap/>
            <w:hideMark/>
          </w:tcPr>
          <w:p w14:paraId="76336BCC"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D6341A" w:rsidRPr="00D0785F" w14:paraId="24CA827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8A3D682"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Balancing Authority of Northern California</w:t>
            </w:r>
          </w:p>
        </w:tc>
        <w:tc>
          <w:tcPr>
            <w:tcW w:w="2345" w:type="dxa"/>
            <w:noWrap/>
            <w:hideMark/>
          </w:tcPr>
          <w:p w14:paraId="1068F553"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620" w:type="dxa"/>
            <w:gridSpan w:val="2"/>
            <w:noWrap/>
            <w:hideMark/>
          </w:tcPr>
          <w:p w14:paraId="2598183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0.25</w:t>
            </w:r>
          </w:p>
        </w:tc>
        <w:tc>
          <w:tcPr>
            <w:tcW w:w="1260" w:type="dxa"/>
            <w:gridSpan w:val="2"/>
            <w:noWrap/>
            <w:hideMark/>
          </w:tcPr>
          <w:p w14:paraId="56E4DBA1" w14:textId="28AB28C1"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500EBC61"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7FAB917"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Bonneville Power Administration</w:t>
            </w:r>
          </w:p>
        </w:tc>
        <w:tc>
          <w:tcPr>
            <w:tcW w:w="2345" w:type="dxa"/>
            <w:noWrap/>
            <w:hideMark/>
          </w:tcPr>
          <w:p w14:paraId="389B55E3" w14:textId="5CB2902B"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3A3AB796" w14:textId="39D96ABF"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260" w:type="dxa"/>
            <w:gridSpan w:val="2"/>
            <w:noWrap/>
            <w:hideMark/>
          </w:tcPr>
          <w:p w14:paraId="79A1D253" w14:textId="74D33F1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40BE238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05DA363"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Carolinas</w:t>
            </w:r>
          </w:p>
        </w:tc>
        <w:tc>
          <w:tcPr>
            <w:tcW w:w="2345" w:type="dxa"/>
            <w:noWrap/>
            <w:hideMark/>
          </w:tcPr>
          <w:p w14:paraId="0351F81E"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AA840A1" w14:textId="77777777"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23C4675D" w14:textId="23671C4E"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65C49676"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664D48"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Midcontinent Independent System Operator, Inc.</w:t>
            </w:r>
          </w:p>
        </w:tc>
        <w:tc>
          <w:tcPr>
            <w:tcW w:w="2345" w:type="dxa"/>
            <w:noWrap/>
            <w:hideMark/>
          </w:tcPr>
          <w:p w14:paraId="44AFAF6D"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22E9D47F" w14:textId="77777777"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7F89D530" w14:textId="3EEAB0FC" w:rsidR="00D0785F" w:rsidRPr="00D0785F" w:rsidRDefault="00D0785F" w:rsidP="00D0785F">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r>
      <w:tr w:rsidR="00D6341A" w:rsidRPr="00D0785F" w14:paraId="392409BF"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CD08CE" w14:textId="77777777" w:rsidR="00D0785F" w:rsidRPr="00B90C63" w:rsidRDefault="00D0785F" w:rsidP="00D0785F">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PJM Interconnection, LLC</w:t>
            </w:r>
          </w:p>
        </w:tc>
        <w:tc>
          <w:tcPr>
            <w:tcW w:w="2345" w:type="dxa"/>
            <w:noWrap/>
            <w:hideMark/>
          </w:tcPr>
          <w:p w14:paraId="71D79BCD" w14:textId="1946787F" w:rsidR="00D0785F" w:rsidRPr="00D0785F" w:rsidRDefault="00D0785F"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884B55">
              <w:rPr>
                <w:rFonts w:ascii="Aptos Narrow" w:eastAsia="Times New Roman" w:hAnsi="Aptos Narrow" w:cs="Times New Roman"/>
                <w:color w:val="000000"/>
              </w:rPr>
              <w:t>.00</w:t>
            </w:r>
          </w:p>
        </w:tc>
        <w:tc>
          <w:tcPr>
            <w:tcW w:w="1620" w:type="dxa"/>
            <w:gridSpan w:val="2"/>
            <w:noWrap/>
            <w:hideMark/>
          </w:tcPr>
          <w:p w14:paraId="778106EC" w14:textId="57ED8AAC"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c>
          <w:tcPr>
            <w:tcW w:w="1260" w:type="dxa"/>
            <w:gridSpan w:val="2"/>
            <w:noWrap/>
            <w:hideMark/>
          </w:tcPr>
          <w:p w14:paraId="2BF38AE4" w14:textId="759FBA73" w:rsidR="00D0785F" w:rsidRPr="00D0785F" w:rsidRDefault="00884B55" w:rsidP="00D0785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00D0785F" w:rsidRPr="00D0785F">
              <w:rPr>
                <w:rFonts w:ascii="Aptos Narrow" w:eastAsia="Times New Roman" w:hAnsi="Aptos Narrow" w:cs="Times New Roman"/>
                <w:color w:val="000000"/>
              </w:rPr>
              <w:t>0</w:t>
            </w:r>
          </w:p>
        </w:tc>
      </w:tr>
      <w:tr w:rsidR="00884B55" w:rsidRPr="00D0785F" w14:paraId="5942736D"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696B1B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Southern Company Services, Inc. - Trans</w:t>
            </w:r>
          </w:p>
        </w:tc>
        <w:tc>
          <w:tcPr>
            <w:tcW w:w="2345" w:type="dxa"/>
            <w:noWrap/>
            <w:hideMark/>
          </w:tcPr>
          <w:p w14:paraId="4E2C7E5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1BF7A6A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6C1F0E0" w14:textId="73DFDF86"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3447439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553035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Salt River Project Agricultural Improvement and Power District</w:t>
            </w:r>
          </w:p>
        </w:tc>
        <w:tc>
          <w:tcPr>
            <w:tcW w:w="2345" w:type="dxa"/>
            <w:noWrap/>
            <w:hideMark/>
          </w:tcPr>
          <w:p w14:paraId="3CB3621E" w14:textId="7688550A"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48C7E001" w14:textId="39618021"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6E96EAA" w14:textId="1A3DDEF2"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C708B22"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CF94E9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Southwest Power Pool</w:t>
            </w:r>
          </w:p>
        </w:tc>
        <w:tc>
          <w:tcPr>
            <w:tcW w:w="2345" w:type="dxa"/>
            <w:noWrap/>
            <w:hideMark/>
          </w:tcPr>
          <w:p w14:paraId="734933B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A53235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4280A617" w14:textId="5BE42E93"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4A8BC50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4967BD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Tampa Electric Company</w:t>
            </w:r>
          </w:p>
        </w:tc>
        <w:tc>
          <w:tcPr>
            <w:tcW w:w="2345" w:type="dxa"/>
            <w:noWrap/>
            <w:hideMark/>
          </w:tcPr>
          <w:p w14:paraId="7C19641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620" w:type="dxa"/>
            <w:gridSpan w:val="2"/>
            <w:noWrap/>
            <w:hideMark/>
          </w:tcPr>
          <w:p w14:paraId="752255D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c>
          <w:tcPr>
            <w:tcW w:w="1260" w:type="dxa"/>
            <w:gridSpan w:val="2"/>
            <w:noWrap/>
            <w:hideMark/>
          </w:tcPr>
          <w:p w14:paraId="4143366D" w14:textId="13290CFB"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r>
      <w:tr w:rsidR="00884B55" w:rsidRPr="00D0785F" w14:paraId="5F508A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F1321D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Rocky Mountain Region</w:t>
            </w:r>
          </w:p>
        </w:tc>
        <w:tc>
          <w:tcPr>
            <w:tcW w:w="2345" w:type="dxa"/>
            <w:noWrap/>
            <w:hideMark/>
          </w:tcPr>
          <w:p w14:paraId="4C06360F" w14:textId="12DED918"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Pr>
                <w:rFonts w:ascii="Aptos Narrow" w:eastAsia="Times New Roman" w:hAnsi="Aptos Narrow" w:cs="Times New Roman"/>
                <w:color w:val="000000"/>
              </w:rPr>
              <w:t>.00</w:t>
            </w:r>
          </w:p>
        </w:tc>
        <w:tc>
          <w:tcPr>
            <w:tcW w:w="1620" w:type="dxa"/>
            <w:gridSpan w:val="2"/>
            <w:noWrap/>
            <w:hideMark/>
          </w:tcPr>
          <w:p w14:paraId="2554A828" w14:textId="1A91E009"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c>
          <w:tcPr>
            <w:tcW w:w="1260" w:type="dxa"/>
            <w:gridSpan w:val="2"/>
            <w:noWrap/>
            <w:hideMark/>
          </w:tcPr>
          <w:p w14:paraId="3BC3BDAE" w14:textId="35FCF5A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Pr>
                <w:rFonts w:ascii="Aptos Narrow" w:eastAsia="Times New Roman" w:hAnsi="Aptos Narrow" w:cs="Times New Roman"/>
                <w:color w:val="000000"/>
              </w:rPr>
              <w:t>0.0</w:t>
            </w:r>
            <w:r w:rsidRPr="00D0785F">
              <w:rPr>
                <w:rFonts w:ascii="Aptos Narrow" w:eastAsia="Times New Roman" w:hAnsi="Aptos Narrow" w:cs="Times New Roman"/>
                <w:color w:val="000000"/>
              </w:rPr>
              <w:t>0</w:t>
            </w:r>
          </w:p>
        </w:tc>
      </w:tr>
      <w:tr w:rsidR="00884B55" w:rsidRPr="00D0785F" w14:paraId="53149A02"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FCD5717"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Louisville Gas and Electric Company and Kentucky Utilities Company</w:t>
            </w:r>
          </w:p>
        </w:tc>
        <w:tc>
          <w:tcPr>
            <w:tcW w:w="2345" w:type="dxa"/>
            <w:noWrap/>
            <w:hideMark/>
          </w:tcPr>
          <w:p w14:paraId="7392C79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c>
          <w:tcPr>
            <w:tcW w:w="1620" w:type="dxa"/>
            <w:gridSpan w:val="2"/>
            <w:noWrap/>
            <w:hideMark/>
          </w:tcPr>
          <w:p w14:paraId="60FF3169"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39176F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55BF8C2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86526CD"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lastRenderedPageBreak/>
              <w:t>Dominion Energy South Carolina, Inc.</w:t>
            </w:r>
          </w:p>
        </w:tc>
        <w:tc>
          <w:tcPr>
            <w:tcW w:w="2345" w:type="dxa"/>
            <w:noWrap/>
            <w:hideMark/>
          </w:tcPr>
          <w:p w14:paraId="3B8E6BC7" w14:textId="7058DA0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w:t>
            </w:r>
            <w:r w:rsidR="00C231D6">
              <w:rPr>
                <w:rFonts w:ascii="Aptos Narrow" w:eastAsia="Times New Roman" w:hAnsi="Aptos Narrow" w:cs="Times New Roman"/>
                <w:color w:val="000000"/>
              </w:rPr>
              <w:t>.00</w:t>
            </w:r>
          </w:p>
        </w:tc>
        <w:tc>
          <w:tcPr>
            <w:tcW w:w="1620" w:type="dxa"/>
            <w:gridSpan w:val="2"/>
            <w:noWrap/>
            <w:hideMark/>
          </w:tcPr>
          <w:p w14:paraId="61C97AF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260" w:type="dxa"/>
            <w:gridSpan w:val="2"/>
            <w:noWrap/>
            <w:hideMark/>
          </w:tcPr>
          <w:p w14:paraId="097E84F6"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3F2E2DCE"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3071D77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Florida Municipal Power Pool</w:t>
            </w:r>
          </w:p>
        </w:tc>
        <w:tc>
          <w:tcPr>
            <w:tcW w:w="2345" w:type="dxa"/>
            <w:noWrap/>
            <w:hideMark/>
          </w:tcPr>
          <w:p w14:paraId="1A63D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620" w:type="dxa"/>
            <w:gridSpan w:val="2"/>
            <w:noWrap/>
            <w:hideMark/>
          </w:tcPr>
          <w:p w14:paraId="03F247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c>
          <w:tcPr>
            <w:tcW w:w="1260" w:type="dxa"/>
            <w:gridSpan w:val="2"/>
            <w:noWrap/>
            <w:hideMark/>
          </w:tcPr>
          <w:p w14:paraId="00B51D3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r>
      <w:tr w:rsidR="00884B55" w:rsidRPr="00D0785F" w14:paraId="15CDD10F"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9A0107A"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Florida, Inc.</w:t>
            </w:r>
          </w:p>
        </w:tc>
        <w:tc>
          <w:tcPr>
            <w:tcW w:w="2345" w:type="dxa"/>
            <w:noWrap/>
            <w:hideMark/>
          </w:tcPr>
          <w:p w14:paraId="3CA4F90E"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0.22</w:t>
            </w:r>
          </w:p>
        </w:tc>
        <w:tc>
          <w:tcPr>
            <w:tcW w:w="1620" w:type="dxa"/>
            <w:gridSpan w:val="2"/>
            <w:noWrap/>
            <w:hideMark/>
          </w:tcPr>
          <w:p w14:paraId="1FF354AC"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260" w:type="dxa"/>
            <w:gridSpan w:val="2"/>
            <w:noWrap/>
            <w:hideMark/>
          </w:tcPr>
          <w:p w14:paraId="55040201"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26BD3D9D"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13D9E71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Public Utility District No. 2 of Grant County, Washington</w:t>
            </w:r>
          </w:p>
        </w:tc>
        <w:tc>
          <w:tcPr>
            <w:tcW w:w="2345" w:type="dxa"/>
            <w:noWrap/>
            <w:hideMark/>
          </w:tcPr>
          <w:p w14:paraId="29844C5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53720C7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c>
          <w:tcPr>
            <w:tcW w:w="1260" w:type="dxa"/>
            <w:gridSpan w:val="2"/>
            <w:noWrap/>
            <w:hideMark/>
          </w:tcPr>
          <w:p w14:paraId="5954D6B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04D1110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4F1666F"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Duke Energy Progress West</w:t>
            </w:r>
          </w:p>
        </w:tc>
        <w:tc>
          <w:tcPr>
            <w:tcW w:w="2345" w:type="dxa"/>
            <w:noWrap/>
            <w:hideMark/>
          </w:tcPr>
          <w:p w14:paraId="7BF3853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0.31</w:t>
            </w:r>
          </w:p>
        </w:tc>
        <w:tc>
          <w:tcPr>
            <w:tcW w:w="1620" w:type="dxa"/>
            <w:gridSpan w:val="2"/>
            <w:noWrap/>
            <w:hideMark/>
          </w:tcPr>
          <w:p w14:paraId="484A877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0.33</w:t>
            </w:r>
          </w:p>
        </w:tc>
        <w:tc>
          <w:tcPr>
            <w:tcW w:w="1260" w:type="dxa"/>
            <w:gridSpan w:val="2"/>
            <w:noWrap/>
            <w:hideMark/>
          </w:tcPr>
          <w:p w14:paraId="6E3BBD10"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42B088E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63877AC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Portland General Electric Company</w:t>
            </w:r>
          </w:p>
        </w:tc>
        <w:tc>
          <w:tcPr>
            <w:tcW w:w="2345" w:type="dxa"/>
            <w:noWrap/>
            <w:hideMark/>
          </w:tcPr>
          <w:p w14:paraId="5F7E35CD"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0.69</w:t>
            </w:r>
          </w:p>
        </w:tc>
        <w:tc>
          <w:tcPr>
            <w:tcW w:w="1620" w:type="dxa"/>
            <w:gridSpan w:val="2"/>
            <w:noWrap/>
            <w:hideMark/>
          </w:tcPr>
          <w:p w14:paraId="07E2EFF0"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0.71</w:t>
            </w:r>
          </w:p>
        </w:tc>
        <w:tc>
          <w:tcPr>
            <w:tcW w:w="1260" w:type="dxa"/>
            <w:gridSpan w:val="2"/>
            <w:noWrap/>
            <w:hideMark/>
          </w:tcPr>
          <w:p w14:paraId="281B845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-0.02</w:t>
            </w:r>
          </w:p>
        </w:tc>
      </w:tr>
      <w:tr w:rsidR="00884B55" w:rsidRPr="00D0785F" w14:paraId="78253B97"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098189A0"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New York Independent System Operator</w:t>
            </w:r>
          </w:p>
        </w:tc>
        <w:tc>
          <w:tcPr>
            <w:tcW w:w="2345" w:type="dxa"/>
            <w:noWrap/>
            <w:hideMark/>
          </w:tcPr>
          <w:p w14:paraId="498961F7"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0.14</w:t>
            </w:r>
          </w:p>
        </w:tc>
        <w:tc>
          <w:tcPr>
            <w:tcW w:w="1620" w:type="dxa"/>
            <w:gridSpan w:val="2"/>
            <w:noWrap/>
            <w:hideMark/>
          </w:tcPr>
          <w:p w14:paraId="36802C54"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6E31660F"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13B67F1A"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76C10A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JEA</w:t>
            </w:r>
          </w:p>
        </w:tc>
        <w:tc>
          <w:tcPr>
            <w:tcW w:w="2345" w:type="dxa"/>
            <w:noWrap/>
            <w:hideMark/>
          </w:tcPr>
          <w:p w14:paraId="17C7E02A"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0.24</w:t>
            </w:r>
          </w:p>
        </w:tc>
        <w:tc>
          <w:tcPr>
            <w:tcW w:w="1620" w:type="dxa"/>
            <w:gridSpan w:val="2"/>
            <w:noWrap/>
            <w:hideMark/>
          </w:tcPr>
          <w:p w14:paraId="69EF6AA5"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260" w:type="dxa"/>
            <w:gridSpan w:val="2"/>
            <w:noWrap/>
            <w:hideMark/>
          </w:tcPr>
          <w:p w14:paraId="20DB2F6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-0.03</w:t>
            </w:r>
          </w:p>
        </w:tc>
      </w:tr>
      <w:tr w:rsidR="00884B55" w:rsidRPr="00D0785F" w14:paraId="018B5D9B"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B36C583"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California Independent System Operator</w:t>
            </w:r>
          </w:p>
        </w:tc>
        <w:tc>
          <w:tcPr>
            <w:tcW w:w="2345" w:type="dxa"/>
            <w:noWrap/>
            <w:hideMark/>
          </w:tcPr>
          <w:p w14:paraId="5F440DD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620" w:type="dxa"/>
            <w:gridSpan w:val="2"/>
            <w:noWrap/>
            <w:hideMark/>
          </w:tcPr>
          <w:p w14:paraId="50D4472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0.23</w:t>
            </w:r>
          </w:p>
        </w:tc>
        <w:tc>
          <w:tcPr>
            <w:tcW w:w="1260" w:type="dxa"/>
            <w:gridSpan w:val="2"/>
            <w:noWrap/>
            <w:hideMark/>
          </w:tcPr>
          <w:p w14:paraId="7ABB6129"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242C947B"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A92B296"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ISO New England</w:t>
            </w:r>
          </w:p>
        </w:tc>
        <w:tc>
          <w:tcPr>
            <w:tcW w:w="2345" w:type="dxa"/>
            <w:noWrap/>
            <w:hideMark/>
          </w:tcPr>
          <w:p w14:paraId="48DA15EF"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0.13</w:t>
            </w:r>
          </w:p>
        </w:tc>
        <w:tc>
          <w:tcPr>
            <w:tcW w:w="1620" w:type="dxa"/>
            <w:gridSpan w:val="2"/>
            <w:noWrap/>
            <w:hideMark/>
          </w:tcPr>
          <w:p w14:paraId="7188574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0.17</w:t>
            </w:r>
          </w:p>
        </w:tc>
        <w:tc>
          <w:tcPr>
            <w:tcW w:w="1260" w:type="dxa"/>
            <w:gridSpan w:val="2"/>
            <w:noWrap/>
            <w:hideMark/>
          </w:tcPr>
          <w:p w14:paraId="1689166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035BCE58"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D48F53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Puget Sound Energy, Inc.</w:t>
            </w:r>
          </w:p>
        </w:tc>
        <w:tc>
          <w:tcPr>
            <w:tcW w:w="2345" w:type="dxa"/>
            <w:noWrap/>
            <w:hideMark/>
          </w:tcPr>
          <w:p w14:paraId="52F44A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0.59</w:t>
            </w:r>
          </w:p>
        </w:tc>
        <w:tc>
          <w:tcPr>
            <w:tcW w:w="1620" w:type="dxa"/>
            <w:gridSpan w:val="2"/>
            <w:noWrap/>
            <w:hideMark/>
          </w:tcPr>
          <w:p w14:paraId="00DDAC1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0.63</w:t>
            </w:r>
          </w:p>
        </w:tc>
        <w:tc>
          <w:tcPr>
            <w:tcW w:w="1260" w:type="dxa"/>
            <w:gridSpan w:val="2"/>
            <w:noWrap/>
            <w:hideMark/>
          </w:tcPr>
          <w:p w14:paraId="531FBB28"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-0.04</w:t>
            </w:r>
          </w:p>
        </w:tc>
      </w:tr>
      <w:tr w:rsidR="00884B55" w:rsidRPr="00D0785F" w14:paraId="32DCBBC0"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7407B89E"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PowerSouth Energy Cooperative</w:t>
            </w:r>
          </w:p>
        </w:tc>
        <w:tc>
          <w:tcPr>
            <w:tcW w:w="2345" w:type="dxa"/>
            <w:noWrap/>
            <w:hideMark/>
          </w:tcPr>
          <w:p w14:paraId="67427D82"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0.01</w:t>
            </w:r>
          </w:p>
        </w:tc>
        <w:tc>
          <w:tcPr>
            <w:tcW w:w="1620" w:type="dxa"/>
            <w:gridSpan w:val="2"/>
            <w:noWrap/>
            <w:hideMark/>
          </w:tcPr>
          <w:p w14:paraId="7CD5C4A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260" w:type="dxa"/>
            <w:gridSpan w:val="2"/>
            <w:noWrap/>
            <w:hideMark/>
          </w:tcPr>
          <w:p w14:paraId="2FE65878"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-0.05</w:t>
            </w:r>
          </w:p>
        </w:tc>
      </w:tr>
      <w:tr w:rsidR="00884B55" w:rsidRPr="00D0785F" w14:paraId="2CCFFAD9"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91B8B84"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South Carolina Public Service Authority</w:t>
            </w:r>
          </w:p>
        </w:tc>
        <w:tc>
          <w:tcPr>
            <w:tcW w:w="2345" w:type="dxa"/>
            <w:noWrap/>
            <w:hideMark/>
          </w:tcPr>
          <w:p w14:paraId="10C42DD5"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0.27</w:t>
            </w:r>
          </w:p>
        </w:tc>
        <w:tc>
          <w:tcPr>
            <w:tcW w:w="1620" w:type="dxa"/>
            <w:gridSpan w:val="2"/>
            <w:noWrap/>
            <w:hideMark/>
          </w:tcPr>
          <w:p w14:paraId="511F06EA"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0.34</w:t>
            </w:r>
          </w:p>
        </w:tc>
        <w:tc>
          <w:tcPr>
            <w:tcW w:w="1260" w:type="dxa"/>
            <w:gridSpan w:val="2"/>
            <w:noWrap/>
            <w:hideMark/>
          </w:tcPr>
          <w:p w14:paraId="2E59243D"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-0.07</w:t>
            </w:r>
          </w:p>
        </w:tc>
      </w:tr>
      <w:tr w:rsidR="00884B55" w:rsidRPr="00D0785F" w14:paraId="7FC8BCC8"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41D723A2"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Los Angeles Department of Water and Power</w:t>
            </w:r>
          </w:p>
        </w:tc>
        <w:tc>
          <w:tcPr>
            <w:tcW w:w="2345" w:type="dxa"/>
            <w:noWrap/>
            <w:hideMark/>
          </w:tcPr>
          <w:p w14:paraId="757EDEA8" w14:textId="19229EE9"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w:t>
            </w:r>
            <w:r w:rsidR="00E33DB5">
              <w:rPr>
                <w:rFonts w:ascii="Aptos Narrow" w:eastAsia="Times New Roman" w:hAnsi="Aptos Narrow" w:cs="Times New Roman"/>
                <w:color w:val="000000"/>
              </w:rPr>
              <w:t>0</w:t>
            </w:r>
          </w:p>
        </w:tc>
        <w:tc>
          <w:tcPr>
            <w:tcW w:w="1620" w:type="dxa"/>
            <w:gridSpan w:val="2"/>
            <w:noWrap/>
            <w:hideMark/>
          </w:tcPr>
          <w:p w14:paraId="1F30C6F3"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0.19</w:t>
            </w:r>
          </w:p>
        </w:tc>
        <w:tc>
          <w:tcPr>
            <w:tcW w:w="1260" w:type="dxa"/>
            <w:gridSpan w:val="2"/>
            <w:noWrap/>
            <w:hideMark/>
          </w:tcPr>
          <w:p w14:paraId="2D4D0BC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C774E4C" w14:textId="77777777" w:rsidTr="001A669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52FF4468"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Western Area Power Administration - Desert Southwest Region</w:t>
            </w:r>
          </w:p>
        </w:tc>
        <w:tc>
          <w:tcPr>
            <w:tcW w:w="2345" w:type="dxa"/>
            <w:noWrap/>
            <w:hideMark/>
          </w:tcPr>
          <w:p w14:paraId="25F03E7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0.06</w:t>
            </w:r>
          </w:p>
        </w:tc>
        <w:tc>
          <w:tcPr>
            <w:tcW w:w="1620" w:type="dxa"/>
            <w:gridSpan w:val="2"/>
            <w:noWrap/>
            <w:hideMark/>
          </w:tcPr>
          <w:p w14:paraId="0C986E23"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0.15</w:t>
            </w:r>
          </w:p>
        </w:tc>
        <w:tc>
          <w:tcPr>
            <w:tcW w:w="1260" w:type="dxa"/>
            <w:gridSpan w:val="2"/>
            <w:noWrap/>
            <w:hideMark/>
          </w:tcPr>
          <w:p w14:paraId="4EC5FC92" w14:textId="77777777" w:rsidR="00884B55" w:rsidRPr="00D0785F" w:rsidRDefault="00884B55" w:rsidP="00884B55">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r w:rsidR="00884B55" w:rsidRPr="00D0785F" w14:paraId="1D4FAF0C" w14:textId="77777777" w:rsidTr="001A669F">
        <w:trPr>
          <w:trHeight w:val="285"/>
        </w:trPr>
        <w:tc>
          <w:tcPr>
            <w:cnfStyle w:val="001000000000" w:firstRow="0" w:lastRow="0" w:firstColumn="1" w:lastColumn="0" w:oddVBand="0" w:evenVBand="0" w:oddHBand="0" w:evenHBand="0" w:firstRowFirstColumn="0" w:firstRowLastColumn="0" w:lastRowFirstColumn="0" w:lastRowLastColumn="0"/>
            <w:tcW w:w="6336" w:type="dxa"/>
            <w:noWrap/>
            <w:hideMark/>
          </w:tcPr>
          <w:p w14:paraId="28038A9C" w14:textId="77777777" w:rsidR="00884B55" w:rsidRPr="00B90C63" w:rsidRDefault="00884B55" w:rsidP="00884B55">
            <w:pPr>
              <w:rPr>
                <w:rFonts w:ascii="Aptos Narrow" w:eastAsia="Times New Roman" w:hAnsi="Aptos Narrow" w:cs="Times New Roman"/>
                <w:b w:val="0"/>
                <w:bCs w:val="0"/>
                <w:color w:val="000000"/>
              </w:rPr>
            </w:pPr>
            <w:r w:rsidRPr="00B90C63">
              <w:rPr>
                <w:rFonts w:ascii="Aptos Narrow" w:eastAsia="Times New Roman" w:hAnsi="Aptos Narrow" w:cs="Times New Roman"/>
                <w:b w:val="0"/>
                <w:bCs w:val="0"/>
                <w:color w:val="000000"/>
              </w:rPr>
              <w:t>City of Tacoma, Department of Public Utilities, Light Division</w:t>
            </w:r>
          </w:p>
        </w:tc>
        <w:tc>
          <w:tcPr>
            <w:tcW w:w="2345" w:type="dxa"/>
            <w:noWrap/>
            <w:hideMark/>
          </w:tcPr>
          <w:p w14:paraId="2AE943B6"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0.43</w:t>
            </w:r>
          </w:p>
        </w:tc>
        <w:tc>
          <w:tcPr>
            <w:tcW w:w="1620" w:type="dxa"/>
            <w:gridSpan w:val="2"/>
            <w:noWrap/>
            <w:hideMark/>
          </w:tcPr>
          <w:p w14:paraId="51D76A11"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0.52</w:t>
            </w:r>
          </w:p>
        </w:tc>
        <w:tc>
          <w:tcPr>
            <w:tcW w:w="1260" w:type="dxa"/>
            <w:gridSpan w:val="2"/>
            <w:noWrap/>
            <w:hideMark/>
          </w:tcPr>
          <w:p w14:paraId="500CFCEB" w14:textId="77777777" w:rsidR="00884B55" w:rsidRPr="00D0785F" w:rsidRDefault="00884B55" w:rsidP="00884B55">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rPr>
            </w:pPr>
            <w:r w:rsidRPr="00D0785F">
              <w:rPr>
                <w:rFonts w:ascii="Aptos Narrow" w:eastAsia="Times New Roman" w:hAnsi="Aptos Narrow" w:cs="Times New Roman"/>
                <w:color w:val="000000"/>
              </w:rPr>
              <w:t>-0.09</w:t>
            </w:r>
          </w:p>
        </w:tc>
      </w:tr>
    </w:tbl>
    <w:p w14:paraId="0FDC5DEE" w14:textId="77777777" w:rsidR="005C6530" w:rsidRDefault="005C6530" w:rsidP="00F9434B"/>
    <w:p w14:paraId="7480AF5A" w14:textId="77777777" w:rsidR="003153DB" w:rsidRDefault="003153DB" w:rsidP="00F9434B"/>
    <w:p w14:paraId="3F6A8712" w14:textId="3EDD2BC4" w:rsidR="003153DB" w:rsidRPr="00F9434B" w:rsidRDefault="003153DB" w:rsidP="00F9434B">
      <w:pPr>
        <w:sectPr w:rsidR="003153DB" w:rsidRPr="00F9434B" w:rsidSect="00CD404A">
          <w:pgSz w:w="15840" w:h="12240" w:orient="landscape"/>
          <w:pgMar w:top="1440" w:right="1440" w:bottom="1440" w:left="1440" w:header="720" w:footer="720" w:gutter="0"/>
          <w:pgNumType w:start="1"/>
          <w:cols w:space="720"/>
          <w:docGrid w:linePitch="299"/>
        </w:sectPr>
      </w:pPr>
    </w:p>
    <w:p w14:paraId="55052817" w14:textId="77777777" w:rsidR="00611F5E" w:rsidRDefault="00164B3C">
      <w:pPr>
        <w:pStyle w:val="Heading1"/>
      </w:pPr>
      <w:r>
        <w:lastRenderedPageBreak/>
        <w:t>Bibliography</w:t>
      </w:r>
    </w:p>
    <w:p w14:paraId="6D6DFDB0" w14:textId="77777777" w:rsidR="008F61FA" w:rsidRDefault="00100C02" w:rsidP="008F61FA">
      <w:pPr>
        <w:pStyle w:val="Bibliography"/>
      </w:pPr>
      <w:r>
        <w:fldChar w:fldCharType="begin"/>
      </w:r>
      <w:r>
        <w:instrText xml:space="preserve"> ADDIN ZOTERO_BIBL {"uncited":[],"omitted":[],"custom":[]} CSL_BIBLIOGRAPHY </w:instrText>
      </w:r>
      <w:r>
        <w:fldChar w:fldCharType="separate"/>
      </w:r>
      <w:r w:rsidR="008F61FA">
        <w:t>[1]</w:t>
      </w:r>
      <w:r w:rsidR="008F61FA">
        <w:tab/>
        <w:t>Osorio S, van Ackere A, Larsen ER. Interdependencies in security of electricity supply. Energy 2017;135:598–609. https://doi.org/10.1016/j.energy.2017.06.095.</w:t>
      </w:r>
    </w:p>
    <w:p w14:paraId="2FAA2A45" w14:textId="77777777" w:rsidR="008F61FA" w:rsidRDefault="008F61FA" w:rsidP="008F61FA">
      <w:pPr>
        <w:pStyle w:val="Bibliography"/>
      </w:pPr>
      <w:r>
        <w:t>[2]</w:t>
      </w:r>
      <w:r>
        <w:tab/>
        <w:t>Sovacool BK, Mukherjee I. Conceptualizing and measuring energy security: A synthesized approach. Energy 2011;36:5343–55. https://doi.org/10.1016/j.energy.2011.06.043.</w:t>
      </w:r>
    </w:p>
    <w:p w14:paraId="2E24711C" w14:textId="77777777" w:rsidR="008F61FA" w:rsidRDefault="008F61FA" w:rsidP="008F61FA">
      <w:pPr>
        <w:pStyle w:val="Bibliography"/>
      </w:pPr>
      <w:r>
        <w:t>[3]</w:t>
      </w:r>
      <w:r>
        <w:tab/>
        <w:t>Lilliestam J, Ellenbeck S. Energy security and renewable electricity trade—Will Desertec make Europe vulnerable to the “energy weapon”? Energy Policy 2011;39:3380–91. https://doi.org/10.1016/J.ENPOL.2011.03.035.</w:t>
      </w:r>
    </w:p>
    <w:p w14:paraId="4714030F" w14:textId="77777777" w:rsidR="008F61FA" w:rsidRDefault="008F61FA" w:rsidP="008F61FA">
      <w:pPr>
        <w:pStyle w:val="Bibliography"/>
      </w:pPr>
      <w:r>
        <w:t>[4]</w:t>
      </w:r>
      <w:r>
        <w:tab/>
        <w:t>Ren J, Dong L. Evaluation of electricity supply sustainability and security: Multi-criteria decision analysis approach. Journal of Cleaner Production 2018;172:438–53. https://doi.org/10.1016/J.JCLEPRO.2017.10.167.</w:t>
      </w:r>
    </w:p>
    <w:p w14:paraId="65C61FA7" w14:textId="77777777" w:rsidR="008F61FA" w:rsidRDefault="008F61FA" w:rsidP="008F61FA">
      <w:pPr>
        <w:pStyle w:val="Bibliography"/>
      </w:pPr>
      <w:r>
        <w:t>[5]</w:t>
      </w:r>
      <w:r>
        <w:tab/>
        <w:t>Das A, Halder A, Mazumder R, Saini VK, Parikh J, Parikh KS. Bangladesh power supply scenarios on renewables and electricity import. Energy 2018;155. https://doi.org/10.1016/j.energy.2018.04.169.</w:t>
      </w:r>
    </w:p>
    <w:p w14:paraId="7CB93543" w14:textId="77777777" w:rsidR="008F61FA" w:rsidRDefault="008F61FA" w:rsidP="008F61FA">
      <w:pPr>
        <w:pStyle w:val="Bibliography"/>
      </w:pPr>
      <w:r>
        <w:t>[6]</w:t>
      </w:r>
      <w:r>
        <w:tab/>
        <w:t>Yuan M, Tapia-Ahumada K, Reilly J. The role of cross-border electricity trade in transition to a low-carbon economy in the Northeastern U.S. Energy Policy 2021;154:112261. https://doi.org/10.1016/j.enpol.2021.112261.</w:t>
      </w:r>
    </w:p>
    <w:p w14:paraId="683D453F" w14:textId="77777777" w:rsidR="008F61FA" w:rsidRDefault="008F61FA" w:rsidP="008F61FA">
      <w:pPr>
        <w:pStyle w:val="Bibliography"/>
      </w:pPr>
      <w:r>
        <w:t>[7]</w:t>
      </w:r>
      <w:r>
        <w:tab/>
        <w:t>Bahar H, Sauvage J. Cross-Border Trade in Electricity and the Development of Renewables-Based Electric Power: Lessons from Europe. Paris: OECD; 2013. https://doi.org/10.1787/5k4869cdwnzr-en.</w:t>
      </w:r>
    </w:p>
    <w:p w14:paraId="1196701C" w14:textId="77777777" w:rsidR="008F61FA" w:rsidRDefault="008F61FA" w:rsidP="008F61FA">
      <w:pPr>
        <w:pStyle w:val="Bibliography"/>
      </w:pPr>
      <w:r>
        <w:t>[8]</w:t>
      </w:r>
      <w:r>
        <w:tab/>
        <w:t>Crozier C, Baker K. The effect of renewable electricity generation on the value of cross-border interconnection. Applied Energy 2022;324:119717. https://doi.org/10.1016/j.apenergy.2022.119717.</w:t>
      </w:r>
    </w:p>
    <w:p w14:paraId="53579D11" w14:textId="77777777" w:rsidR="008F61FA" w:rsidRDefault="008F61FA" w:rsidP="008F61FA">
      <w:pPr>
        <w:pStyle w:val="Bibliography"/>
      </w:pPr>
      <w:r>
        <w:t>[9]</w:t>
      </w:r>
      <w:r>
        <w:tab/>
        <w:t>Joskow PL. Lessons Learned From Electricity Market Liberalization. The Energy Journal 2008;29:9–42. https://doi.org/10.5547/ISSN0195-6574-EJ-Vol29-NoSI2-3.</w:t>
      </w:r>
    </w:p>
    <w:p w14:paraId="6331662C" w14:textId="77777777" w:rsidR="008F61FA" w:rsidRDefault="008F61FA" w:rsidP="008F61FA">
      <w:pPr>
        <w:pStyle w:val="Bibliography"/>
      </w:pPr>
      <w:r>
        <w:t>[10]</w:t>
      </w:r>
      <w:r>
        <w:tab/>
        <w:t>Blumsack S. Measuring the Benefits and Costs of Regional Electric Grid Integration. The Energy Law Journal 2007;28.</w:t>
      </w:r>
    </w:p>
    <w:p w14:paraId="79298D62" w14:textId="77777777" w:rsidR="008F61FA" w:rsidRDefault="008F61FA" w:rsidP="008F61FA">
      <w:pPr>
        <w:pStyle w:val="Bibliography"/>
      </w:pPr>
      <w:r>
        <w:t>[11]</w:t>
      </w:r>
      <w:r>
        <w:tab/>
        <w:t>Oseni MO, Pollitt MG. The promotion of regional integration of electricity markets: Lessons for developing countries. Energy Policy 2016;88:628–38. https://doi.org/10.1016/j.enpol.2015.09.007.</w:t>
      </w:r>
    </w:p>
    <w:p w14:paraId="4A21DBEA" w14:textId="77777777" w:rsidR="008F61FA" w:rsidRDefault="008F61FA" w:rsidP="008F61FA">
      <w:pPr>
        <w:pStyle w:val="Bibliography"/>
      </w:pPr>
      <w:r>
        <w:t>[12]</w:t>
      </w:r>
      <w:r>
        <w:tab/>
        <w:t>Pineau P, Lefebvre V. The value of unused interregional transmission: Estimating the opportunity cost for Quebec (Canada). International Journal of Energy Sector Management 2009;3:406–23. https://doi.org/10.1108/17506220911005768.</w:t>
      </w:r>
    </w:p>
    <w:p w14:paraId="0FFE8ED4" w14:textId="77777777" w:rsidR="008F61FA" w:rsidRDefault="008F61FA" w:rsidP="008F61FA">
      <w:pPr>
        <w:pStyle w:val="Bibliography"/>
      </w:pPr>
      <w:r>
        <w:t>[13]</w:t>
      </w:r>
      <w:r>
        <w:tab/>
        <w:t>Moore S. Evaluating the energy security of electricity interdependence: Perspectives from Morocco. Energy Research &amp; Social Science 2017;24:21–9. https://doi.org/10.1016/j.erss.2016.12.008.</w:t>
      </w:r>
    </w:p>
    <w:p w14:paraId="33BA274B" w14:textId="77777777" w:rsidR="008F61FA" w:rsidRDefault="008F61FA" w:rsidP="008F61FA">
      <w:pPr>
        <w:pStyle w:val="Bibliography"/>
      </w:pPr>
      <w:r>
        <w:t>[14]</w:t>
      </w:r>
      <w:r>
        <w:tab/>
        <w:t>Yang M, Shi X, Zhou Y, Xiang J, Zhang R. Deepening regional power connectivity: Beyond the industry-centric perspective. Energy Research &amp; Social Science 2022;90:102614. https://doi.org/10.1016/j.erss.2022.102614.</w:t>
      </w:r>
    </w:p>
    <w:p w14:paraId="07823EA4" w14:textId="77777777" w:rsidR="008F61FA" w:rsidRDefault="008F61FA" w:rsidP="008F61FA">
      <w:pPr>
        <w:pStyle w:val="Bibliography"/>
      </w:pPr>
      <w:r>
        <w:t>[15]</w:t>
      </w:r>
      <w:r>
        <w:tab/>
        <w:t>Abrell J, Rausch S. Cross-country electricity trade, renewable energy and European transmission infrastructure policy. Journal of Environmental Economics and Management 2016;79:87–113. https://doi.org/10.1016/j.jeem.2016.04.001.</w:t>
      </w:r>
    </w:p>
    <w:p w14:paraId="2AA9DD9D" w14:textId="77777777" w:rsidR="008F61FA" w:rsidRDefault="008F61FA" w:rsidP="008F61FA">
      <w:pPr>
        <w:pStyle w:val="Bibliography"/>
      </w:pPr>
      <w:r>
        <w:t>[16]</w:t>
      </w:r>
      <w:r>
        <w:tab/>
        <w:t>Antweiler W. Cross-border trade in electricity. Journal of International Economics 2016;101:42–51. https://doi.org/10.1016/j.jinteco.2016.03.007.</w:t>
      </w:r>
    </w:p>
    <w:p w14:paraId="51A7A72D" w14:textId="77777777" w:rsidR="008F61FA" w:rsidRDefault="008F61FA" w:rsidP="008F61FA">
      <w:pPr>
        <w:pStyle w:val="Bibliography"/>
      </w:pPr>
      <w:r>
        <w:lastRenderedPageBreak/>
        <w:t>[17]</w:t>
      </w:r>
      <w:r>
        <w:tab/>
        <w:t>Dahlke S. Integrating energy markets: Implications of increasing electricity trade on prices and emissions in the Western United States. International Journal of Sustainable Energy Planning and Management 2020;25. https://doi.org/10.5278/ijsepm.3416.</w:t>
      </w:r>
    </w:p>
    <w:p w14:paraId="27C54CB4" w14:textId="77777777" w:rsidR="008F61FA" w:rsidRDefault="008F61FA" w:rsidP="008F61FA">
      <w:pPr>
        <w:pStyle w:val="Bibliography"/>
      </w:pPr>
      <w:r>
        <w:t>[18]</w:t>
      </w:r>
      <w:r>
        <w:tab/>
        <w:t>Glachant J-M. Twenty years to address electricity market and system seams issues in the European Union</w:t>
      </w:r>
      <w:r>
        <w:rPr>
          <w:rFonts w:ascii="Arial" w:hAnsi="Arial" w:cs="Arial"/>
        </w:rPr>
        <w:t> </w:t>
      </w:r>
      <w:r>
        <w:t>: why? why not? 2017.</w:t>
      </w:r>
    </w:p>
    <w:p w14:paraId="571C69AF" w14:textId="77777777" w:rsidR="008F61FA" w:rsidRDefault="008F61FA" w:rsidP="008F61FA">
      <w:pPr>
        <w:pStyle w:val="Bibliography"/>
      </w:pPr>
      <w:r>
        <w:t>[19]</w:t>
      </w:r>
      <w:r>
        <w:tab/>
        <w:t>Kavulla T. Efficient Solutions for Issues in Electricity Seams. R Street Institute; 2019.</w:t>
      </w:r>
    </w:p>
    <w:p w14:paraId="780F45AC" w14:textId="77777777" w:rsidR="008F61FA" w:rsidRDefault="008F61FA" w:rsidP="008F61FA">
      <w:pPr>
        <w:pStyle w:val="Bibliography"/>
      </w:pPr>
      <w:r>
        <w:t>[20]</w:t>
      </w:r>
      <w:r>
        <w:tab/>
        <w:t>Li D. Do Grid Operators Dream of Electric Seams?: Coordinating Interregional Transmission Stakeholders to Improve Energy Deliverability. Geo Wash J Energy &amp; Env’t L 2022;13:82.</w:t>
      </w:r>
    </w:p>
    <w:p w14:paraId="7CF0D549" w14:textId="77777777" w:rsidR="008F61FA" w:rsidRDefault="008F61FA" w:rsidP="008F61FA">
      <w:pPr>
        <w:pStyle w:val="Bibliography"/>
      </w:pPr>
      <w:r>
        <w:t>[21]</w:t>
      </w:r>
      <w:r>
        <w:tab/>
        <w:t>Shannon CE. A mathematical theory of communication. The Bell System Technical Journal 1948;27:379–423. https://doi.org/10.1002/j.1538-7305.1948.tb01338.x.</w:t>
      </w:r>
    </w:p>
    <w:p w14:paraId="3E3350D3" w14:textId="77777777" w:rsidR="008F61FA" w:rsidRDefault="008F61FA" w:rsidP="008F61FA">
      <w:pPr>
        <w:pStyle w:val="Bibliography"/>
      </w:pPr>
      <w:r>
        <w:t>[22]</w:t>
      </w:r>
      <w:r>
        <w:tab/>
        <w:t>Margalef R. Information theory in ecology 1973.</w:t>
      </w:r>
    </w:p>
    <w:p w14:paraId="51B07981" w14:textId="77777777" w:rsidR="008F61FA" w:rsidRDefault="008F61FA" w:rsidP="008F61FA">
      <w:pPr>
        <w:pStyle w:val="Bibliography"/>
      </w:pPr>
      <w:r>
        <w:t>[23]</w:t>
      </w:r>
      <w:r>
        <w:tab/>
        <w:t>Pielou EC. The measurement of diversity in different types of biological collections. Journal of Theoretical Biology 1966;13:131–44. https://doi.org/10.1016/0022-5193(66)90013-0.</w:t>
      </w:r>
    </w:p>
    <w:p w14:paraId="7A32354F" w14:textId="77777777" w:rsidR="008F61FA" w:rsidRDefault="008F61FA" w:rsidP="008F61FA">
      <w:pPr>
        <w:pStyle w:val="Bibliography"/>
      </w:pPr>
      <w:r>
        <w:t>[24]</w:t>
      </w:r>
      <w:r>
        <w:tab/>
        <w:t>Stirling A. On the economics and analysis of diversity. Science Policy Research Unit (SPRU), Electronic Working Papers Series, Paper 1998;28:1–156.</w:t>
      </w:r>
    </w:p>
    <w:p w14:paraId="733403AB" w14:textId="77777777" w:rsidR="008F61FA" w:rsidRDefault="008F61FA" w:rsidP="008F61FA">
      <w:pPr>
        <w:pStyle w:val="Bibliography"/>
      </w:pPr>
      <w:r>
        <w:t>[25]</w:t>
      </w:r>
      <w:r>
        <w:tab/>
        <w:t>Peet RK. The Measurement of Species Diversity. Annual Review of Ecology, Evolution, and Systematics 1974;5:285–307. https://doi.org/10.1146/annurev.es.05.110174.001441.</w:t>
      </w:r>
    </w:p>
    <w:p w14:paraId="2D7DAD96" w14:textId="77777777" w:rsidR="008F61FA" w:rsidRDefault="008F61FA" w:rsidP="008F61FA">
      <w:pPr>
        <w:pStyle w:val="Bibliography"/>
      </w:pPr>
      <w:r>
        <w:t>[26]</w:t>
      </w:r>
      <w:r>
        <w:tab/>
        <w:t>Hill MO. Diversity and Evenness: A Unifying Notation and Its Consequences. Ecology 1973;54:427–32. https://doi.org/10.2307/1934352.</w:t>
      </w:r>
    </w:p>
    <w:p w14:paraId="49790DB6" w14:textId="77777777" w:rsidR="008F61FA" w:rsidRDefault="008F61FA" w:rsidP="008F61FA">
      <w:pPr>
        <w:pStyle w:val="Bibliography"/>
      </w:pPr>
      <w:r>
        <w:t>[27]</w:t>
      </w:r>
      <w:r>
        <w:tab/>
        <w:t>Jun E, Kim W, Chang SH. The analysis of security cost for different energy sources. Applied Energy 2009;86:1894–901. https://doi.org/10.1016/j.apenergy.2008.11.028.</w:t>
      </w:r>
    </w:p>
    <w:p w14:paraId="440FDE20" w14:textId="77777777" w:rsidR="008F61FA" w:rsidRDefault="008F61FA" w:rsidP="008F61FA">
      <w:pPr>
        <w:pStyle w:val="Bibliography"/>
      </w:pPr>
      <w:r>
        <w:t>[28]</w:t>
      </w:r>
      <w:r>
        <w:tab/>
        <w:t>Kruyt B, van Vuuren DP, de Vries HJM, Groenenberg H. Indicators for energy security. Energy Policy 2009;37:2166–81. https://doi.org/10.1016/j.enpol.2009.02.006.</w:t>
      </w:r>
    </w:p>
    <w:p w14:paraId="2FC957C1" w14:textId="77777777" w:rsidR="008F61FA" w:rsidRDefault="008F61FA" w:rsidP="008F61FA">
      <w:pPr>
        <w:pStyle w:val="Bibliography"/>
      </w:pPr>
      <w:r>
        <w:t>[29]</w:t>
      </w:r>
      <w:r>
        <w:tab/>
        <w:t>Chuang MC, Ma HW. Energy security and improvements in the function of diversity indices—Taiwan energy supply structure case study. Renewable and Sustainable Energy Reviews 2013;24:9–20. https://doi.org/10.1016/j.rser.2013.03.021.</w:t>
      </w:r>
    </w:p>
    <w:p w14:paraId="5A3850B1" w14:textId="77777777" w:rsidR="008F61FA" w:rsidRDefault="008F61FA" w:rsidP="008F61FA">
      <w:pPr>
        <w:pStyle w:val="Bibliography"/>
      </w:pPr>
      <w:r>
        <w:t>[30]</w:t>
      </w:r>
      <w:r>
        <w:tab/>
        <w:t>Martchamadol J, Kumar S. An aggregated energy security performance indicator. Applied Energy 2013;103:653–70. https://doi.org/10.1016/j.apenergy.2012.10.027.</w:t>
      </w:r>
    </w:p>
    <w:p w14:paraId="3D7C7E60" w14:textId="77777777" w:rsidR="008F61FA" w:rsidRDefault="008F61FA" w:rsidP="008F61FA">
      <w:pPr>
        <w:pStyle w:val="Bibliography"/>
      </w:pPr>
      <w:r>
        <w:t>[31]</w:t>
      </w:r>
      <w:r>
        <w:tab/>
        <w:t>Jewell J, Cherp A, Riahi K. Energy security under de-carbonization scenarios: An assessment framework and evaluation under different technology and policy choices. Energy Policy 2014;65:743–60. https://doi.org/10.1016/j.enpol.2013.10.051.</w:t>
      </w:r>
    </w:p>
    <w:p w14:paraId="6C090E2D" w14:textId="77777777" w:rsidR="008F61FA" w:rsidRDefault="008F61FA" w:rsidP="008F61FA">
      <w:pPr>
        <w:pStyle w:val="Bibliography"/>
      </w:pPr>
      <w:r>
        <w:t>[32]</w:t>
      </w:r>
      <w:r>
        <w:tab/>
        <w:t>Ranjan A, Hughes L. Energy security and the diversity of energy flows in an energy system. Energy 2014;73:137–44. https://doi.org/10.1016/j.energy.2014.05.108.</w:t>
      </w:r>
    </w:p>
    <w:p w14:paraId="3271C45E" w14:textId="77777777" w:rsidR="008F61FA" w:rsidRDefault="008F61FA" w:rsidP="008F61FA">
      <w:pPr>
        <w:pStyle w:val="Bibliography"/>
      </w:pPr>
      <w:r>
        <w:t>[33]</w:t>
      </w:r>
      <w:r>
        <w:tab/>
        <w:t>Ren J, Sovacool BK. Quantifying, measuring, and strategizing energy security: Determining the most meaningful dimensions and metrics. Energy 2014;76:838–49. https://doi.org/10.1016/j.energy.2014.08.083.</w:t>
      </w:r>
    </w:p>
    <w:p w14:paraId="518712E7" w14:textId="77777777" w:rsidR="008F61FA" w:rsidRDefault="008F61FA" w:rsidP="008F61FA">
      <w:pPr>
        <w:pStyle w:val="Bibliography"/>
      </w:pPr>
      <w:r>
        <w:t>[34]</w:t>
      </w:r>
      <w:r>
        <w:tab/>
        <w:t>Ang BW, Choong WL, Ng TS. Energy security: Definitions, dimensions and indexes. Renewable and Sustainable Energy Reviews 2015;42:1077–93. https://doi.org/10.1016/j.rser.2014.10.064.</w:t>
      </w:r>
    </w:p>
    <w:p w14:paraId="45ED1011" w14:textId="77777777" w:rsidR="008F61FA" w:rsidRDefault="008F61FA" w:rsidP="008F61FA">
      <w:pPr>
        <w:pStyle w:val="Bibliography"/>
      </w:pPr>
      <w:r>
        <w:t>[35]</w:t>
      </w:r>
      <w:r>
        <w:tab/>
        <w:t>Erahman QF, Purwanto WW, Sudibandriyo M, Hidayatno A. An assessment of Indonesia’s energy security index and comparison with seventy countries. Energy 2016;111:364–76. https://doi.org/10.1016/j.energy.2016.05.100.</w:t>
      </w:r>
    </w:p>
    <w:p w14:paraId="328E4873" w14:textId="77777777" w:rsidR="008F61FA" w:rsidRDefault="008F61FA" w:rsidP="008F61FA">
      <w:pPr>
        <w:pStyle w:val="Bibliography"/>
      </w:pPr>
      <w:r>
        <w:t>[36]</w:t>
      </w:r>
      <w:r>
        <w:tab/>
        <w:t>Zhang L, Yu J, Sovacool BK, Ren J. Measuring energy security performance within China: Toward an inter-provincial prospective. Energy 2017;125:825–36. https://doi.org/10.1016/j.energy.2016.12.030.</w:t>
      </w:r>
    </w:p>
    <w:p w14:paraId="177E2950" w14:textId="77777777" w:rsidR="008F61FA" w:rsidRDefault="008F61FA" w:rsidP="008F61FA">
      <w:pPr>
        <w:pStyle w:val="Bibliography"/>
      </w:pPr>
      <w:r>
        <w:t>[37]</w:t>
      </w:r>
      <w:r>
        <w:tab/>
        <w:t>Matsumoto K, Doumpos M, Andriosopoulos K. Historical energy security performance in EU countries. Renewable and Sustainable Energy Reviews 2018;82:1737–48. https://doi.org/10.1016/j.rser.2017.06.058.</w:t>
      </w:r>
    </w:p>
    <w:p w14:paraId="5E03AB1E" w14:textId="77777777" w:rsidR="008F61FA" w:rsidRDefault="008F61FA" w:rsidP="008F61FA">
      <w:pPr>
        <w:pStyle w:val="Bibliography"/>
      </w:pPr>
      <w:r>
        <w:lastRenderedPageBreak/>
        <w:t>[38]</w:t>
      </w:r>
      <w:r>
        <w:tab/>
        <w:t>Song Y, Zhang M, Sun R. Using a new aggregated indicator to evaluate China’s energy security. Energy Policy 2019;132:167–74. https://doi.org/10.1016/j.enpol.2019.05.036.</w:t>
      </w:r>
    </w:p>
    <w:p w14:paraId="4DC87B8F" w14:textId="77777777" w:rsidR="008F61FA" w:rsidRDefault="008F61FA" w:rsidP="008F61FA">
      <w:pPr>
        <w:pStyle w:val="Bibliography"/>
      </w:pPr>
      <w:r>
        <w:t>[39]</w:t>
      </w:r>
      <w:r>
        <w:tab/>
        <w:t>Wang D, Tian S, Fang L, Xu Y. A functional index model for dynamically evaluating China’s energy security. Energy Policy 2020;147:111706. https://doi.org/10.1016/j.enpol.2020.111706.</w:t>
      </w:r>
    </w:p>
    <w:p w14:paraId="1F38F8BD" w14:textId="77777777" w:rsidR="008F61FA" w:rsidRDefault="008F61FA" w:rsidP="008F61FA">
      <w:pPr>
        <w:pStyle w:val="Bibliography"/>
      </w:pPr>
      <w:r>
        <w:t>[40]</w:t>
      </w:r>
      <w:r>
        <w:tab/>
        <w:t>Lin B, Raza MY. Analysis of energy security indicators and CO2 emissions. A case from a developing economy. Energy 2020;200:117575. https://doi.org/10.1016/j.energy.2020.117575.</w:t>
      </w:r>
    </w:p>
    <w:p w14:paraId="67AB31B1" w14:textId="77777777" w:rsidR="008F61FA" w:rsidRDefault="008F61FA" w:rsidP="008F61FA">
      <w:pPr>
        <w:pStyle w:val="Bibliography"/>
      </w:pPr>
      <w:r>
        <w:t>[41]</w:t>
      </w:r>
      <w:r>
        <w:tab/>
        <w:t>De Rosa M, Gainsford K, Pallonetto F, Finn DP. Diversification, concentration and renewability of the energy supply in the European Union. Energy 2022;253:124097. https://doi.org/10.1016/j.energy.2022.124097.</w:t>
      </w:r>
    </w:p>
    <w:p w14:paraId="2D9E34A2" w14:textId="77777777" w:rsidR="008F61FA" w:rsidRDefault="008F61FA" w:rsidP="008F61FA">
      <w:pPr>
        <w:pStyle w:val="Bibliography"/>
      </w:pPr>
      <w:r>
        <w:t>[42]</w:t>
      </w:r>
      <w:r>
        <w:tab/>
        <w:t>Stirling A. Diversity and ignorance in electricity supply investment: Addressing the solution rather than the problem. Energy Policy 1994;22:195–216. https://doi.org/10.1016/0301-4215(94)90159-7.</w:t>
      </w:r>
    </w:p>
    <w:p w14:paraId="295602D2" w14:textId="77777777" w:rsidR="008F61FA" w:rsidRDefault="008F61FA" w:rsidP="008F61FA">
      <w:pPr>
        <w:pStyle w:val="Bibliography"/>
      </w:pPr>
      <w:r>
        <w:t>[43]</w:t>
      </w:r>
      <w:r>
        <w:tab/>
        <w:t>Grubb M, Butler L, Twomey P. Diversity and security in UK electricity generation: The influence of low-carbon objectives. Energy Policy 2006;34:4050–62. https://doi.org/10.1016/J.ENPOL.2005.09.004.</w:t>
      </w:r>
    </w:p>
    <w:p w14:paraId="63B6EF34" w14:textId="77777777" w:rsidR="008F61FA" w:rsidRDefault="008F61FA" w:rsidP="008F61FA">
      <w:pPr>
        <w:pStyle w:val="Bibliography"/>
      </w:pPr>
      <w:r>
        <w:t>[44]</w:t>
      </w:r>
      <w:r>
        <w:tab/>
        <w:t>Chalvatzis KJ, Rubel K. Electricity portfolio innovation for energy security: The case of carbon constrained China. Technological Forecasting and Social Change 2015;100:267–76. https://doi.org/10.1016/J.TECHFORE.2015.07.012.</w:t>
      </w:r>
    </w:p>
    <w:p w14:paraId="7C039194" w14:textId="77777777" w:rsidR="008F61FA" w:rsidRDefault="008F61FA" w:rsidP="008F61FA">
      <w:pPr>
        <w:pStyle w:val="Bibliography"/>
      </w:pPr>
      <w:r>
        <w:t>[45]</w:t>
      </w:r>
      <w:r>
        <w:tab/>
        <w:t>Cox E. Assessing long-term energy security: The case of electricity in the United Kingdom. Renewable and Sustainable Energy Reviews 2018;82:2287–99. https://doi.org/10.1016/J.RSER.2017.08.084.</w:t>
      </w:r>
    </w:p>
    <w:p w14:paraId="2FF4C5FD" w14:textId="77777777" w:rsidR="008F61FA" w:rsidRDefault="008F61FA" w:rsidP="008F61FA">
      <w:pPr>
        <w:pStyle w:val="Bibliography"/>
      </w:pPr>
      <w:r>
        <w:t>[46]</w:t>
      </w:r>
      <w:r>
        <w:tab/>
        <w:t>Dilek S, Konak A. Resource Diversification in Turkey’s Electricity Generation. Journal of Original Studies 2022. https://doi.org/10.47243/jos.3.2.03.</w:t>
      </w:r>
    </w:p>
    <w:p w14:paraId="5C5C520D" w14:textId="77777777" w:rsidR="008F61FA" w:rsidRDefault="008F61FA" w:rsidP="008F61FA">
      <w:pPr>
        <w:pStyle w:val="Bibliography"/>
      </w:pPr>
      <w:r>
        <w:t>[47]</w:t>
      </w:r>
      <w:r>
        <w:tab/>
        <w:t>Geospatial Management Office, U.S. Department of Homeland Security. Homeland Infrastructure Foundation LEvel Database - Control Areas 2022.</w:t>
      </w:r>
    </w:p>
    <w:p w14:paraId="5CC4A013" w14:textId="77777777" w:rsidR="008F61FA" w:rsidRDefault="008F61FA" w:rsidP="008F61FA">
      <w:pPr>
        <w:pStyle w:val="Bibliography"/>
      </w:pPr>
      <w:r>
        <w:t>[48]</w:t>
      </w:r>
      <w:r>
        <w:tab/>
        <w:t>U.S. Energy Information Administration. Hourly Electric Grid Monitor. Https://WwwEiaGov/Electricity/Gridmonitor/ n.d.</w:t>
      </w:r>
    </w:p>
    <w:p w14:paraId="7E3DF38E" w14:textId="77777777" w:rsidR="008F61FA" w:rsidRDefault="008F61FA" w:rsidP="008F61FA">
      <w:pPr>
        <w:pStyle w:val="Bibliography"/>
      </w:pPr>
      <w:r>
        <w:t>[49]</w:t>
      </w:r>
      <w:r>
        <w:tab/>
        <w:t>Mclellan M, Opatrny C. Maintaining A Balance: Innovation in Power System Balancing Authorities. Washington Journal of Environmental Law &amp; Policy 2011.</w:t>
      </w:r>
    </w:p>
    <w:p w14:paraId="29B59C0D" w14:textId="77777777" w:rsidR="008F61FA" w:rsidRDefault="008F61FA" w:rsidP="008F61FA">
      <w:pPr>
        <w:pStyle w:val="Bibliography"/>
      </w:pPr>
      <w:r>
        <w:t>[50]</w:t>
      </w:r>
      <w:r>
        <w:tab/>
        <w:t>Shaker H, Zareipour H, Wood D. Impacts of large-scale wind and solar power integration on California</w:t>
      </w:r>
      <w:r>
        <w:rPr>
          <w:rFonts w:ascii="Arial" w:hAnsi="Arial" w:cs="Arial"/>
        </w:rPr>
        <w:t>׳</w:t>
      </w:r>
      <w:r>
        <w:t>s net electrical load. Renewable and Sustainable Energy Reviews 2016;58:761–74. https://doi.org/10.1016/j.rser.2015.12.287.</w:t>
      </w:r>
    </w:p>
    <w:p w14:paraId="3730762A" w14:textId="77777777" w:rsidR="008F61FA" w:rsidRDefault="008F61FA" w:rsidP="008F61FA">
      <w:pPr>
        <w:pStyle w:val="Bibliography"/>
      </w:pPr>
      <w:r>
        <w:t>[51]</w:t>
      </w:r>
      <w:r>
        <w:tab/>
        <w:t>Littlechild S, Kiesling L. Hayek and the Texas blackout. Electricity Journal 2021;34. https://doi.org/10.1016/j.tej.2021.106969.</w:t>
      </w:r>
    </w:p>
    <w:p w14:paraId="5932021F" w14:textId="77777777" w:rsidR="008F61FA" w:rsidRDefault="008F61FA" w:rsidP="008F61FA">
      <w:pPr>
        <w:pStyle w:val="Bibliography"/>
      </w:pPr>
      <w:r>
        <w:t>[52]</w:t>
      </w:r>
      <w:r>
        <w:tab/>
        <w:t>Popik T, Humphreys R. The 2021 Texas Blackouts: Causes, Consequences, and Cures. Journal of Critical Infrastructure Policy 2021;2:47–73. https://doi.org/10.18278/jcip.2.1.6.</w:t>
      </w:r>
    </w:p>
    <w:p w14:paraId="6E88496F" w14:textId="77777777" w:rsidR="008F61FA" w:rsidRDefault="008F61FA" w:rsidP="008F61FA">
      <w:pPr>
        <w:pStyle w:val="Bibliography"/>
      </w:pPr>
      <w:r>
        <w:t>[53]</w:t>
      </w:r>
      <w:r>
        <w:tab/>
        <w:t>Levin T, Botterud A, Mann WN, Kwon J, Zhou Z. Extreme weather and electricity markets: Key lessons from the February 2021 Texas crisis. Joule 2022;6:1–7. https://doi.org/10.1016/j.joule.2021.12.015.</w:t>
      </w:r>
    </w:p>
    <w:p w14:paraId="1C2665F3" w14:textId="02DCF564" w:rsidR="00100C02" w:rsidRDefault="00100C02" w:rsidP="00100C02">
      <w:r>
        <w:fldChar w:fldCharType="end"/>
      </w:r>
    </w:p>
    <w:sectPr w:rsidR="00100C02" w:rsidSect="00CD404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BFEEA" w14:textId="77777777" w:rsidR="00C31BE1" w:rsidRDefault="00C31BE1">
      <w:pPr>
        <w:spacing w:after="0" w:line="240" w:lineRule="auto"/>
      </w:pPr>
      <w:r>
        <w:separator/>
      </w:r>
    </w:p>
  </w:endnote>
  <w:endnote w:type="continuationSeparator" w:id="0">
    <w:p w14:paraId="70DA6C44" w14:textId="77777777" w:rsidR="00C31BE1" w:rsidRDefault="00C31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80468B4D-7BF4-4DAB-B7FA-46B222D8601E}"/>
  </w:font>
  <w:font w:name="Aptos">
    <w:charset w:val="00"/>
    <w:family w:val="swiss"/>
    <w:pitch w:val="variable"/>
    <w:sig w:usb0="20000287" w:usb1="00000003" w:usb2="00000000" w:usb3="00000000" w:csb0="0000019F" w:csb1="00000000"/>
    <w:embedRegular r:id="rId2" w:fontKey="{180C4CFC-0D5A-49FF-B6B4-553858910B8C}"/>
    <w:embedBold r:id="rId3" w:fontKey="{4325092C-A1D2-423B-A0A2-F5A5931B5AD8}"/>
    <w:embedItalic r:id="rId4" w:fontKey="{AFAAF562-36C8-4DFD-9B28-347A966E5695}"/>
    <w:embedBoldItalic r:id="rId5" w:fontKey="{167724F3-E6F5-422A-8D05-9FADDBE4CBA2}"/>
  </w:font>
  <w:font w:name="Aptos Display">
    <w:charset w:val="00"/>
    <w:family w:val="swiss"/>
    <w:pitch w:val="variable"/>
    <w:sig w:usb0="20000287" w:usb1="00000003" w:usb2="00000000" w:usb3="00000000" w:csb0="0000019F" w:csb1="00000000"/>
    <w:embedRegular r:id="rId6" w:fontKey="{9491AE5F-AFB3-4875-86AC-9A340B0A8EBC}"/>
  </w:font>
  <w:font w:name="Cambria Math">
    <w:panose1 w:val="02040503050406030204"/>
    <w:charset w:val="00"/>
    <w:family w:val="roman"/>
    <w:pitch w:val="variable"/>
    <w:sig w:usb0="E00006FF" w:usb1="420024FF" w:usb2="02000000" w:usb3="00000000" w:csb0="0000019F" w:csb1="00000000"/>
    <w:embedRegular r:id="rId7" w:fontKey="{3962457D-4D19-428D-AB47-2AC3FAC104C6}"/>
    <w:embedItalic r:id="rId8" w:fontKey="{D9EF0163-947C-43F8-89C9-D093E6EC3635}"/>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9" w:fontKey="{7DD8175C-7D3E-4180-82B1-377D398FB410}"/>
    <w:embedBold r:id="rId10" w:fontKey="{AE7D6650-7856-49D5-8D31-5EAD0F4E6E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8F00F" w14:textId="77777777" w:rsidR="00C31BE1" w:rsidRDefault="00C31BE1">
      <w:pPr>
        <w:spacing w:after="0" w:line="240" w:lineRule="auto"/>
      </w:pPr>
      <w:r>
        <w:separator/>
      </w:r>
    </w:p>
  </w:footnote>
  <w:footnote w:type="continuationSeparator" w:id="0">
    <w:p w14:paraId="4EF36A73" w14:textId="77777777" w:rsidR="00C31BE1" w:rsidRDefault="00C31BE1">
      <w:pPr>
        <w:spacing w:after="0" w:line="240" w:lineRule="auto"/>
      </w:pPr>
      <w:r>
        <w:continuationSeparator/>
      </w:r>
    </w:p>
  </w:footnote>
  <w:footnote w:id="1">
    <w:p w14:paraId="75CEE4DD" w14:textId="63A767DC" w:rsidR="00CC2ECB" w:rsidRDefault="00CC2ECB">
      <w:pPr>
        <w:pStyle w:val="FootnoteText"/>
      </w:pPr>
      <w:r>
        <w:rPr>
          <w:rStyle w:val="FootnoteReference"/>
        </w:rPr>
        <w:footnoteRef/>
      </w:r>
      <w:r>
        <w:t xml:space="preserve"> The correlation coefficient between the </w:t>
      </w:r>
      <w:r w:rsidR="00977380">
        <w:t xml:space="preserve">import </w:t>
      </w:r>
      <w:r>
        <w:t xml:space="preserve">diversity metric and </w:t>
      </w:r>
      <w:r w:rsidR="00977380">
        <w:t xml:space="preserve">balancing authority </w:t>
      </w:r>
      <w:r>
        <w:t xml:space="preserve">average electricity demand </w:t>
      </w:r>
      <w:r w:rsidR="00977380">
        <w:t xml:space="preserve">across the sample </w:t>
      </w:r>
      <w:r>
        <w:t>period is 0.30</w:t>
      </w:r>
      <w:r w:rsidR="00D47D73">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5E5"/>
    <w:multiLevelType w:val="hybridMultilevel"/>
    <w:tmpl w:val="DEBC4B96"/>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6A6D03"/>
    <w:multiLevelType w:val="hybridMultilevel"/>
    <w:tmpl w:val="883CD06E"/>
    <w:lvl w:ilvl="0" w:tplc="D744F9C4">
      <w:start w:val="1"/>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540D2"/>
    <w:multiLevelType w:val="hybridMultilevel"/>
    <w:tmpl w:val="F2181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722765C"/>
    <w:multiLevelType w:val="hybridMultilevel"/>
    <w:tmpl w:val="D1B0E3F4"/>
    <w:lvl w:ilvl="0" w:tplc="289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8C71AA"/>
    <w:multiLevelType w:val="hybridMultilevel"/>
    <w:tmpl w:val="96E2E506"/>
    <w:lvl w:ilvl="0" w:tplc="44E0B58E">
      <w:numFmt w:val="bullet"/>
      <w:lvlText w:val="-"/>
      <w:lvlJc w:val="left"/>
      <w:pPr>
        <w:ind w:left="720" w:hanging="360"/>
      </w:pPr>
      <w:rPr>
        <w:rFonts w:ascii="Aptos" w:eastAsia="Aptos" w:hAnsi="Aptos" w:cs="Apto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D3C68"/>
    <w:multiLevelType w:val="hybridMultilevel"/>
    <w:tmpl w:val="47866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2200F91"/>
    <w:multiLevelType w:val="hybridMultilevel"/>
    <w:tmpl w:val="E1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94938">
    <w:abstractNumId w:val="4"/>
  </w:num>
  <w:num w:numId="2" w16cid:durableId="205027588">
    <w:abstractNumId w:val="1"/>
  </w:num>
  <w:num w:numId="3" w16cid:durableId="989599762">
    <w:abstractNumId w:val="9"/>
  </w:num>
  <w:num w:numId="4" w16cid:durableId="833421845">
    <w:abstractNumId w:val="8"/>
  </w:num>
  <w:num w:numId="5" w16cid:durableId="1195802485">
    <w:abstractNumId w:val="0"/>
  </w:num>
  <w:num w:numId="6" w16cid:durableId="1298491011">
    <w:abstractNumId w:val="10"/>
  </w:num>
  <w:num w:numId="7" w16cid:durableId="1515457187">
    <w:abstractNumId w:val="7"/>
  </w:num>
  <w:num w:numId="8" w16cid:durableId="826240177">
    <w:abstractNumId w:val="5"/>
  </w:num>
  <w:num w:numId="9" w16cid:durableId="466750371">
    <w:abstractNumId w:val="3"/>
  </w:num>
  <w:num w:numId="10" w16cid:durableId="1602227224">
    <w:abstractNumId w:val="6"/>
  </w:num>
  <w:num w:numId="11" w16cid:durableId="264179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005AB6"/>
    <w:rsid w:val="000061B1"/>
    <w:rsid w:val="000062B5"/>
    <w:rsid w:val="00010318"/>
    <w:rsid w:val="00011306"/>
    <w:rsid w:val="000126B1"/>
    <w:rsid w:val="00012874"/>
    <w:rsid w:val="00012C55"/>
    <w:rsid w:val="00014F09"/>
    <w:rsid w:val="000219A8"/>
    <w:rsid w:val="000229B4"/>
    <w:rsid w:val="0002776C"/>
    <w:rsid w:val="00031FF4"/>
    <w:rsid w:val="00032C4B"/>
    <w:rsid w:val="00034B04"/>
    <w:rsid w:val="00050906"/>
    <w:rsid w:val="00054FE2"/>
    <w:rsid w:val="00055BEF"/>
    <w:rsid w:val="0006054A"/>
    <w:rsid w:val="00066B07"/>
    <w:rsid w:val="000701D3"/>
    <w:rsid w:val="00071EE9"/>
    <w:rsid w:val="0007205D"/>
    <w:rsid w:val="000722C6"/>
    <w:rsid w:val="00076028"/>
    <w:rsid w:val="000806CB"/>
    <w:rsid w:val="00082542"/>
    <w:rsid w:val="00082A64"/>
    <w:rsid w:val="00083E2B"/>
    <w:rsid w:val="00085A0C"/>
    <w:rsid w:val="00086274"/>
    <w:rsid w:val="00086A6F"/>
    <w:rsid w:val="00086BC8"/>
    <w:rsid w:val="00086E56"/>
    <w:rsid w:val="00091887"/>
    <w:rsid w:val="00093D08"/>
    <w:rsid w:val="00094BDF"/>
    <w:rsid w:val="00095D4D"/>
    <w:rsid w:val="000A0545"/>
    <w:rsid w:val="000A193A"/>
    <w:rsid w:val="000A76DD"/>
    <w:rsid w:val="000B32BB"/>
    <w:rsid w:val="000B56B7"/>
    <w:rsid w:val="000B7CEB"/>
    <w:rsid w:val="000C5237"/>
    <w:rsid w:val="000D0D91"/>
    <w:rsid w:val="000D5038"/>
    <w:rsid w:val="000E09B6"/>
    <w:rsid w:val="000E1CDB"/>
    <w:rsid w:val="000E7334"/>
    <w:rsid w:val="000F217F"/>
    <w:rsid w:val="000F353B"/>
    <w:rsid w:val="000F3A8A"/>
    <w:rsid w:val="000F3DF6"/>
    <w:rsid w:val="000F5131"/>
    <w:rsid w:val="000F685F"/>
    <w:rsid w:val="000F706B"/>
    <w:rsid w:val="00100C02"/>
    <w:rsid w:val="00103B8C"/>
    <w:rsid w:val="00105F06"/>
    <w:rsid w:val="00107CC6"/>
    <w:rsid w:val="001124C2"/>
    <w:rsid w:val="00113D37"/>
    <w:rsid w:val="00115BC2"/>
    <w:rsid w:val="001202B9"/>
    <w:rsid w:val="00120921"/>
    <w:rsid w:val="00122546"/>
    <w:rsid w:val="00125268"/>
    <w:rsid w:val="00127348"/>
    <w:rsid w:val="0012780B"/>
    <w:rsid w:val="001318AE"/>
    <w:rsid w:val="00133A64"/>
    <w:rsid w:val="00133BDB"/>
    <w:rsid w:val="00135B87"/>
    <w:rsid w:val="0014445F"/>
    <w:rsid w:val="00144D78"/>
    <w:rsid w:val="001501E9"/>
    <w:rsid w:val="001555CD"/>
    <w:rsid w:val="00156369"/>
    <w:rsid w:val="00160244"/>
    <w:rsid w:val="001608BA"/>
    <w:rsid w:val="00160AB1"/>
    <w:rsid w:val="00162840"/>
    <w:rsid w:val="00164034"/>
    <w:rsid w:val="00164476"/>
    <w:rsid w:val="00164B3C"/>
    <w:rsid w:val="00171960"/>
    <w:rsid w:val="001759DF"/>
    <w:rsid w:val="001803CB"/>
    <w:rsid w:val="0018286A"/>
    <w:rsid w:val="00182959"/>
    <w:rsid w:val="001864B4"/>
    <w:rsid w:val="0018650A"/>
    <w:rsid w:val="0018723C"/>
    <w:rsid w:val="00194CBD"/>
    <w:rsid w:val="00195F74"/>
    <w:rsid w:val="001A50A4"/>
    <w:rsid w:val="001A53F8"/>
    <w:rsid w:val="001A669F"/>
    <w:rsid w:val="001B1FED"/>
    <w:rsid w:val="001B35E7"/>
    <w:rsid w:val="001B38FE"/>
    <w:rsid w:val="001B5630"/>
    <w:rsid w:val="001B7B13"/>
    <w:rsid w:val="001C09DB"/>
    <w:rsid w:val="001C0E7D"/>
    <w:rsid w:val="001C163D"/>
    <w:rsid w:val="001C19CE"/>
    <w:rsid w:val="001C33DF"/>
    <w:rsid w:val="001C5275"/>
    <w:rsid w:val="001C5925"/>
    <w:rsid w:val="001D3D6C"/>
    <w:rsid w:val="001D6167"/>
    <w:rsid w:val="001D6C5D"/>
    <w:rsid w:val="001E144A"/>
    <w:rsid w:val="001E17CD"/>
    <w:rsid w:val="001E2818"/>
    <w:rsid w:val="001E3D51"/>
    <w:rsid w:val="001E741B"/>
    <w:rsid w:val="001F0A1A"/>
    <w:rsid w:val="00202E79"/>
    <w:rsid w:val="00204068"/>
    <w:rsid w:val="00210769"/>
    <w:rsid w:val="0021255C"/>
    <w:rsid w:val="002141E6"/>
    <w:rsid w:val="00214F9F"/>
    <w:rsid w:val="00216106"/>
    <w:rsid w:val="00217F7D"/>
    <w:rsid w:val="00220966"/>
    <w:rsid w:val="0022103C"/>
    <w:rsid w:val="00222046"/>
    <w:rsid w:val="002240D6"/>
    <w:rsid w:val="00226BBD"/>
    <w:rsid w:val="00227326"/>
    <w:rsid w:val="00231C46"/>
    <w:rsid w:val="0023626F"/>
    <w:rsid w:val="0024195F"/>
    <w:rsid w:val="00252937"/>
    <w:rsid w:val="0025701D"/>
    <w:rsid w:val="0025774C"/>
    <w:rsid w:val="00260939"/>
    <w:rsid w:val="00262EBC"/>
    <w:rsid w:val="002638EF"/>
    <w:rsid w:val="00263D9B"/>
    <w:rsid w:val="00263DD6"/>
    <w:rsid w:val="00264BAF"/>
    <w:rsid w:val="00283A0A"/>
    <w:rsid w:val="00287BDE"/>
    <w:rsid w:val="00291921"/>
    <w:rsid w:val="0029326B"/>
    <w:rsid w:val="00294DE9"/>
    <w:rsid w:val="00295051"/>
    <w:rsid w:val="0029577E"/>
    <w:rsid w:val="00295CB3"/>
    <w:rsid w:val="00295DAD"/>
    <w:rsid w:val="00297A9D"/>
    <w:rsid w:val="002A1BB3"/>
    <w:rsid w:val="002A2006"/>
    <w:rsid w:val="002A6E3C"/>
    <w:rsid w:val="002B0AC5"/>
    <w:rsid w:val="002B701B"/>
    <w:rsid w:val="002B77BF"/>
    <w:rsid w:val="002D2DBE"/>
    <w:rsid w:val="002D3FF5"/>
    <w:rsid w:val="002D4BEA"/>
    <w:rsid w:val="002D4C90"/>
    <w:rsid w:val="002D53E1"/>
    <w:rsid w:val="002D748E"/>
    <w:rsid w:val="002E0B05"/>
    <w:rsid w:val="002E1398"/>
    <w:rsid w:val="002E498C"/>
    <w:rsid w:val="002F0100"/>
    <w:rsid w:val="002F4913"/>
    <w:rsid w:val="002F7F93"/>
    <w:rsid w:val="003023F3"/>
    <w:rsid w:val="00302E6C"/>
    <w:rsid w:val="0031483A"/>
    <w:rsid w:val="003153DB"/>
    <w:rsid w:val="00323D57"/>
    <w:rsid w:val="00325EAB"/>
    <w:rsid w:val="003268C0"/>
    <w:rsid w:val="003279EF"/>
    <w:rsid w:val="0033366F"/>
    <w:rsid w:val="00341DA7"/>
    <w:rsid w:val="00344AA4"/>
    <w:rsid w:val="003469F7"/>
    <w:rsid w:val="00351FEA"/>
    <w:rsid w:val="003531E5"/>
    <w:rsid w:val="00356A74"/>
    <w:rsid w:val="003570FE"/>
    <w:rsid w:val="003578CE"/>
    <w:rsid w:val="00357C73"/>
    <w:rsid w:val="0036057F"/>
    <w:rsid w:val="00360A83"/>
    <w:rsid w:val="003654FF"/>
    <w:rsid w:val="00366E02"/>
    <w:rsid w:val="00371B26"/>
    <w:rsid w:val="003745DF"/>
    <w:rsid w:val="00380A24"/>
    <w:rsid w:val="00381A17"/>
    <w:rsid w:val="00381D54"/>
    <w:rsid w:val="0038353F"/>
    <w:rsid w:val="00384058"/>
    <w:rsid w:val="00390822"/>
    <w:rsid w:val="00395CCB"/>
    <w:rsid w:val="00395F1B"/>
    <w:rsid w:val="003A26FB"/>
    <w:rsid w:val="003A5894"/>
    <w:rsid w:val="003A6A5B"/>
    <w:rsid w:val="003B1BD9"/>
    <w:rsid w:val="003B20BA"/>
    <w:rsid w:val="003B3400"/>
    <w:rsid w:val="003B44D1"/>
    <w:rsid w:val="003B6D57"/>
    <w:rsid w:val="003B6EC3"/>
    <w:rsid w:val="003B706B"/>
    <w:rsid w:val="003C0D21"/>
    <w:rsid w:val="003C1DBD"/>
    <w:rsid w:val="003C37DF"/>
    <w:rsid w:val="003C395D"/>
    <w:rsid w:val="003C489D"/>
    <w:rsid w:val="003D7A4D"/>
    <w:rsid w:val="003E26E0"/>
    <w:rsid w:val="003E678E"/>
    <w:rsid w:val="003F5630"/>
    <w:rsid w:val="003F5689"/>
    <w:rsid w:val="003F5C29"/>
    <w:rsid w:val="003F69A5"/>
    <w:rsid w:val="003F792F"/>
    <w:rsid w:val="00400032"/>
    <w:rsid w:val="00400B2B"/>
    <w:rsid w:val="00402F1D"/>
    <w:rsid w:val="00404EEB"/>
    <w:rsid w:val="004079F2"/>
    <w:rsid w:val="00407EA8"/>
    <w:rsid w:val="0041185E"/>
    <w:rsid w:val="00412DB2"/>
    <w:rsid w:val="00414CD4"/>
    <w:rsid w:val="00415CDD"/>
    <w:rsid w:val="00420FA9"/>
    <w:rsid w:val="00423564"/>
    <w:rsid w:val="00423B94"/>
    <w:rsid w:val="0042466D"/>
    <w:rsid w:val="004311B5"/>
    <w:rsid w:val="0043152C"/>
    <w:rsid w:val="00433099"/>
    <w:rsid w:val="00436345"/>
    <w:rsid w:val="004468CA"/>
    <w:rsid w:val="00452925"/>
    <w:rsid w:val="00453D62"/>
    <w:rsid w:val="00454DBD"/>
    <w:rsid w:val="00462C44"/>
    <w:rsid w:val="00464C19"/>
    <w:rsid w:val="00466BE8"/>
    <w:rsid w:val="00471B15"/>
    <w:rsid w:val="00475B91"/>
    <w:rsid w:val="004847F0"/>
    <w:rsid w:val="00484A83"/>
    <w:rsid w:val="004907D2"/>
    <w:rsid w:val="00495E1C"/>
    <w:rsid w:val="004A7ACA"/>
    <w:rsid w:val="004B0614"/>
    <w:rsid w:val="004C058C"/>
    <w:rsid w:val="004C104C"/>
    <w:rsid w:val="004C6C11"/>
    <w:rsid w:val="004D091C"/>
    <w:rsid w:val="004D2760"/>
    <w:rsid w:val="004D40FC"/>
    <w:rsid w:val="004D6B45"/>
    <w:rsid w:val="004D703A"/>
    <w:rsid w:val="004E03FB"/>
    <w:rsid w:val="004E16E1"/>
    <w:rsid w:val="004E3F60"/>
    <w:rsid w:val="004E645E"/>
    <w:rsid w:val="004E66CA"/>
    <w:rsid w:val="004E75EE"/>
    <w:rsid w:val="004F550E"/>
    <w:rsid w:val="004F627A"/>
    <w:rsid w:val="00505955"/>
    <w:rsid w:val="005062F4"/>
    <w:rsid w:val="00507F3F"/>
    <w:rsid w:val="0051123D"/>
    <w:rsid w:val="00512DB1"/>
    <w:rsid w:val="00514ED1"/>
    <w:rsid w:val="005162D9"/>
    <w:rsid w:val="00517304"/>
    <w:rsid w:val="00517E85"/>
    <w:rsid w:val="0052104B"/>
    <w:rsid w:val="00523BCB"/>
    <w:rsid w:val="0052536A"/>
    <w:rsid w:val="0052736C"/>
    <w:rsid w:val="005276FF"/>
    <w:rsid w:val="00533CB7"/>
    <w:rsid w:val="0053694A"/>
    <w:rsid w:val="005400ED"/>
    <w:rsid w:val="00542C0B"/>
    <w:rsid w:val="005472CA"/>
    <w:rsid w:val="0054792B"/>
    <w:rsid w:val="005516EF"/>
    <w:rsid w:val="0055291A"/>
    <w:rsid w:val="00562D10"/>
    <w:rsid w:val="00564466"/>
    <w:rsid w:val="005656C6"/>
    <w:rsid w:val="00566684"/>
    <w:rsid w:val="0056732B"/>
    <w:rsid w:val="005674E5"/>
    <w:rsid w:val="00567ABD"/>
    <w:rsid w:val="00572759"/>
    <w:rsid w:val="00572BFD"/>
    <w:rsid w:val="00572FF6"/>
    <w:rsid w:val="00574B2E"/>
    <w:rsid w:val="00575D5D"/>
    <w:rsid w:val="00576746"/>
    <w:rsid w:val="00581951"/>
    <w:rsid w:val="00584732"/>
    <w:rsid w:val="0059049D"/>
    <w:rsid w:val="005911C1"/>
    <w:rsid w:val="00596E5F"/>
    <w:rsid w:val="005977FE"/>
    <w:rsid w:val="005A1303"/>
    <w:rsid w:val="005B0452"/>
    <w:rsid w:val="005B3AF6"/>
    <w:rsid w:val="005B4A77"/>
    <w:rsid w:val="005B51B0"/>
    <w:rsid w:val="005B700E"/>
    <w:rsid w:val="005B712A"/>
    <w:rsid w:val="005C3501"/>
    <w:rsid w:val="005C3B3D"/>
    <w:rsid w:val="005C4C08"/>
    <w:rsid w:val="005C6530"/>
    <w:rsid w:val="005D0CB8"/>
    <w:rsid w:val="005D401F"/>
    <w:rsid w:val="005D4C80"/>
    <w:rsid w:val="005E3036"/>
    <w:rsid w:val="005E3093"/>
    <w:rsid w:val="005E444D"/>
    <w:rsid w:val="005F0494"/>
    <w:rsid w:val="005F0A52"/>
    <w:rsid w:val="005F124F"/>
    <w:rsid w:val="005F24C5"/>
    <w:rsid w:val="005F3832"/>
    <w:rsid w:val="005F64E0"/>
    <w:rsid w:val="005F65E9"/>
    <w:rsid w:val="005F67C3"/>
    <w:rsid w:val="005F67C7"/>
    <w:rsid w:val="005F7955"/>
    <w:rsid w:val="00607A65"/>
    <w:rsid w:val="00611F5E"/>
    <w:rsid w:val="00612085"/>
    <w:rsid w:val="00613BBB"/>
    <w:rsid w:val="006144D9"/>
    <w:rsid w:val="00617B43"/>
    <w:rsid w:val="00621CC7"/>
    <w:rsid w:val="0062268B"/>
    <w:rsid w:val="00624E76"/>
    <w:rsid w:val="00625747"/>
    <w:rsid w:val="00625F61"/>
    <w:rsid w:val="00626E57"/>
    <w:rsid w:val="00630ADB"/>
    <w:rsid w:val="006313B0"/>
    <w:rsid w:val="00631F54"/>
    <w:rsid w:val="006334C7"/>
    <w:rsid w:val="00635078"/>
    <w:rsid w:val="0064266F"/>
    <w:rsid w:val="00651F29"/>
    <w:rsid w:val="00654660"/>
    <w:rsid w:val="00654CDB"/>
    <w:rsid w:val="00660673"/>
    <w:rsid w:val="00671D70"/>
    <w:rsid w:val="00672EC5"/>
    <w:rsid w:val="006768EF"/>
    <w:rsid w:val="00680ED5"/>
    <w:rsid w:val="00685116"/>
    <w:rsid w:val="00692699"/>
    <w:rsid w:val="00693726"/>
    <w:rsid w:val="006952FC"/>
    <w:rsid w:val="006A1794"/>
    <w:rsid w:val="006B1207"/>
    <w:rsid w:val="006B2BBA"/>
    <w:rsid w:val="006B315E"/>
    <w:rsid w:val="006B3434"/>
    <w:rsid w:val="006B3902"/>
    <w:rsid w:val="006B5336"/>
    <w:rsid w:val="006B6426"/>
    <w:rsid w:val="006B7189"/>
    <w:rsid w:val="006C0F8C"/>
    <w:rsid w:val="006C358B"/>
    <w:rsid w:val="006C61CC"/>
    <w:rsid w:val="006C7898"/>
    <w:rsid w:val="006C7F6A"/>
    <w:rsid w:val="006D19CB"/>
    <w:rsid w:val="006D1CFC"/>
    <w:rsid w:val="006D2B99"/>
    <w:rsid w:val="006D3286"/>
    <w:rsid w:val="006D4547"/>
    <w:rsid w:val="006E07AA"/>
    <w:rsid w:val="006E2AF8"/>
    <w:rsid w:val="006E4668"/>
    <w:rsid w:val="006E53D7"/>
    <w:rsid w:val="006F083C"/>
    <w:rsid w:val="006F38CC"/>
    <w:rsid w:val="006F42C9"/>
    <w:rsid w:val="006F6074"/>
    <w:rsid w:val="007037C5"/>
    <w:rsid w:val="0071263E"/>
    <w:rsid w:val="00713E20"/>
    <w:rsid w:val="00715F0B"/>
    <w:rsid w:val="007163D9"/>
    <w:rsid w:val="00716829"/>
    <w:rsid w:val="00716D0D"/>
    <w:rsid w:val="007171E7"/>
    <w:rsid w:val="00722D14"/>
    <w:rsid w:val="00730B9D"/>
    <w:rsid w:val="00735AC7"/>
    <w:rsid w:val="0073700B"/>
    <w:rsid w:val="00737C2F"/>
    <w:rsid w:val="007417CD"/>
    <w:rsid w:val="00745963"/>
    <w:rsid w:val="00746827"/>
    <w:rsid w:val="007504DB"/>
    <w:rsid w:val="00750B40"/>
    <w:rsid w:val="00752271"/>
    <w:rsid w:val="00753760"/>
    <w:rsid w:val="00753A6F"/>
    <w:rsid w:val="00760CEF"/>
    <w:rsid w:val="00765728"/>
    <w:rsid w:val="00766113"/>
    <w:rsid w:val="0077196C"/>
    <w:rsid w:val="00777C04"/>
    <w:rsid w:val="0078182C"/>
    <w:rsid w:val="007829EA"/>
    <w:rsid w:val="00791645"/>
    <w:rsid w:val="00793074"/>
    <w:rsid w:val="0079338A"/>
    <w:rsid w:val="007937F8"/>
    <w:rsid w:val="00796EEB"/>
    <w:rsid w:val="00797A52"/>
    <w:rsid w:val="007A43E0"/>
    <w:rsid w:val="007B2DBD"/>
    <w:rsid w:val="007B47BA"/>
    <w:rsid w:val="007B55FA"/>
    <w:rsid w:val="007B5645"/>
    <w:rsid w:val="007C0434"/>
    <w:rsid w:val="007C410A"/>
    <w:rsid w:val="007D1134"/>
    <w:rsid w:val="007E10CE"/>
    <w:rsid w:val="007E3CD9"/>
    <w:rsid w:val="007E6D96"/>
    <w:rsid w:val="007E78D2"/>
    <w:rsid w:val="007F231C"/>
    <w:rsid w:val="007F5E77"/>
    <w:rsid w:val="008008C3"/>
    <w:rsid w:val="00800CEF"/>
    <w:rsid w:val="0080207B"/>
    <w:rsid w:val="0080490D"/>
    <w:rsid w:val="0080747C"/>
    <w:rsid w:val="008105BF"/>
    <w:rsid w:val="00811077"/>
    <w:rsid w:val="008124B0"/>
    <w:rsid w:val="00816E51"/>
    <w:rsid w:val="0083091C"/>
    <w:rsid w:val="0083126B"/>
    <w:rsid w:val="00834EBC"/>
    <w:rsid w:val="00835405"/>
    <w:rsid w:val="008367E5"/>
    <w:rsid w:val="00840B1A"/>
    <w:rsid w:val="008415BE"/>
    <w:rsid w:val="008419BC"/>
    <w:rsid w:val="00842A43"/>
    <w:rsid w:val="00842BF6"/>
    <w:rsid w:val="00844012"/>
    <w:rsid w:val="00846617"/>
    <w:rsid w:val="00850184"/>
    <w:rsid w:val="00850D6C"/>
    <w:rsid w:val="00856351"/>
    <w:rsid w:val="008616C3"/>
    <w:rsid w:val="008628DB"/>
    <w:rsid w:val="00867A8D"/>
    <w:rsid w:val="00870A37"/>
    <w:rsid w:val="00870F50"/>
    <w:rsid w:val="00874B37"/>
    <w:rsid w:val="00876E47"/>
    <w:rsid w:val="00877904"/>
    <w:rsid w:val="00877A5A"/>
    <w:rsid w:val="008800BF"/>
    <w:rsid w:val="008803D5"/>
    <w:rsid w:val="00884B55"/>
    <w:rsid w:val="00885A02"/>
    <w:rsid w:val="00886E8A"/>
    <w:rsid w:val="008979D4"/>
    <w:rsid w:val="008A028B"/>
    <w:rsid w:val="008A3776"/>
    <w:rsid w:val="008A4D62"/>
    <w:rsid w:val="008B0DBE"/>
    <w:rsid w:val="008B1FE1"/>
    <w:rsid w:val="008B648B"/>
    <w:rsid w:val="008C0086"/>
    <w:rsid w:val="008C4692"/>
    <w:rsid w:val="008D03E6"/>
    <w:rsid w:val="008D0D66"/>
    <w:rsid w:val="008D6774"/>
    <w:rsid w:val="008E0700"/>
    <w:rsid w:val="008E08F4"/>
    <w:rsid w:val="008E23E5"/>
    <w:rsid w:val="008E26A8"/>
    <w:rsid w:val="008E2D17"/>
    <w:rsid w:val="008E5BBD"/>
    <w:rsid w:val="008E5C0B"/>
    <w:rsid w:val="008F3B00"/>
    <w:rsid w:val="008F59E7"/>
    <w:rsid w:val="008F61FA"/>
    <w:rsid w:val="008F7616"/>
    <w:rsid w:val="00901DE4"/>
    <w:rsid w:val="009021B3"/>
    <w:rsid w:val="00905972"/>
    <w:rsid w:val="0091017E"/>
    <w:rsid w:val="00910705"/>
    <w:rsid w:val="00914256"/>
    <w:rsid w:val="00917797"/>
    <w:rsid w:val="00917E04"/>
    <w:rsid w:val="00931BAB"/>
    <w:rsid w:val="00932A8E"/>
    <w:rsid w:val="009344FA"/>
    <w:rsid w:val="00935056"/>
    <w:rsid w:val="00936AE0"/>
    <w:rsid w:val="00937990"/>
    <w:rsid w:val="00941331"/>
    <w:rsid w:val="00952760"/>
    <w:rsid w:val="00953654"/>
    <w:rsid w:val="009555AA"/>
    <w:rsid w:val="00955682"/>
    <w:rsid w:val="009612F2"/>
    <w:rsid w:val="00961744"/>
    <w:rsid w:val="009620F7"/>
    <w:rsid w:val="00963D6E"/>
    <w:rsid w:val="00964E82"/>
    <w:rsid w:val="00965BA5"/>
    <w:rsid w:val="009672C5"/>
    <w:rsid w:val="0097297C"/>
    <w:rsid w:val="00977380"/>
    <w:rsid w:val="009843E8"/>
    <w:rsid w:val="00985532"/>
    <w:rsid w:val="00987871"/>
    <w:rsid w:val="0099116B"/>
    <w:rsid w:val="0099141B"/>
    <w:rsid w:val="00992636"/>
    <w:rsid w:val="00993509"/>
    <w:rsid w:val="009960EE"/>
    <w:rsid w:val="009A0C3A"/>
    <w:rsid w:val="009A335D"/>
    <w:rsid w:val="009A7C78"/>
    <w:rsid w:val="009B198D"/>
    <w:rsid w:val="009B29EE"/>
    <w:rsid w:val="009B35B3"/>
    <w:rsid w:val="009C0BE6"/>
    <w:rsid w:val="009C631A"/>
    <w:rsid w:val="009C6901"/>
    <w:rsid w:val="009D0451"/>
    <w:rsid w:val="009D3D18"/>
    <w:rsid w:val="009D42C8"/>
    <w:rsid w:val="009D7400"/>
    <w:rsid w:val="009D79C2"/>
    <w:rsid w:val="009F1A6E"/>
    <w:rsid w:val="009F2643"/>
    <w:rsid w:val="009F69DF"/>
    <w:rsid w:val="00A0005F"/>
    <w:rsid w:val="00A00FE4"/>
    <w:rsid w:val="00A012F0"/>
    <w:rsid w:val="00A02411"/>
    <w:rsid w:val="00A03800"/>
    <w:rsid w:val="00A06EE6"/>
    <w:rsid w:val="00A06FE0"/>
    <w:rsid w:val="00A07D49"/>
    <w:rsid w:val="00A1091A"/>
    <w:rsid w:val="00A136FC"/>
    <w:rsid w:val="00A21ADD"/>
    <w:rsid w:val="00A21D7C"/>
    <w:rsid w:val="00A330CF"/>
    <w:rsid w:val="00A33168"/>
    <w:rsid w:val="00A37422"/>
    <w:rsid w:val="00A41099"/>
    <w:rsid w:val="00A423C3"/>
    <w:rsid w:val="00A50358"/>
    <w:rsid w:val="00A524F7"/>
    <w:rsid w:val="00A6044A"/>
    <w:rsid w:val="00A60ECB"/>
    <w:rsid w:val="00A637DF"/>
    <w:rsid w:val="00A6568E"/>
    <w:rsid w:val="00A658CC"/>
    <w:rsid w:val="00A679F1"/>
    <w:rsid w:val="00A701D0"/>
    <w:rsid w:val="00A708A0"/>
    <w:rsid w:val="00A745B1"/>
    <w:rsid w:val="00A756AD"/>
    <w:rsid w:val="00A7667F"/>
    <w:rsid w:val="00A808A6"/>
    <w:rsid w:val="00A82305"/>
    <w:rsid w:val="00A8344D"/>
    <w:rsid w:val="00A857B2"/>
    <w:rsid w:val="00A85888"/>
    <w:rsid w:val="00A85FAE"/>
    <w:rsid w:val="00A863BF"/>
    <w:rsid w:val="00A869F2"/>
    <w:rsid w:val="00A87C09"/>
    <w:rsid w:val="00AA6441"/>
    <w:rsid w:val="00AB2C1A"/>
    <w:rsid w:val="00AB4A3A"/>
    <w:rsid w:val="00AB58B5"/>
    <w:rsid w:val="00AB635D"/>
    <w:rsid w:val="00AC14B3"/>
    <w:rsid w:val="00AD0771"/>
    <w:rsid w:val="00AD3BF3"/>
    <w:rsid w:val="00AD41F9"/>
    <w:rsid w:val="00AD51B2"/>
    <w:rsid w:val="00AE0B6D"/>
    <w:rsid w:val="00AE18AB"/>
    <w:rsid w:val="00AE5985"/>
    <w:rsid w:val="00AE6529"/>
    <w:rsid w:val="00AF3017"/>
    <w:rsid w:val="00B103BF"/>
    <w:rsid w:val="00B106C2"/>
    <w:rsid w:val="00B11319"/>
    <w:rsid w:val="00B119D8"/>
    <w:rsid w:val="00B12680"/>
    <w:rsid w:val="00B13ECD"/>
    <w:rsid w:val="00B16EFA"/>
    <w:rsid w:val="00B27818"/>
    <w:rsid w:val="00B31C71"/>
    <w:rsid w:val="00B358C2"/>
    <w:rsid w:val="00B40CDF"/>
    <w:rsid w:val="00B46EC0"/>
    <w:rsid w:val="00B51E4D"/>
    <w:rsid w:val="00B544CF"/>
    <w:rsid w:val="00B56AD5"/>
    <w:rsid w:val="00B570DE"/>
    <w:rsid w:val="00B57AB9"/>
    <w:rsid w:val="00B61A6D"/>
    <w:rsid w:val="00B665A2"/>
    <w:rsid w:val="00B733F9"/>
    <w:rsid w:val="00B7346A"/>
    <w:rsid w:val="00B74918"/>
    <w:rsid w:val="00B84C54"/>
    <w:rsid w:val="00B90C63"/>
    <w:rsid w:val="00B9163C"/>
    <w:rsid w:val="00B92C25"/>
    <w:rsid w:val="00B9585C"/>
    <w:rsid w:val="00B97F68"/>
    <w:rsid w:val="00BA11E9"/>
    <w:rsid w:val="00BA3941"/>
    <w:rsid w:val="00BB015D"/>
    <w:rsid w:val="00BB1DE2"/>
    <w:rsid w:val="00BB4357"/>
    <w:rsid w:val="00BB5631"/>
    <w:rsid w:val="00BB6EE3"/>
    <w:rsid w:val="00BD174B"/>
    <w:rsid w:val="00BD1A23"/>
    <w:rsid w:val="00BD2E66"/>
    <w:rsid w:val="00BE05F2"/>
    <w:rsid w:val="00BE3817"/>
    <w:rsid w:val="00BE43A6"/>
    <w:rsid w:val="00BF09EB"/>
    <w:rsid w:val="00BF0C31"/>
    <w:rsid w:val="00BF0F6B"/>
    <w:rsid w:val="00BF0F9A"/>
    <w:rsid w:val="00BF1009"/>
    <w:rsid w:val="00BF3761"/>
    <w:rsid w:val="00BF5F8C"/>
    <w:rsid w:val="00C0132E"/>
    <w:rsid w:val="00C0215A"/>
    <w:rsid w:val="00C03E8F"/>
    <w:rsid w:val="00C0483D"/>
    <w:rsid w:val="00C07AE8"/>
    <w:rsid w:val="00C13917"/>
    <w:rsid w:val="00C142BC"/>
    <w:rsid w:val="00C15A3C"/>
    <w:rsid w:val="00C15C80"/>
    <w:rsid w:val="00C15D05"/>
    <w:rsid w:val="00C17FD7"/>
    <w:rsid w:val="00C21640"/>
    <w:rsid w:val="00C22B21"/>
    <w:rsid w:val="00C231D6"/>
    <w:rsid w:val="00C2499C"/>
    <w:rsid w:val="00C2595F"/>
    <w:rsid w:val="00C26664"/>
    <w:rsid w:val="00C31BE1"/>
    <w:rsid w:val="00C3235B"/>
    <w:rsid w:val="00C32C83"/>
    <w:rsid w:val="00C34A4B"/>
    <w:rsid w:val="00C35F28"/>
    <w:rsid w:val="00C4042C"/>
    <w:rsid w:val="00C46ABF"/>
    <w:rsid w:val="00C46E1B"/>
    <w:rsid w:val="00C56709"/>
    <w:rsid w:val="00C57053"/>
    <w:rsid w:val="00C6062E"/>
    <w:rsid w:val="00C62334"/>
    <w:rsid w:val="00C62D00"/>
    <w:rsid w:val="00C62DF2"/>
    <w:rsid w:val="00C667B4"/>
    <w:rsid w:val="00C72692"/>
    <w:rsid w:val="00C762B3"/>
    <w:rsid w:val="00C77D64"/>
    <w:rsid w:val="00C806C8"/>
    <w:rsid w:val="00C80DA4"/>
    <w:rsid w:val="00C829D0"/>
    <w:rsid w:val="00C8406A"/>
    <w:rsid w:val="00C860C1"/>
    <w:rsid w:val="00C909BA"/>
    <w:rsid w:val="00C90A4B"/>
    <w:rsid w:val="00C952DD"/>
    <w:rsid w:val="00C968DF"/>
    <w:rsid w:val="00C96A6C"/>
    <w:rsid w:val="00C97318"/>
    <w:rsid w:val="00CA45EC"/>
    <w:rsid w:val="00CB1CD4"/>
    <w:rsid w:val="00CB3CFD"/>
    <w:rsid w:val="00CB6C5F"/>
    <w:rsid w:val="00CB7410"/>
    <w:rsid w:val="00CC2639"/>
    <w:rsid w:val="00CC2ECB"/>
    <w:rsid w:val="00CC60FF"/>
    <w:rsid w:val="00CD08CF"/>
    <w:rsid w:val="00CD2F9C"/>
    <w:rsid w:val="00CD3992"/>
    <w:rsid w:val="00CD404A"/>
    <w:rsid w:val="00CD652D"/>
    <w:rsid w:val="00CD6FC1"/>
    <w:rsid w:val="00CD7F31"/>
    <w:rsid w:val="00CE4648"/>
    <w:rsid w:val="00CF0537"/>
    <w:rsid w:val="00CF44B2"/>
    <w:rsid w:val="00CF78DA"/>
    <w:rsid w:val="00D00F5C"/>
    <w:rsid w:val="00D06CEB"/>
    <w:rsid w:val="00D07350"/>
    <w:rsid w:val="00D0785F"/>
    <w:rsid w:val="00D10034"/>
    <w:rsid w:val="00D11CD6"/>
    <w:rsid w:val="00D12440"/>
    <w:rsid w:val="00D12B5B"/>
    <w:rsid w:val="00D12EDC"/>
    <w:rsid w:val="00D135E4"/>
    <w:rsid w:val="00D13C42"/>
    <w:rsid w:val="00D14A0E"/>
    <w:rsid w:val="00D16FB2"/>
    <w:rsid w:val="00D20A08"/>
    <w:rsid w:val="00D34A00"/>
    <w:rsid w:val="00D35E53"/>
    <w:rsid w:val="00D3693E"/>
    <w:rsid w:val="00D4167D"/>
    <w:rsid w:val="00D426C8"/>
    <w:rsid w:val="00D42C36"/>
    <w:rsid w:val="00D46226"/>
    <w:rsid w:val="00D47CDE"/>
    <w:rsid w:val="00D47D73"/>
    <w:rsid w:val="00D511A2"/>
    <w:rsid w:val="00D561C5"/>
    <w:rsid w:val="00D5627C"/>
    <w:rsid w:val="00D62751"/>
    <w:rsid w:val="00D62B6A"/>
    <w:rsid w:val="00D62C81"/>
    <w:rsid w:val="00D630F4"/>
    <w:rsid w:val="00D6341A"/>
    <w:rsid w:val="00D67994"/>
    <w:rsid w:val="00D72422"/>
    <w:rsid w:val="00D7424B"/>
    <w:rsid w:val="00D76650"/>
    <w:rsid w:val="00D8436A"/>
    <w:rsid w:val="00D86079"/>
    <w:rsid w:val="00D93E2B"/>
    <w:rsid w:val="00D94679"/>
    <w:rsid w:val="00D95139"/>
    <w:rsid w:val="00D95658"/>
    <w:rsid w:val="00DA21D0"/>
    <w:rsid w:val="00DA21EE"/>
    <w:rsid w:val="00DA459E"/>
    <w:rsid w:val="00DA63D1"/>
    <w:rsid w:val="00DB0FD3"/>
    <w:rsid w:val="00DB165F"/>
    <w:rsid w:val="00DC1074"/>
    <w:rsid w:val="00DC1672"/>
    <w:rsid w:val="00DC2665"/>
    <w:rsid w:val="00DC383A"/>
    <w:rsid w:val="00DC562C"/>
    <w:rsid w:val="00DC6488"/>
    <w:rsid w:val="00DC67E9"/>
    <w:rsid w:val="00DD4861"/>
    <w:rsid w:val="00DD5D80"/>
    <w:rsid w:val="00DD6380"/>
    <w:rsid w:val="00DD6F1C"/>
    <w:rsid w:val="00DE138E"/>
    <w:rsid w:val="00DE1664"/>
    <w:rsid w:val="00DE4C7D"/>
    <w:rsid w:val="00DE5112"/>
    <w:rsid w:val="00DE5547"/>
    <w:rsid w:val="00DE7B7E"/>
    <w:rsid w:val="00DF4630"/>
    <w:rsid w:val="00DF533E"/>
    <w:rsid w:val="00E0008F"/>
    <w:rsid w:val="00E00C85"/>
    <w:rsid w:val="00E05440"/>
    <w:rsid w:val="00E100CA"/>
    <w:rsid w:val="00E14019"/>
    <w:rsid w:val="00E1458F"/>
    <w:rsid w:val="00E1682C"/>
    <w:rsid w:val="00E17A34"/>
    <w:rsid w:val="00E24843"/>
    <w:rsid w:val="00E25254"/>
    <w:rsid w:val="00E31D50"/>
    <w:rsid w:val="00E33DB5"/>
    <w:rsid w:val="00E363E7"/>
    <w:rsid w:val="00E41246"/>
    <w:rsid w:val="00E41D5D"/>
    <w:rsid w:val="00E458E8"/>
    <w:rsid w:val="00E4785A"/>
    <w:rsid w:val="00E60149"/>
    <w:rsid w:val="00E624B2"/>
    <w:rsid w:val="00E63411"/>
    <w:rsid w:val="00E65E41"/>
    <w:rsid w:val="00E71F50"/>
    <w:rsid w:val="00E72091"/>
    <w:rsid w:val="00E74F5D"/>
    <w:rsid w:val="00E83829"/>
    <w:rsid w:val="00E83E06"/>
    <w:rsid w:val="00E86DB6"/>
    <w:rsid w:val="00E874CB"/>
    <w:rsid w:val="00E908AB"/>
    <w:rsid w:val="00E93479"/>
    <w:rsid w:val="00E94F0E"/>
    <w:rsid w:val="00EA011F"/>
    <w:rsid w:val="00EA0A10"/>
    <w:rsid w:val="00EA3233"/>
    <w:rsid w:val="00EA5CE9"/>
    <w:rsid w:val="00EB0B61"/>
    <w:rsid w:val="00EB4E2A"/>
    <w:rsid w:val="00EB58F9"/>
    <w:rsid w:val="00EB5E04"/>
    <w:rsid w:val="00EB6CC7"/>
    <w:rsid w:val="00EC2225"/>
    <w:rsid w:val="00EC44B2"/>
    <w:rsid w:val="00EC4DCC"/>
    <w:rsid w:val="00EC5F6E"/>
    <w:rsid w:val="00EC76EC"/>
    <w:rsid w:val="00ED1310"/>
    <w:rsid w:val="00ED2401"/>
    <w:rsid w:val="00EE0533"/>
    <w:rsid w:val="00EE1FBB"/>
    <w:rsid w:val="00EE4097"/>
    <w:rsid w:val="00EF463C"/>
    <w:rsid w:val="00EF76E0"/>
    <w:rsid w:val="00F02149"/>
    <w:rsid w:val="00F02157"/>
    <w:rsid w:val="00F04F9D"/>
    <w:rsid w:val="00F07AA4"/>
    <w:rsid w:val="00F108C6"/>
    <w:rsid w:val="00F11473"/>
    <w:rsid w:val="00F11EFC"/>
    <w:rsid w:val="00F130E3"/>
    <w:rsid w:val="00F14B52"/>
    <w:rsid w:val="00F15862"/>
    <w:rsid w:val="00F17ABA"/>
    <w:rsid w:val="00F25179"/>
    <w:rsid w:val="00F2530F"/>
    <w:rsid w:val="00F30ED0"/>
    <w:rsid w:val="00F370F2"/>
    <w:rsid w:val="00F42BDF"/>
    <w:rsid w:val="00F42CE5"/>
    <w:rsid w:val="00F51B15"/>
    <w:rsid w:val="00F531DE"/>
    <w:rsid w:val="00F53522"/>
    <w:rsid w:val="00F53A65"/>
    <w:rsid w:val="00F54EE0"/>
    <w:rsid w:val="00F573A4"/>
    <w:rsid w:val="00F5744F"/>
    <w:rsid w:val="00F621A4"/>
    <w:rsid w:val="00F64471"/>
    <w:rsid w:val="00F71A08"/>
    <w:rsid w:val="00F72FB0"/>
    <w:rsid w:val="00F7351F"/>
    <w:rsid w:val="00F756FD"/>
    <w:rsid w:val="00F76057"/>
    <w:rsid w:val="00F761ED"/>
    <w:rsid w:val="00F76E2E"/>
    <w:rsid w:val="00F77F3E"/>
    <w:rsid w:val="00F87103"/>
    <w:rsid w:val="00F87278"/>
    <w:rsid w:val="00F93EE0"/>
    <w:rsid w:val="00F9434B"/>
    <w:rsid w:val="00F9451B"/>
    <w:rsid w:val="00F949D1"/>
    <w:rsid w:val="00FA1139"/>
    <w:rsid w:val="00FA6790"/>
    <w:rsid w:val="00FA78D1"/>
    <w:rsid w:val="00FB01E8"/>
    <w:rsid w:val="00FB46C5"/>
    <w:rsid w:val="00FB4AAC"/>
    <w:rsid w:val="00FB4C92"/>
    <w:rsid w:val="00FB5981"/>
    <w:rsid w:val="00FC385C"/>
    <w:rsid w:val="00FD3DD8"/>
    <w:rsid w:val="00FE0A38"/>
    <w:rsid w:val="00FE22F8"/>
    <w:rsid w:val="00FE42CF"/>
    <w:rsid w:val="00FE489C"/>
    <w:rsid w:val="00FF3C7C"/>
    <w:rsid w:val="00FF57E9"/>
    <w:rsid w:val="00FF5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ibliography">
    <w:name w:val="Bibliography"/>
    <w:basedOn w:val="Normal"/>
    <w:next w:val="Normal"/>
    <w:uiPriority w:val="37"/>
    <w:unhideWhenUsed/>
    <w:rsid w:val="00CB6C5F"/>
    <w:pPr>
      <w:tabs>
        <w:tab w:val="left" w:pos="384"/>
      </w:tabs>
      <w:spacing w:after="0" w:line="240" w:lineRule="auto"/>
      <w:ind w:left="384" w:hanging="384"/>
    </w:pPr>
  </w:style>
  <w:style w:type="paragraph" w:styleId="EndnoteText">
    <w:name w:val="endnote text"/>
    <w:basedOn w:val="Normal"/>
    <w:link w:val="EndnoteTextChar"/>
    <w:uiPriority w:val="99"/>
    <w:semiHidden/>
    <w:unhideWhenUsed/>
    <w:rsid w:val="00060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054A"/>
    <w:rPr>
      <w:sz w:val="20"/>
      <w:szCs w:val="20"/>
    </w:rPr>
  </w:style>
  <w:style w:type="character" w:styleId="EndnoteReference">
    <w:name w:val="endnote reference"/>
    <w:basedOn w:val="DefaultParagraphFont"/>
    <w:uiPriority w:val="99"/>
    <w:semiHidden/>
    <w:unhideWhenUsed/>
    <w:rsid w:val="0006054A"/>
    <w:rPr>
      <w:vertAlign w:val="superscript"/>
    </w:rPr>
  </w:style>
  <w:style w:type="paragraph" w:styleId="Revision">
    <w:name w:val="Revision"/>
    <w:hidden/>
    <w:uiPriority w:val="99"/>
    <w:semiHidden/>
    <w:rsid w:val="00011306"/>
    <w:pPr>
      <w:spacing w:after="0" w:line="240" w:lineRule="auto"/>
    </w:pPr>
  </w:style>
  <w:style w:type="character" w:styleId="CommentReference">
    <w:name w:val="annotation reference"/>
    <w:basedOn w:val="DefaultParagraphFont"/>
    <w:uiPriority w:val="99"/>
    <w:semiHidden/>
    <w:unhideWhenUsed/>
    <w:rsid w:val="00877904"/>
    <w:rPr>
      <w:sz w:val="16"/>
      <w:szCs w:val="16"/>
    </w:rPr>
  </w:style>
  <w:style w:type="paragraph" w:styleId="CommentText">
    <w:name w:val="annotation text"/>
    <w:basedOn w:val="Normal"/>
    <w:link w:val="CommentTextChar"/>
    <w:uiPriority w:val="99"/>
    <w:unhideWhenUsed/>
    <w:rsid w:val="00877904"/>
    <w:pPr>
      <w:spacing w:line="240" w:lineRule="auto"/>
    </w:pPr>
    <w:rPr>
      <w:sz w:val="20"/>
      <w:szCs w:val="20"/>
    </w:rPr>
  </w:style>
  <w:style w:type="character" w:customStyle="1" w:styleId="CommentTextChar">
    <w:name w:val="Comment Text Char"/>
    <w:basedOn w:val="DefaultParagraphFont"/>
    <w:link w:val="CommentText"/>
    <w:uiPriority w:val="99"/>
    <w:rsid w:val="00877904"/>
    <w:rPr>
      <w:sz w:val="20"/>
      <w:szCs w:val="20"/>
    </w:rPr>
  </w:style>
  <w:style w:type="paragraph" w:styleId="CommentSubject">
    <w:name w:val="annotation subject"/>
    <w:basedOn w:val="CommentText"/>
    <w:next w:val="CommentText"/>
    <w:link w:val="CommentSubjectChar"/>
    <w:uiPriority w:val="99"/>
    <w:semiHidden/>
    <w:unhideWhenUsed/>
    <w:rsid w:val="00877904"/>
    <w:rPr>
      <w:b/>
      <w:bCs/>
    </w:rPr>
  </w:style>
  <w:style w:type="character" w:customStyle="1" w:styleId="CommentSubjectChar">
    <w:name w:val="Comment Subject Char"/>
    <w:basedOn w:val="CommentTextChar"/>
    <w:link w:val="CommentSubject"/>
    <w:uiPriority w:val="99"/>
    <w:semiHidden/>
    <w:rsid w:val="00877904"/>
    <w:rPr>
      <w:b/>
      <w:bCs/>
      <w:sz w:val="20"/>
      <w:szCs w:val="20"/>
    </w:rPr>
  </w:style>
  <w:style w:type="table" w:styleId="GridTable4-Accent5">
    <w:name w:val="Grid Table 4 Accent 5"/>
    <w:basedOn w:val="TableNormal"/>
    <w:uiPriority w:val="49"/>
    <w:rsid w:val="00F5744F"/>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paragraph" w:styleId="Header">
    <w:name w:val="header"/>
    <w:basedOn w:val="Normal"/>
    <w:link w:val="HeaderChar"/>
    <w:uiPriority w:val="99"/>
    <w:unhideWhenUsed/>
    <w:rsid w:val="00182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959"/>
  </w:style>
  <w:style w:type="paragraph" w:styleId="Footer">
    <w:name w:val="footer"/>
    <w:basedOn w:val="Normal"/>
    <w:link w:val="FooterChar"/>
    <w:uiPriority w:val="99"/>
    <w:unhideWhenUsed/>
    <w:rsid w:val="00182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959"/>
  </w:style>
  <w:style w:type="character" w:styleId="UnresolvedMention">
    <w:name w:val="Unresolved Mention"/>
    <w:basedOn w:val="DefaultParagraphFont"/>
    <w:uiPriority w:val="99"/>
    <w:semiHidden/>
    <w:unhideWhenUsed/>
    <w:rsid w:val="00846617"/>
    <w:rPr>
      <w:color w:val="605E5C"/>
      <w:shd w:val="clear" w:color="auto" w:fill="E1DFDD"/>
    </w:rPr>
  </w:style>
  <w:style w:type="character" w:customStyle="1" w:styleId="title-text">
    <w:name w:val="title-text"/>
    <w:basedOn w:val="DefaultParagraphFont"/>
    <w:rsid w:val="00884B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175514">
      <w:bodyDiv w:val="1"/>
      <w:marLeft w:val="0"/>
      <w:marRight w:val="0"/>
      <w:marTop w:val="0"/>
      <w:marBottom w:val="0"/>
      <w:divBdr>
        <w:top w:val="none" w:sz="0" w:space="0" w:color="auto"/>
        <w:left w:val="none" w:sz="0" w:space="0" w:color="auto"/>
        <w:bottom w:val="none" w:sz="0" w:space="0" w:color="auto"/>
        <w:right w:val="none" w:sz="0" w:space="0" w:color="auto"/>
      </w:divBdr>
    </w:div>
    <w:div w:id="188642295">
      <w:bodyDiv w:val="1"/>
      <w:marLeft w:val="0"/>
      <w:marRight w:val="0"/>
      <w:marTop w:val="0"/>
      <w:marBottom w:val="0"/>
      <w:divBdr>
        <w:top w:val="none" w:sz="0" w:space="0" w:color="auto"/>
        <w:left w:val="none" w:sz="0" w:space="0" w:color="auto"/>
        <w:bottom w:val="none" w:sz="0" w:space="0" w:color="auto"/>
        <w:right w:val="none" w:sz="0" w:space="0" w:color="auto"/>
      </w:divBdr>
    </w:div>
    <w:div w:id="226304240">
      <w:bodyDiv w:val="1"/>
      <w:marLeft w:val="0"/>
      <w:marRight w:val="0"/>
      <w:marTop w:val="0"/>
      <w:marBottom w:val="0"/>
      <w:divBdr>
        <w:top w:val="none" w:sz="0" w:space="0" w:color="auto"/>
        <w:left w:val="none" w:sz="0" w:space="0" w:color="auto"/>
        <w:bottom w:val="none" w:sz="0" w:space="0" w:color="auto"/>
        <w:right w:val="none" w:sz="0" w:space="0" w:color="auto"/>
      </w:divBdr>
    </w:div>
    <w:div w:id="771047855">
      <w:bodyDiv w:val="1"/>
      <w:marLeft w:val="0"/>
      <w:marRight w:val="0"/>
      <w:marTop w:val="0"/>
      <w:marBottom w:val="0"/>
      <w:divBdr>
        <w:top w:val="none" w:sz="0" w:space="0" w:color="auto"/>
        <w:left w:val="none" w:sz="0" w:space="0" w:color="auto"/>
        <w:bottom w:val="none" w:sz="0" w:space="0" w:color="auto"/>
        <w:right w:val="none" w:sz="0" w:space="0" w:color="auto"/>
      </w:divBdr>
    </w:div>
    <w:div w:id="799423495">
      <w:bodyDiv w:val="1"/>
      <w:marLeft w:val="0"/>
      <w:marRight w:val="0"/>
      <w:marTop w:val="0"/>
      <w:marBottom w:val="0"/>
      <w:divBdr>
        <w:top w:val="none" w:sz="0" w:space="0" w:color="auto"/>
        <w:left w:val="none" w:sz="0" w:space="0" w:color="auto"/>
        <w:bottom w:val="none" w:sz="0" w:space="0" w:color="auto"/>
        <w:right w:val="none" w:sz="0" w:space="0" w:color="auto"/>
      </w:divBdr>
    </w:div>
    <w:div w:id="921334562">
      <w:bodyDiv w:val="1"/>
      <w:marLeft w:val="0"/>
      <w:marRight w:val="0"/>
      <w:marTop w:val="0"/>
      <w:marBottom w:val="0"/>
      <w:divBdr>
        <w:top w:val="none" w:sz="0" w:space="0" w:color="auto"/>
        <w:left w:val="none" w:sz="0" w:space="0" w:color="auto"/>
        <w:bottom w:val="none" w:sz="0" w:space="0" w:color="auto"/>
        <w:right w:val="none" w:sz="0" w:space="0" w:color="auto"/>
      </w:divBdr>
    </w:div>
    <w:div w:id="981807489">
      <w:bodyDiv w:val="1"/>
      <w:marLeft w:val="0"/>
      <w:marRight w:val="0"/>
      <w:marTop w:val="0"/>
      <w:marBottom w:val="0"/>
      <w:divBdr>
        <w:top w:val="none" w:sz="0" w:space="0" w:color="auto"/>
        <w:left w:val="none" w:sz="0" w:space="0" w:color="auto"/>
        <w:bottom w:val="none" w:sz="0" w:space="0" w:color="auto"/>
        <w:right w:val="none" w:sz="0" w:space="0" w:color="auto"/>
      </w:divBdr>
    </w:div>
    <w:div w:id="1023048080">
      <w:bodyDiv w:val="1"/>
      <w:marLeft w:val="0"/>
      <w:marRight w:val="0"/>
      <w:marTop w:val="0"/>
      <w:marBottom w:val="0"/>
      <w:divBdr>
        <w:top w:val="none" w:sz="0" w:space="0" w:color="auto"/>
        <w:left w:val="none" w:sz="0" w:space="0" w:color="auto"/>
        <w:bottom w:val="none" w:sz="0" w:space="0" w:color="auto"/>
        <w:right w:val="none" w:sz="0" w:space="0" w:color="auto"/>
      </w:divBdr>
    </w:div>
    <w:div w:id="1558857258">
      <w:bodyDiv w:val="1"/>
      <w:marLeft w:val="0"/>
      <w:marRight w:val="0"/>
      <w:marTop w:val="0"/>
      <w:marBottom w:val="0"/>
      <w:divBdr>
        <w:top w:val="none" w:sz="0" w:space="0" w:color="auto"/>
        <w:left w:val="none" w:sz="0" w:space="0" w:color="auto"/>
        <w:bottom w:val="none" w:sz="0" w:space="0" w:color="auto"/>
        <w:right w:val="none" w:sz="0" w:space="0" w:color="auto"/>
      </w:divBdr>
    </w:div>
    <w:div w:id="1641690026">
      <w:bodyDiv w:val="1"/>
      <w:marLeft w:val="0"/>
      <w:marRight w:val="0"/>
      <w:marTop w:val="0"/>
      <w:marBottom w:val="0"/>
      <w:divBdr>
        <w:top w:val="none" w:sz="0" w:space="0" w:color="auto"/>
        <w:left w:val="none" w:sz="0" w:space="0" w:color="auto"/>
        <w:bottom w:val="none" w:sz="0" w:space="0" w:color="auto"/>
        <w:right w:val="none" w:sz="0" w:space="0" w:color="auto"/>
      </w:divBdr>
    </w:div>
    <w:div w:id="1898589893">
      <w:bodyDiv w:val="1"/>
      <w:marLeft w:val="0"/>
      <w:marRight w:val="0"/>
      <w:marTop w:val="0"/>
      <w:marBottom w:val="0"/>
      <w:divBdr>
        <w:top w:val="none" w:sz="0" w:space="0" w:color="auto"/>
        <w:left w:val="none" w:sz="0" w:space="0" w:color="auto"/>
        <w:bottom w:val="none" w:sz="0" w:space="0" w:color="auto"/>
        <w:right w:val="none" w:sz="0" w:space="0" w:color="auto"/>
      </w:divBdr>
    </w:div>
    <w:div w:id="2014868561">
      <w:bodyDiv w:val="1"/>
      <w:marLeft w:val="0"/>
      <w:marRight w:val="0"/>
      <w:marTop w:val="0"/>
      <w:marBottom w:val="0"/>
      <w:divBdr>
        <w:top w:val="none" w:sz="0" w:space="0" w:color="auto"/>
        <w:left w:val="none" w:sz="0" w:space="0" w:color="auto"/>
        <w:bottom w:val="none" w:sz="0" w:space="0" w:color="auto"/>
        <w:right w:val="none" w:sz="0" w:space="0" w:color="auto"/>
      </w:divBdr>
    </w:div>
    <w:div w:id="2063819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f12689ea643b87bc/2024_electricity_trade_paper/data/imports%20high%20net%20loads%20diff%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1740729115966212E-2"/>
          <c:y val="3.7497070541363954E-2"/>
          <c:w val="0.8531581732526069"/>
          <c:h val="0.79225072844333644"/>
        </c:manualLayout>
      </c:layout>
      <c:barChart>
        <c:barDir val="bar"/>
        <c:grouping val="clustered"/>
        <c:varyColors val="0"/>
        <c:ser>
          <c:idx val="0"/>
          <c:order val="0"/>
          <c:spPr>
            <a:solidFill>
              <a:schemeClr val="accent1"/>
            </a:solidFill>
            <a:ln>
              <a:noFill/>
            </a:ln>
            <a:effectLst/>
          </c:spPr>
          <c:invertIfNegative val="0"/>
          <c:val>
            <c:numRef>
              <c:f>'[imports high net loads diff chart.xlsx]Sheet1'!$A$1:$A$46</c:f>
              <c:numCache>
                <c:formatCode>General</c:formatCode>
                <c:ptCount val="46"/>
                <c:pt idx="0">
                  <c:v>-9.3029925985211009E-2</c:v>
                </c:pt>
                <c:pt idx="1">
                  <c:v>-9.0441947824400959E-2</c:v>
                </c:pt>
                <c:pt idx="2">
                  <c:v>-8.7558919415611197E-2</c:v>
                </c:pt>
                <c:pt idx="3">
                  <c:v>-6.8084611651578031E-2</c:v>
                </c:pt>
                <c:pt idx="4">
                  <c:v>-4.8165272084470745E-2</c:v>
                </c:pt>
                <c:pt idx="5">
                  <c:v>-4.500389055267201E-2</c:v>
                </c:pt>
                <c:pt idx="6">
                  <c:v>-4.0065557966371013E-2</c:v>
                </c:pt>
                <c:pt idx="7">
                  <c:v>-3.8997804140042003E-2</c:v>
                </c:pt>
                <c:pt idx="8">
                  <c:v>-2.7496468845527977E-2</c:v>
                </c:pt>
                <c:pt idx="9">
                  <c:v>-2.7373185495583013E-2</c:v>
                </c:pt>
                <c:pt idx="10">
                  <c:v>-2.2131290823931005E-2</c:v>
                </c:pt>
                <c:pt idx="11">
                  <c:v>-1.9082834829216022E-2</c:v>
                </c:pt>
                <c:pt idx="12">
                  <c:v>-1.5694833929185997E-2</c:v>
                </c:pt>
                <c:pt idx="13">
                  <c:v>-1.1113185109222301E-2</c:v>
                </c:pt>
                <c:pt idx="14">
                  <c:v>-1.0105844587596099E-2</c:v>
                </c:pt>
                <c:pt idx="15">
                  <c:v>-8.534988572644106E-3</c:v>
                </c:pt>
                <c:pt idx="16">
                  <c:v>-7.4730627201880229E-3</c:v>
                </c:pt>
                <c:pt idx="17">
                  <c:v>-7.2144178256198024E-3</c:v>
                </c:pt>
                <c:pt idx="18">
                  <c:v>-6.8143841699245195E-3</c:v>
                </c:pt>
                <c:pt idx="19">
                  <c:v>-6.1294136205333203E-3</c:v>
                </c:pt>
                <c:pt idx="20">
                  <c:v>-3.7280141302831605E-3</c:v>
                </c:pt>
                <c:pt idx="21">
                  <c:v>-4.5310648461817024E-4</c:v>
                </c:pt>
                <c:pt idx="22">
                  <c:v>0</c:v>
                </c:pt>
                <c:pt idx="23">
                  <c:v>8.4600076650470472E-5</c:v>
                </c:pt>
                <c:pt idx="24">
                  <c:v>3.9979125419556004E-4</c:v>
                </c:pt>
                <c:pt idx="25">
                  <c:v>2.0263092739873268E-3</c:v>
                </c:pt>
                <c:pt idx="26">
                  <c:v>3.8647259521840116E-3</c:v>
                </c:pt>
                <c:pt idx="27">
                  <c:v>5.6020787323675702E-3</c:v>
                </c:pt>
                <c:pt idx="28">
                  <c:v>6.4715594873323984E-3</c:v>
                </c:pt>
                <c:pt idx="29">
                  <c:v>9.0007505900170197E-3</c:v>
                </c:pt>
                <c:pt idx="30">
                  <c:v>1.2799576994782801E-2</c:v>
                </c:pt>
                <c:pt idx="31">
                  <c:v>1.6946347792240996E-2</c:v>
                </c:pt>
                <c:pt idx="32">
                  <c:v>3.6977239875204196E-2</c:v>
                </c:pt>
                <c:pt idx="33">
                  <c:v>4.00982794396346E-2</c:v>
                </c:pt>
                <c:pt idx="34">
                  <c:v>4.1402820052267399E-2</c:v>
                </c:pt>
                <c:pt idx="35">
                  <c:v>7.9176096468485085E-2</c:v>
                </c:pt>
                <c:pt idx="36">
                  <c:v>8.1730463264193032E-2</c:v>
                </c:pt>
                <c:pt idx="37">
                  <c:v>8.2873063601802022E-2</c:v>
                </c:pt>
                <c:pt idx="38">
                  <c:v>9.0103125216822011E-2</c:v>
                </c:pt>
                <c:pt idx="39">
                  <c:v>9.6423023916013983E-2</c:v>
                </c:pt>
                <c:pt idx="40">
                  <c:v>9.9250388901354986E-2</c:v>
                </c:pt>
                <c:pt idx="41">
                  <c:v>0.10204662942904399</c:v>
                </c:pt>
                <c:pt idx="42">
                  <c:v>0.11046059019960329</c:v>
                </c:pt>
                <c:pt idx="43">
                  <c:v>0.14216534944320397</c:v>
                </c:pt>
              </c:numCache>
            </c:numRef>
          </c:val>
          <c:extLst>
            <c:ext xmlns:c16="http://schemas.microsoft.com/office/drawing/2014/chart" uri="{C3380CC4-5D6E-409C-BE32-E72D297353CC}">
              <c16:uniqueId val="{00000000-B992-446F-8978-C8D67179563D}"/>
            </c:ext>
          </c:extLst>
        </c:ser>
        <c:dLbls>
          <c:showLegendKey val="0"/>
          <c:showVal val="0"/>
          <c:showCatName val="0"/>
          <c:showSerName val="0"/>
          <c:showPercent val="0"/>
          <c:showBubbleSize val="0"/>
        </c:dLbls>
        <c:gapWidth val="99"/>
        <c:axId val="1881208527"/>
        <c:axId val="1881209007"/>
      </c:barChart>
      <c:catAx>
        <c:axId val="1881208527"/>
        <c:scaling>
          <c:orientation val="minMax"/>
        </c:scaling>
        <c:delete val="1"/>
        <c:axPos val="l"/>
        <c:numFmt formatCode="General" sourceLinked="1"/>
        <c:majorTickMark val="none"/>
        <c:minorTickMark val="none"/>
        <c:tickLblPos val="nextTo"/>
        <c:crossAx val="1881209007"/>
        <c:crosses val="autoZero"/>
        <c:auto val="1"/>
        <c:lblAlgn val="ctr"/>
        <c:lblOffset val="100"/>
        <c:noMultiLvlLbl val="0"/>
      </c:catAx>
      <c:valAx>
        <c:axId val="1881209007"/>
        <c:scaling>
          <c:orientation val="minMax"/>
          <c:max val="0.15000000000000002"/>
          <c:min val="-0.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a:t>Difference in Import Share</a:t>
                </a:r>
              </a:p>
            </c:rich>
          </c:tx>
          <c:layout>
            <c:manualLayout>
              <c:xMode val="edge"/>
              <c:yMode val="edge"/>
              <c:x val="0.26889559082411058"/>
              <c:y val="0.90529627668114021"/>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88120852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8B69-7801-407A-946A-67BCBB8D6897}">
  <we:reference id="wa104382081" version="1.55.1.0" store="en-US" storeType="OMEX"/>
  <we:alternateReferences>
    <we:reference id="wa104382081" version="1.55.1.0" store="" storeType="OMEX"/>
  </we:alternateReferences>
  <we:properties>
    <we:property name="MENDELEY_CITATIONS" value="[{&quot;citationID&quot;:&quot;MENDELEY_CITATION_55b44e44-65e6-4d62-8b09-3208cc49b594&quot;,&quot;properties&quot;:{&quot;noteIndex&quot;:0},&quot;isEdited&quot;:false,&quot;manualOverride&quot;:{&quot;isManuallyOverridden&quot;:false,&quot;citeprocText&quot;:&quot;[1]&quot;,&quot;manualOverrideText&quot;:&quot;&quot;},&quot;citationTag&quot;:&quot;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quot;,&quot;citationItems&quot;:[{&quot;id&quot;:&quot;e9055982-bc99-3749-9bb3-50f9349428c2&quot;,&quot;itemData&quot;:{&quot;type&quot;:&quot;article-journal&quot;,&quot;id&quot;:&quot;e9055982-bc99-3749-9bb3-50f9349428c2&quot;,&quot;title&quot;:&quot;The Measurement of Species Diversity Robert K. Peet Annual Review of Ecology and Systematics , Vol. 5. (1974), pp. 285-307.&quot;,&quot;author&quot;:[{&quot;family&quot;:&quot;Peet, Robert&quot;,&quot;given&quot;:&quot;K.&quot;,&quot;parse-names&quot;:false,&quot;dropping-particle&quot;:&quot;&quot;,&quot;non-dropping-particle&quot;:&quot;&quot;}],&quot;container-title&quot;:&quot;Annual Review of Ecology and Systematics&quot;,&quot;container-title-short&quot;:&quot;Annu Rev Ecol Syst&quot;,&quot;issued&quot;:{&quot;date-parts&quot;:[[1974]]},&quot;abstract&quot;:&quot;Inspired significantly by the provocative papers of MacArthur (34, 35, 38) and Hutchinson (22), ecologists over the past twenty years have devoted considerable energy to the explanation of patterns of diversity in ecologic systems. Despite considerable interest, however, no generally accepted definition of diversity has emerged. \&quot;Diversity per se does not exist,\&quot; was the contention of Hurlbert (20), who suggested abandoning the term because of the multiplicity of meanings and interpre- tations attached to it. MacArthur (37) also considered the term had outlived its usefulness, and Eberhardt (10), Austin (2), and McIntosh (40) all complained of the lack of a definition. Eberhardt considered that diversity \&quot;mostly suggests a consider- able confusion of concepts, definitions, models, and measures (or indices).\&quot; If diver- sity is to continue toplay a productive role in ecological investigations, agreement is needed on the definitions of the many constituent concepts included in its current application. At the community level of synthesis many phenomena are complex and open to multiple interpretation. Consequently, many authors have suggested diversity in- dices appropriate for their own studies, no one of which can be considered a priori correct for general application (12, 19, 20, 32, 40). Diversity, in essence, has always been defined by the indices used to measure it, and this has not fostered the sort of uniformity which allows the clear statement of ideas and hypotheses. Progress in ecology, as in all science, depends upon precise and unambiguous definition of terms and concepts (2, 40, 44). The present contribution attempts to define in a precise, but still generalized manner, what is or should be meant by the many terms sur- rounding the concept-cluster diversity. Guidelines are also suggested for the applica- tion of the many available diversity indice&quot;,&quot;volume&quot;:&quot;5&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20110</Words>
  <Characters>114627</Characters>
  <Application>Microsoft Office Word</Application>
  <DocSecurity>0</DocSecurity>
  <Lines>955</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Steven Dahlke</cp:lastModifiedBy>
  <cp:revision>3</cp:revision>
  <cp:lastPrinted>2024-11-28T05:18:00Z</cp:lastPrinted>
  <dcterms:created xsi:type="dcterms:W3CDTF">2024-11-28T05:17:00Z</dcterms:created>
  <dcterms:modified xsi:type="dcterms:W3CDTF">2024-11-28T05:18:00Z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id="x7MRWXIR"/&gt;&lt;style id="http://www.zotero.org/styles/applied-energy" hasBibliography="1" bibliographyStyleHasBeenSet="1"/&gt;&lt;prefs&gt;&lt;pref name="fieldType" value="Field"/&gt;&lt;/prefs&gt;&lt;/data&gt;</vt:lpwstr>
  </property>
</Properties>
</file>