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41AE4C" w14:textId="77777777" w:rsidR="00611F5E" w:rsidRDefault="00164B3C">
      <w:pPr>
        <w:pStyle w:val="Heading1"/>
      </w:pPr>
      <w:r>
        <w:t>Next Steps</w:t>
      </w:r>
    </w:p>
    <w:p w14:paraId="2D36E73B" w14:textId="69CA721F" w:rsidR="00D07350" w:rsidRDefault="00D07350">
      <w:r>
        <w:t>Read diversity index references</w:t>
      </w:r>
      <w:r w:rsidR="000F685F">
        <w:t xml:space="preserve"> in that footnote</w:t>
      </w:r>
      <w:r w:rsidR="00753760">
        <w:t xml:space="preserve"> below the diversity map</w:t>
      </w:r>
      <w:r>
        <w:t>.</w:t>
      </w:r>
    </w:p>
    <w:p w14:paraId="3DB0B6A5" w14:textId="730BF806" w:rsidR="00164B3C" w:rsidRDefault="008124B0">
      <w:r>
        <w:t>Fix footnote formatting</w:t>
      </w:r>
      <w:r w:rsidR="00D561C5">
        <w:t xml:space="preserve"> under Shannon Index</w:t>
      </w:r>
      <w:r w:rsidR="00133BDB">
        <w:t>, do the derivation, and develop more text to explain Shannon Diversity index</w:t>
      </w:r>
      <w:r w:rsidR="003E678E">
        <w:t>. Goal of this is to better understand the index mathematically.</w:t>
      </w:r>
    </w:p>
    <w:p w14:paraId="7B496DE5" w14:textId="3CDE7263" w:rsidR="00611F5E" w:rsidRDefault="00164B3C">
      <w:r>
        <w:t>Consider counting # of HV connections (and incorporate voltage ratings of each connection) to neighbors by BA (from HILFD network data overlain with BA shapefile?)</w:t>
      </w:r>
    </w:p>
    <w:p w14:paraId="4B09D796" w14:textId="77777777" w:rsidR="00611F5E" w:rsidRDefault="00164B3C">
      <w:r>
        <w:t>Come up with a way to analyze import availability during extreme periods (e.g. highest net load period) by BA.</w:t>
      </w:r>
    </w:p>
    <w:p w14:paraId="53A076D3" w14:textId="77777777" w:rsidR="00611F5E" w:rsidRDefault="00164B3C">
      <w:r>
        <w:t>Do a generic broad analysis on import dependency during highest net load periods</w:t>
      </w:r>
    </w:p>
    <w:p w14:paraId="4DFB549E" w14:textId="77777777" w:rsidR="00611F5E" w:rsidRDefault="00164B3C">
      <w:pPr>
        <w:spacing w:after="0"/>
      </w:pPr>
      <w:r>
        <w:t xml:space="preserve">Do a case-study approach that looks at import performance etc during selected extreme events in certain BAs </w:t>
      </w:r>
    </w:p>
    <w:p w14:paraId="3DEA14AE" w14:textId="77777777" w:rsidR="00611F5E" w:rsidRDefault="00164B3C">
      <w:pPr>
        <w:numPr>
          <w:ilvl w:val="0"/>
          <w:numId w:val="3"/>
        </w:numPr>
        <w:pBdr>
          <w:top w:val="nil"/>
          <w:left w:val="nil"/>
          <w:bottom w:val="nil"/>
          <w:right w:val="nil"/>
          <w:between w:val="nil"/>
        </w:pBdr>
        <w:spacing w:after="0"/>
      </w:pPr>
      <w:r>
        <w:rPr>
          <w:color w:val="000000"/>
        </w:rPr>
        <w:t>Winter Storm Uri in Texas</w:t>
      </w:r>
    </w:p>
    <w:p w14:paraId="58282489" w14:textId="77777777" w:rsidR="00611F5E" w:rsidRDefault="00164B3C">
      <w:pPr>
        <w:numPr>
          <w:ilvl w:val="0"/>
          <w:numId w:val="3"/>
        </w:numPr>
        <w:pBdr>
          <w:top w:val="nil"/>
          <w:left w:val="nil"/>
          <w:bottom w:val="nil"/>
          <w:right w:val="nil"/>
          <w:between w:val="nil"/>
        </w:pBdr>
        <w:spacing w:after="0"/>
      </w:pPr>
      <w:r>
        <w:rPr>
          <w:color w:val="000000"/>
        </w:rPr>
        <w:t>As the events of August 2020 in California and February 2021 in Texas demonstrate, supply shortfalls can have large economic and public health consequences</w:t>
      </w:r>
    </w:p>
    <w:p w14:paraId="170E86FF" w14:textId="77777777" w:rsidR="00611F5E" w:rsidRDefault="00164B3C">
      <w:pPr>
        <w:pStyle w:val="Heading1"/>
      </w:pPr>
      <w:r>
        <w:t>Introduction</w:t>
      </w:r>
    </w:p>
    <w:p w14:paraId="235D9558" w14:textId="77777777" w:rsidR="00611F5E" w:rsidRDefault="00164B3C">
      <w:pPr>
        <w:numPr>
          <w:ilvl w:val="0"/>
          <w:numId w:val="3"/>
        </w:numPr>
        <w:pBdr>
          <w:top w:val="nil"/>
          <w:left w:val="nil"/>
          <w:bottom w:val="nil"/>
          <w:right w:val="nil"/>
          <w:between w:val="nil"/>
        </w:pBdr>
        <w:spacing w:after="0"/>
      </w:pPr>
      <w:r>
        <w:rPr>
          <w:color w:val="000000"/>
        </w:rPr>
        <w:t>Explain how reliability has become more of a concern today than it historically has been.</w:t>
      </w:r>
    </w:p>
    <w:p w14:paraId="583706FE" w14:textId="39CA3C06" w:rsidR="00611F5E" w:rsidRDefault="00164B3C">
      <w:pPr>
        <w:numPr>
          <w:ilvl w:val="1"/>
          <w:numId w:val="3"/>
        </w:numPr>
        <w:pBdr>
          <w:top w:val="nil"/>
          <w:left w:val="nil"/>
          <w:bottom w:val="nil"/>
          <w:right w:val="nil"/>
          <w:between w:val="nil"/>
        </w:pBdr>
        <w:spacing w:after="0"/>
      </w:pPr>
      <w:r>
        <w:rPr>
          <w:color w:val="000000"/>
        </w:rPr>
        <w:t xml:space="preserve">Today’s system: increasing variable supply like wind and solar and Retiring </w:t>
      </w:r>
      <w:r w:rsidR="00E4785A">
        <w:rPr>
          <w:color w:val="000000"/>
        </w:rPr>
        <w:t>conventional</w:t>
      </w:r>
      <w:r>
        <w:rPr>
          <w:color w:val="000000"/>
        </w:rPr>
        <w:t xml:space="preserve"> generation.</w:t>
      </w:r>
    </w:p>
    <w:p w14:paraId="521416B0" w14:textId="77777777" w:rsidR="00611F5E" w:rsidRDefault="00164B3C">
      <w:pPr>
        <w:numPr>
          <w:ilvl w:val="1"/>
          <w:numId w:val="3"/>
        </w:numPr>
        <w:pBdr>
          <w:top w:val="nil"/>
          <w:left w:val="nil"/>
          <w:bottom w:val="nil"/>
          <w:right w:val="nil"/>
          <w:between w:val="nil"/>
        </w:pBdr>
        <w:spacing w:after="0"/>
      </w:pPr>
      <w:r>
        <w:rPr>
          <w:color w:val="000000"/>
        </w:rPr>
        <w:t>Electrification and demand growth</w:t>
      </w:r>
    </w:p>
    <w:p w14:paraId="67B744A9" w14:textId="77777777" w:rsidR="00611F5E" w:rsidRDefault="00164B3C">
      <w:pPr>
        <w:numPr>
          <w:ilvl w:val="1"/>
          <w:numId w:val="3"/>
        </w:numPr>
        <w:pBdr>
          <w:top w:val="nil"/>
          <w:left w:val="nil"/>
          <w:bottom w:val="nil"/>
          <w:right w:val="nil"/>
          <w:between w:val="nil"/>
        </w:pBdr>
        <w:spacing w:after="0"/>
      </w:pPr>
      <w:r>
        <w:rPr>
          <w:color w:val="000000"/>
        </w:rPr>
        <w:t>Extreme events (increasing?)</w:t>
      </w:r>
    </w:p>
    <w:p w14:paraId="7CD208B8" w14:textId="77777777" w:rsidR="00611F5E" w:rsidRDefault="00164B3C">
      <w:pPr>
        <w:numPr>
          <w:ilvl w:val="0"/>
          <w:numId w:val="3"/>
        </w:numPr>
        <w:pBdr>
          <w:top w:val="nil"/>
          <w:left w:val="nil"/>
          <w:bottom w:val="nil"/>
          <w:right w:val="nil"/>
          <w:between w:val="nil"/>
        </w:pBdr>
        <w:spacing w:after="0"/>
      </w:pPr>
      <w:r>
        <w:rPr>
          <w:color w:val="000000"/>
        </w:rPr>
        <w:t xml:space="preserve">Understandably, planning approaches to ensure sufficient resources available to serve demand across the full year and under stressful grid conditions is an active area of research. </w:t>
      </w:r>
      <w:r>
        <w:rPr>
          <w:i/>
          <w:color w:val="000000"/>
        </w:rPr>
        <w:t>(opportunities for unused citation dump)</w:t>
      </w:r>
      <w:r>
        <w:rPr>
          <w:color w:val="000000"/>
        </w:rPr>
        <w:t xml:space="preserve">. </w:t>
      </w:r>
    </w:p>
    <w:p w14:paraId="20A56851" w14:textId="77777777" w:rsidR="00611F5E" w:rsidRDefault="00164B3C">
      <w:pPr>
        <w:numPr>
          <w:ilvl w:val="0"/>
          <w:numId w:val="3"/>
        </w:numPr>
        <w:pBdr>
          <w:top w:val="nil"/>
          <w:left w:val="nil"/>
          <w:bottom w:val="nil"/>
          <w:right w:val="nil"/>
          <w:between w:val="nil"/>
        </w:pBdr>
        <w:spacing w:after="0"/>
      </w:pPr>
      <w:r>
        <w:rPr>
          <w:color w:val="000000"/>
        </w:rPr>
        <w:t>One important component of this that is understudied is the role of imports in supporting future reliability for individual systems.</w:t>
      </w:r>
    </w:p>
    <w:p w14:paraId="049FAD71" w14:textId="77777777" w:rsidR="00611F5E" w:rsidRDefault="00164B3C">
      <w:pPr>
        <w:numPr>
          <w:ilvl w:val="1"/>
          <w:numId w:val="3"/>
        </w:numPr>
        <w:pBdr>
          <w:top w:val="nil"/>
          <w:left w:val="nil"/>
          <w:bottom w:val="nil"/>
          <w:right w:val="nil"/>
          <w:between w:val="nil"/>
        </w:pBdr>
        <w:spacing w:after="0"/>
      </w:pPr>
      <w:r>
        <w:rPr>
          <w:color w:val="000000"/>
        </w:rPr>
        <w:t xml:space="preserve">Difficult question: depending on the system, imports may play a significnat role in supporting reliability during stressful conditions, but is more uncertain than reliance on local resources. Imported resources are generally outside the direct of the local planning entity and depend on excess  capacity in neighboring systems. </w:t>
      </w:r>
    </w:p>
    <w:p w14:paraId="7CCD7C7F" w14:textId="77777777" w:rsidR="00611F5E" w:rsidRDefault="00164B3C">
      <w:pPr>
        <w:numPr>
          <w:ilvl w:val="0"/>
          <w:numId w:val="3"/>
        </w:numPr>
        <w:pBdr>
          <w:top w:val="nil"/>
          <w:left w:val="nil"/>
          <w:bottom w:val="nil"/>
          <w:right w:val="nil"/>
          <w:between w:val="nil"/>
        </w:pBdr>
        <w:spacing w:after="0"/>
      </w:pPr>
      <w:r>
        <w:rPr>
          <w:color w:val="000000"/>
        </w:rPr>
        <w:t>Given the increased uncertainty associated with availability of imports, system planners may discount or not consider their contributions to reliabiltiy in future plans. (now transitioning to that nice Larsen 2023 quote)</w:t>
      </w:r>
    </w:p>
    <w:p w14:paraId="722E1A08" w14:textId="77777777" w:rsidR="00611F5E" w:rsidRDefault="00611F5E">
      <w:pPr>
        <w:pBdr>
          <w:top w:val="nil"/>
          <w:left w:val="nil"/>
          <w:bottom w:val="nil"/>
          <w:right w:val="nil"/>
          <w:between w:val="nil"/>
        </w:pBdr>
        <w:spacing w:after="0"/>
        <w:ind w:left="720"/>
        <w:rPr>
          <w:color w:val="000000"/>
        </w:rPr>
      </w:pPr>
    </w:p>
    <w:p w14:paraId="6DA99585" w14:textId="77777777" w:rsidR="00611F5E" w:rsidRDefault="00164B3C">
      <w:pPr>
        <w:numPr>
          <w:ilvl w:val="0"/>
          <w:numId w:val="2"/>
        </w:numPr>
        <w:pBdr>
          <w:top w:val="nil"/>
          <w:left w:val="nil"/>
          <w:bottom w:val="nil"/>
          <w:right w:val="nil"/>
          <w:between w:val="nil"/>
        </w:pBdr>
        <w:spacing w:after="0"/>
      </w:pPr>
      <w:r>
        <w:rPr>
          <w:color w:val="000000"/>
        </w:rPr>
        <w:t>A crucial question to address in this research is “how should planners consider availability of imports from a capacity adequacy perspective in long term plans ? Larsen 2023 says it should be decided by policymakers and not individual market participants:</w:t>
      </w:r>
    </w:p>
    <w:p w14:paraId="1DDA0FD2" w14:textId="6E65AB44" w:rsidR="00611F5E" w:rsidRDefault="00164B3C">
      <w:pPr>
        <w:pBdr>
          <w:top w:val="nil"/>
          <w:left w:val="nil"/>
          <w:bottom w:val="nil"/>
          <w:right w:val="nil"/>
          <w:between w:val="nil"/>
        </w:pBdr>
        <w:ind w:left="1440"/>
        <w:rPr>
          <w:rFonts w:ascii="Arial" w:eastAsia="Arial" w:hAnsi="Arial" w:cs="Arial"/>
          <w:i/>
          <w:color w:val="2E2E2E"/>
          <w:sz w:val="21"/>
          <w:szCs w:val="21"/>
          <w:highlight w:val="white"/>
        </w:rPr>
      </w:pPr>
      <w:r>
        <w:rPr>
          <w:rFonts w:ascii="Arial" w:eastAsia="Arial" w:hAnsi="Arial" w:cs="Arial"/>
          <w:i/>
          <w:color w:val="2E2E2E"/>
          <w:sz w:val="21"/>
          <w:szCs w:val="21"/>
          <w:highlight w:val="white"/>
        </w:rPr>
        <w:lastRenderedPageBreak/>
        <w:t>We conclude that policy makers can go into one of two directions. The first option is to ignore cross-border trading in their planning. While this would create security of supply for individual countries</w:t>
      </w:r>
      <w:r w:rsidR="009D3D18">
        <w:rPr>
          <w:rFonts w:ascii="Arial" w:eastAsia="Arial" w:hAnsi="Arial" w:cs="Arial"/>
          <w:i/>
          <w:color w:val="2E2E2E"/>
          <w:sz w:val="21"/>
          <w:szCs w:val="21"/>
          <w:highlight w:val="white"/>
        </w:rPr>
        <w:t xml:space="preserve"> [balancing authorities]</w:t>
      </w:r>
      <w:r>
        <w:rPr>
          <w:rFonts w:ascii="Arial" w:eastAsia="Arial" w:hAnsi="Arial" w:cs="Arial"/>
          <w:i/>
          <w:color w:val="2E2E2E"/>
          <w:sz w:val="21"/>
          <w:szCs w:val="21"/>
          <w:highlight w:val="white"/>
        </w:rPr>
        <w:t>, it would come at the cost of very significant investment subsidies. The alternative is to rely on cross-border trade, an option which requires not only close cooperation and coordination, but also significant trust between the jurisdictions and institutions involved, to ensure sufficient capacity. The choice between these options is a political decision, to be made at the national and supranational levels, not by regulators, and even less by market participants.</w:t>
      </w:r>
    </w:p>
    <w:p w14:paraId="519DB28C" w14:textId="77777777" w:rsidR="00611F5E" w:rsidRDefault="00611F5E">
      <w:pPr>
        <w:rPr>
          <w:rFonts w:ascii="Arial" w:eastAsia="Arial" w:hAnsi="Arial" w:cs="Arial"/>
          <w:i/>
          <w:color w:val="2E2E2E"/>
          <w:sz w:val="21"/>
          <w:szCs w:val="21"/>
          <w:highlight w:val="white"/>
        </w:rPr>
      </w:pPr>
    </w:p>
    <w:p w14:paraId="29D774BC" w14:textId="5C155B49" w:rsidR="00611F5E" w:rsidRDefault="00164B3C">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 xml:space="preserve">Some [Newberry (2016)] make the case that capacity of </w:t>
      </w:r>
      <w:r w:rsidR="009D3D18">
        <w:rPr>
          <w:rFonts w:ascii="Arial" w:eastAsia="Arial" w:hAnsi="Arial" w:cs="Arial"/>
          <w:i/>
          <w:color w:val="2E2E2E"/>
          <w:sz w:val="21"/>
          <w:szCs w:val="21"/>
          <w:highlight w:val="white"/>
        </w:rPr>
        <w:t>interconnections</w:t>
      </w:r>
      <w:r>
        <w:rPr>
          <w:rFonts w:ascii="Arial" w:eastAsia="Arial" w:hAnsi="Arial" w:cs="Arial"/>
          <w:i/>
          <w:color w:val="2E2E2E"/>
          <w:sz w:val="21"/>
          <w:szCs w:val="21"/>
          <w:highlight w:val="white"/>
        </w:rPr>
        <w:t xml:space="preserve"> with neighboring systems and the reliance on imports for </w:t>
      </w:r>
      <w:r w:rsidR="009D3D18">
        <w:rPr>
          <w:rFonts w:ascii="Arial" w:eastAsia="Arial" w:hAnsi="Arial" w:cs="Arial"/>
          <w:i/>
          <w:color w:val="2E2E2E"/>
          <w:sz w:val="21"/>
          <w:szCs w:val="21"/>
          <w:highlight w:val="white"/>
        </w:rPr>
        <w:t>reliability</w:t>
      </w:r>
      <w:r>
        <w:rPr>
          <w:rFonts w:ascii="Arial" w:eastAsia="Arial" w:hAnsi="Arial" w:cs="Arial"/>
          <w:i/>
          <w:color w:val="2E2E2E"/>
          <w:sz w:val="21"/>
          <w:szCs w:val="21"/>
          <w:highlight w:val="white"/>
        </w:rPr>
        <w:t xml:space="preserve"> </w:t>
      </w:r>
      <w:r w:rsidR="009D3D18">
        <w:rPr>
          <w:rFonts w:ascii="Arial" w:eastAsia="Arial" w:hAnsi="Arial" w:cs="Arial"/>
          <w:i/>
          <w:color w:val="2E2E2E"/>
          <w:sz w:val="21"/>
          <w:szCs w:val="21"/>
          <w:highlight w:val="white"/>
        </w:rPr>
        <w:t>should</w:t>
      </w:r>
      <w:r>
        <w:rPr>
          <w:rFonts w:ascii="Arial" w:eastAsia="Arial" w:hAnsi="Arial" w:cs="Arial"/>
          <w:i/>
          <w:color w:val="2E2E2E"/>
          <w:sz w:val="21"/>
          <w:szCs w:val="21"/>
          <w:highlight w:val="white"/>
        </w:rPr>
        <w:t xml:space="preserve"> be recognized in planning. </w:t>
      </w:r>
    </w:p>
    <w:p w14:paraId="49A61BE6" w14:textId="77777777" w:rsidR="00611F5E" w:rsidRDefault="00164B3C">
      <w:pPr>
        <w:rPr>
          <w:rFonts w:ascii="Arial" w:eastAsia="Arial" w:hAnsi="Arial" w:cs="Arial"/>
          <w:i/>
          <w:color w:val="2E2E2E"/>
          <w:sz w:val="21"/>
          <w:szCs w:val="21"/>
          <w:highlight w:val="white"/>
        </w:rPr>
      </w:pPr>
      <w:r>
        <w:rPr>
          <w:rFonts w:ascii="Arial" w:eastAsia="Arial" w:hAnsi="Arial" w:cs="Arial"/>
          <w:i/>
          <w:color w:val="2E2E2E"/>
          <w:sz w:val="21"/>
          <w:szCs w:val="21"/>
          <w:highlight w:val="white"/>
        </w:rPr>
        <w:t>But how or by what method can one determine the level of capacity that can be relied on when needed?</w:t>
      </w:r>
    </w:p>
    <w:p w14:paraId="04892AF6" w14:textId="77777777" w:rsidR="00611F5E" w:rsidRDefault="00164B3C">
      <w:r>
        <w:t>Analysis at BA level. Not much research done at this scale. Etc.</w:t>
      </w:r>
    </w:p>
    <w:p w14:paraId="1D41E221" w14:textId="77777777" w:rsidR="00611F5E" w:rsidRDefault="00164B3C">
      <w:pPr>
        <w:numPr>
          <w:ilvl w:val="0"/>
          <w:numId w:val="2"/>
        </w:numPr>
        <w:pBdr>
          <w:top w:val="nil"/>
          <w:left w:val="nil"/>
          <w:bottom w:val="nil"/>
          <w:right w:val="nil"/>
          <w:between w:val="nil"/>
        </w:pBdr>
        <w:spacing w:after="0"/>
        <w:rPr>
          <w:i/>
          <w:color w:val="000000"/>
        </w:rPr>
      </w:pPr>
      <w:r>
        <w:rPr>
          <w:color w:val="000000"/>
        </w:rPr>
        <w:t xml:space="preserve">Balancing Authority: </w:t>
      </w:r>
      <w:r>
        <w:rPr>
          <w:i/>
          <w:color w:val="000000"/>
        </w:rPr>
        <w:t>The responsible entity that integrated resource plans ahead of time, maintains Demand and resource balancing wihin a Balancing Authority Area, and supports Interconnection frequency in real time</w:t>
      </w:r>
    </w:p>
    <w:p w14:paraId="038CDFC3" w14:textId="77777777" w:rsidR="00611F5E" w:rsidRDefault="00164B3C">
      <w:pPr>
        <w:numPr>
          <w:ilvl w:val="0"/>
          <w:numId w:val="2"/>
        </w:numPr>
        <w:pBdr>
          <w:top w:val="nil"/>
          <w:left w:val="nil"/>
          <w:bottom w:val="nil"/>
          <w:right w:val="nil"/>
          <w:between w:val="nil"/>
        </w:pBdr>
        <w:spacing w:after="0"/>
        <w:rPr>
          <w:i/>
          <w:color w:val="000000"/>
        </w:rPr>
      </w:pPr>
      <w:r>
        <w:rPr>
          <w:color w:val="000000"/>
        </w:rPr>
        <w:t xml:space="preserve">Balancing Authority Area: </w:t>
      </w:r>
      <w:r>
        <w:rPr>
          <w:i/>
          <w:color w:val="000000"/>
        </w:rPr>
        <w:t>The collection of generation, transmission, and loads within the metered boundaries of the Balancing Authority. The Balancing Authority maintains load-resource balance within this area.</w:t>
      </w:r>
    </w:p>
    <w:p w14:paraId="4E70F22A" w14:textId="77777777" w:rsidR="00611F5E" w:rsidRDefault="00713E20">
      <w:pPr>
        <w:numPr>
          <w:ilvl w:val="1"/>
          <w:numId w:val="2"/>
        </w:numPr>
        <w:pBdr>
          <w:top w:val="nil"/>
          <w:left w:val="nil"/>
          <w:bottom w:val="nil"/>
          <w:right w:val="nil"/>
          <w:between w:val="nil"/>
        </w:pBdr>
        <w:rPr>
          <w:color w:val="0000FF"/>
          <w:u w:val="single"/>
        </w:rPr>
      </w:pPr>
      <w:hyperlink r:id="rId9">
        <w:r w:rsidR="00164B3C">
          <w:rPr>
            <w:color w:val="0000FF"/>
            <w:u w:val="single"/>
          </w:rPr>
          <w:t>Glossary_of_Terms.pdf (nerc.com)</w:t>
        </w:r>
      </w:hyperlink>
    </w:p>
    <w:p w14:paraId="5E07032F" w14:textId="77777777" w:rsidR="00611F5E" w:rsidRDefault="00611F5E"/>
    <w:p w14:paraId="4E11F851" w14:textId="77777777" w:rsidR="00611F5E" w:rsidRDefault="00164B3C">
      <w:pPr>
        <w:pStyle w:val="Heading1"/>
      </w:pPr>
      <w:r>
        <w:t>Import Reliance</w:t>
      </w:r>
    </w:p>
    <w:p w14:paraId="227017E4" w14:textId="07C91537" w:rsidR="00611F5E" w:rsidRDefault="00164B3C">
      <w:r>
        <w:t xml:space="preserve">Import reliance is defined as the fraction of domestic consumption covered by net electricity imports over a period. This is a simple metric that is easy to interpret and commonly identified in the research literature on electricity supply security </w:t>
      </w:r>
      <w:r w:rsidR="006144D9">
        <w:fldChar w:fldCharType="begin"/>
      </w:r>
      <w:r w:rsidR="006144D9">
        <w:instrText xml:space="preserve"> ADDIN ZOTERO_ITEM CSL_CITATION {"citationID":"vEhQMpVC","properties":{"formattedCitation":"[1\\uc0\\u8211{}4]","plainCitation":"[1–4]","noteIndex":0},"citationItems":[{"id":1203,"uris":["http://zotero.org/users/9332412/items/ZNU3RJYM"],"itemData":{"id":1203,"type":"article-journal","abstract":"The analysis of security of electricity supply (SoES) is particularly complex due to, among others, the liberalisation process and the increasing penetration of renewable energies. Larsen et al. [1] propose a framework based on twelve dimensions to evaluate SoES for a single jurisdiction. However, actions aimed at improving one dimension might impact others negatively, adversely affecting the overall system. Understanding how these dimensions are interrelated is thus a prerequisite for appropriate planning and resource allocation. We apply a Cross Impact Analysis (CIA) to these dimensions to determine the degree to which the different dimensions depend on each other. From this we derive an influence diagram to visualise the interdependencies and a scatter plot to categorise the dimensions as independent, driver, connector or outcome. Actions targeting the drivers or connectors are potentially the more effective ones a regulator can take, as the consequences will gradually ripple through the system. Having an integral view of the dimensions' interdependencies provides a better understanding of the higher-order changes an intervention may cause. This enables policymakers and regulators to identifying where in the system to intervene to achieve the desired effect with the least amount of resources and with as few undesirable side-effects as possible.","container-title":"Energy","DOI":"10.1016/j.energy.2017.06.095","ISSN":"0360-5442","journalAbbreviation":"Energy","page":"598-609","source":"ScienceDirect","title":"Interdependencies in security of electricity supply","URL":"https://www.sciencedirect.com/science/article/pii/S0360544217310897","volume":"135","author":[{"family":"Osorio","given":"Sebastian"},{"family":"Ackere","given":"Ann","non-dropping-particle":"van"},{"family":"Larsen","given":"Erik R."}],"accessed":{"date-parts":[["2024",8,26]]},"issued":{"date-parts":[["2017",9,15]]}}},{"id":1206,"uris":["http://zotero.org/users/9332412/items/T7QNQXF9"],"itemData":{"id":1206,"type":"article-journal","abstract":"This article provides a synthesized, workable framework for analyzing national energy security policies and performance. Drawn from research interviews, survey results, a focused workshop, and an extensive literature review, this article proposes that energy security ought to be comprised of five dimensions related to availability, affordability, technology development, sustainability, and regulation. We then break these five dimensions down into 20 components related to security of supply and production, dependency, and diversification for availability; price stability, access and equity, decentralization, and low prices for affordability; innovation and research, safety and reliability, resilience, energy efficiency, and investment for technology development; land use, water, climate change, and air pollution for sustainability; and governance, trade, competition, and knowledge for sound regulation. Further still, our synthesis lists 320 simple indicators and 52 complex indicators that policymakers and scholars can use to analyze, measure, track, and compare national performance on energy security. The article concludes by offering implications for energy policy more broadly.","collection-title":"PRES 2010","container-title":"Energy","DOI":"10.1016/j.energy.2011.06.043","ISSN":"0360-5442","issue":"8","journalAbbreviation":"Energy","page":"5343-5355","source":"ScienceDirect","title":"Conceptualizing and measuring energy security: A synthesized approach","title-short":"Conceptualizing and measuring energy security","URL":"https://www.sciencedirect.com/science/article/pii/S0360544211004294","volume":"36","author":[{"family":"Sovacool","given":"Benjamin K."},{"family":"Mukherjee","given":"Ishani"}],"accessed":{"date-parts":[["2024",8,26]]},"issued":{"date-parts":[["2011",8,1]]}}},{"id":1161,"uris":["http://zotero.org/users/9332412/items/VIGYWWVW"],"itemData":{"id":1161,"type":"article-journal","abstract":"Solar power imports to Europe from the deserts of North Africa, as foreseen in the Desertec concept, is one possible way to help decarbonising the European power sector by 2050. However, this approach raises questions of threats to European energy security in such an import scenario, particularly in the light of increasing import dependency and Russia's use of the \"energy weapon\" in recent years. In this paper we investigate the threat of North African countries using the Desertec electricity exports as an \"energy weapon\". We develop and use a new model to assess the interdependence - the bargaining power symmetry, operationalised as costs - of a disruption in a future renewable electricity trade between North Africa and Europe. If Europe maintains current capacity buffers, some demand-response capability and does not import much more than what is described in the Desertec scenario, it is susceptible to extortion and political pressure only if all five exporter countries unite in using the energy weapon. Europe is not vulnerable to extortion by an export cut from only one country, as the European capacity buffers are sufficient to restore the power supply: no single exporter country would have sustained bargaining power over Europe. © 2011 Elsevier Ltd.","container-title":"Energy Policy","DOI":"10.1016/J.ENPOL.2011.03.035","issue":"6","note":"publisher: Elsevier","page":"3380-3391","title":"Energy security and renewable electricity trade—Will Desertec make Europe vulnerable to the “energy weapon”?","volume":"39","author":[{"family":"Lilliestam","given":"Johan"},{"family":"Ellenbeck","given":"Saskia"}],"issued":{"date-parts":[["2011",6]]}}},{"id":1166,"uris":["http://zotero.org/users/9332412/items/2U5U7MX3"],"itemData":{"id":1166,"type":"article-journal","abstract":"Electricity supply plays a significantly important role in national economy and society development. Accordingly, the evaluation of electricity supply sustainability and security as an early warning method is beneficial for the decision-makers/policy-makers to take various measures to enhance electricity supply sustainability and security. This study aims at developing a multi-criteria decision analysis framework for electricity supply sustainability and security evaluation, and a total of nine metrics (i.e. Shannon-Weiner index, electricity import dependence, supply adequacy, rural electrification rate, electric power losses ratio, residential consumption ratio, electricity per Gross Domestic Product, electric power consumption per capita, and fossil fuel dependence) in four dimensions including availability and security of supply, affordability and reliability, energy and economic efficiency, and environmental stewardship were employed for electricity supply sustainability and security evaluation. Fuzzy Analytic Hierarchy Process which allows the users to use linguistic terms to express their opinions was used to determine the weights of the criteria which represent their relative importance in the evaluation of electricity supply sustainability and security. Grey Rational Analysis was used to prioritize the status of electricity supply sustainability and security of different countries in different years. The electricity supply sustainability and security of the five major emerging national economies (Brazil, Russia, India, China and South Africa) was studied in Chinese perspective by the proposed method.","container-title":"Journal of Cleaner Production","DOI":"10.1016/J.JCLEPRO.2017.10.167","note":"publisher: Elsevier","page":"438-453","title":"Evaluation of electricity supply sustainability and security: Multi-criteria decision analysis approach","volume":"172","author":[{"family":"Ren","given":"Jingzheng"},{"family":"Dong","given":"Liang"}],"issued":{"date-parts":[["2018",1]]}}}],"schema":"https://github.com/citation-style-language/schema/raw/master/csl-citation.json"} </w:instrText>
      </w:r>
      <w:r w:rsidR="006144D9">
        <w:fldChar w:fldCharType="separate"/>
      </w:r>
      <w:r w:rsidR="006144D9" w:rsidRPr="006144D9">
        <w:rPr>
          <w:rFonts w:cs="Times New Roman"/>
        </w:rPr>
        <w:t>[1–4]</w:t>
      </w:r>
      <w:r w:rsidR="006144D9">
        <w:fldChar w:fldCharType="end"/>
      </w:r>
      <w:r>
        <w:rPr>
          <w:color w:val="000000"/>
        </w:rPr>
        <w:t>, sometimes also referred to “import dependence</w:t>
      </w:r>
      <w:r>
        <w:t xml:space="preserve">.”  </w:t>
      </w:r>
    </w:p>
    <w:p w14:paraId="44394779" w14:textId="1F0FD09C" w:rsidR="00297A9D" w:rsidRDefault="00DC6488" w:rsidP="00A708A0">
      <w:r>
        <w:fldChar w:fldCharType="begin"/>
      </w:r>
      <w:r>
        <w:instrText xml:space="preserve"> REF _Ref164131523 \h </w:instrText>
      </w:r>
      <w:r>
        <w:fldChar w:fldCharType="separate"/>
      </w:r>
      <w:r>
        <w:t xml:space="preserve">Figure </w:t>
      </w:r>
      <w:r>
        <w:rPr>
          <w:noProof/>
        </w:rPr>
        <w:t>1</w:t>
      </w:r>
      <w:r>
        <w:fldChar w:fldCharType="end"/>
      </w:r>
      <w:r>
        <w:t xml:space="preserve"> displays import reliance by balancing authority. </w:t>
      </w:r>
      <w:r w:rsidR="00BD2E66">
        <w:t xml:space="preserve">In general, it shows the areas in the U.S. with relatively higher levels of imports include the Northwest, Southwest, and Northeast. </w:t>
      </w:r>
      <w:r w:rsidR="00E74F5D">
        <w:t>T</w:t>
      </w:r>
      <w:r w:rsidR="00C0483D">
        <w:t>he highest levels of import reliance</w:t>
      </w:r>
      <w:r w:rsidR="00E74F5D">
        <w:t xml:space="preserve"> from 2016-2023</w:t>
      </w:r>
      <w:r w:rsidR="00C0483D">
        <w:t xml:space="preserve"> were among</w:t>
      </w:r>
      <w:r w:rsidR="00E74F5D">
        <w:t xml:space="preserve"> BA’s in the Northwest U.S. Specifically, Portland General Electric Company, Puget Sound Energy, and the City of Tacoma Department of Public Utilities had the highest shares of imports at 0.70, 0.57, and 0.48, respectively.</w:t>
      </w:r>
      <w:r w:rsidR="00302E6C">
        <w:t xml:space="preserve"> Nearly all the imports into these</w:t>
      </w:r>
      <w:r w:rsidR="00C829D0">
        <w:t xml:space="preserve"> three</w:t>
      </w:r>
      <w:r w:rsidR="00302E6C">
        <w:t xml:space="preserve"> regions came from the Bonneville Power Administration BA</w:t>
      </w:r>
      <w:r w:rsidR="00C15A3C">
        <w:t>.</w:t>
      </w:r>
    </w:p>
    <w:p w14:paraId="7FDE6966" w14:textId="427D89FC" w:rsidR="00DC6488" w:rsidRDefault="00CD652D" w:rsidP="00DC6488">
      <w:pPr>
        <w:keepNext/>
      </w:pPr>
      <w:r>
        <w:rPr>
          <w:noProof/>
        </w:rPr>
        <w:lastRenderedPageBreak/>
        <w:drawing>
          <wp:inline distT="0" distB="0" distL="0" distR="0" wp14:anchorId="53D22490" wp14:editId="10623A86">
            <wp:extent cx="5048250" cy="2724210"/>
            <wp:effectExtent l="0" t="0" r="0" b="0"/>
            <wp:docPr id="92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74183" cy="2738204"/>
                    </a:xfrm>
                    <a:prstGeom prst="rect">
                      <a:avLst/>
                    </a:prstGeom>
                    <a:noFill/>
                  </pic:spPr>
                </pic:pic>
              </a:graphicData>
            </a:graphic>
          </wp:inline>
        </w:drawing>
      </w:r>
    </w:p>
    <w:p w14:paraId="0CD68C4C" w14:textId="1AB60511" w:rsidR="00611F5E" w:rsidRPr="005F0494" w:rsidRDefault="00DC6488" w:rsidP="005F0494">
      <w:pPr>
        <w:pStyle w:val="Caption"/>
      </w:pPr>
      <w:bookmarkStart w:id="0" w:name="_Ref164131523"/>
      <w:r>
        <w:t xml:space="preserve">Figure </w:t>
      </w:r>
      <w:r>
        <w:fldChar w:fldCharType="begin"/>
      </w:r>
      <w:r>
        <w:instrText xml:space="preserve"> SEQ Figure \* ARABIC </w:instrText>
      </w:r>
      <w:r>
        <w:fldChar w:fldCharType="separate"/>
      </w:r>
      <w:r w:rsidR="00471B15">
        <w:rPr>
          <w:noProof/>
        </w:rPr>
        <w:t>1</w:t>
      </w:r>
      <w:r>
        <w:fldChar w:fldCharType="end"/>
      </w:r>
      <w:bookmarkEnd w:id="0"/>
      <w:r>
        <w:t xml:space="preserve"> </w:t>
      </w:r>
      <w:r w:rsidRPr="007D4D6F">
        <w:t>Import reliance as a share of total electricity consumption by U.S. Balancing Authority, 2016-2023.</w:t>
      </w:r>
      <w:bookmarkStart w:id="1" w:name="_heading=h.gjdgxs" w:colFirst="0" w:colLast="0"/>
      <w:bookmarkEnd w:id="1"/>
    </w:p>
    <w:p w14:paraId="17F27C3B" w14:textId="09437C76" w:rsidR="00356A74" w:rsidRDefault="00A708A0" w:rsidP="00A708A0">
      <w:r>
        <w:t xml:space="preserve">There are a few additional import-dependent BA’s shown in </w:t>
      </w:r>
      <w:r w:rsidR="005F0494">
        <w:fldChar w:fldCharType="begin"/>
      </w:r>
      <w:r w:rsidR="005F0494">
        <w:instrText xml:space="preserve"> REF _Ref164131523 \h </w:instrText>
      </w:r>
      <w:r w:rsidR="005F0494">
        <w:fldChar w:fldCharType="separate"/>
      </w:r>
      <w:r w:rsidR="005F0494">
        <w:t xml:space="preserve">Figure </w:t>
      </w:r>
      <w:r w:rsidR="005F0494">
        <w:rPr>
          <w:noProof/>
        </w:rPr>
        <w:t>1</w:t>
      </w:r>
      <w:r w:rsidR="005F0494">
        <w:fldChar w:fldCharType="end"/>
      </w:r>
      <w:r w:rsidR="005F0494">
        <w:t xml:space="preserve"> that appear to be outliers relative to their neighbors.</w:t>
      </w:r>
      <w:r w:rsidR="003B6EC3">
        <w:t xml:space="preserve"> El Paso Electric Company in southwest Texas</w:t>
      </w:r>
      <w:r w:rsidR="00654660">
        <w:t xml:space="preserve"> was </w:t>
      </w:r>
      <w:r w:rsidR="003B6EC3">
        <w:t xml:space="preserve">44% reliant on imports over the sample </w:t>
      </w:r>
      <w:r w:rsidR="004311B5">
        <w:t>period</w:t>
      </w:r>
      <w:r w:rsidR="00D5627C">
        <w:t>; 67% of its imports were from Public Service Company of New Mexico and 30% from Tuscon Electric Power</w:t>
      </w:r>
      <w:r w:rsidR="008D03E6">
        <w:t>.</w:t>
      </w:r>
      <w:r w:rsidR="00F573A4">
        <w:t xml:space="preserve"> </w:t>
      </w:r>
    </w:p>
    <w:p w14:paraId="6AF08065" w14:textId="03236E15" w:rsidR="00A708A0" w:rsidRDefault="00F573A4" w:rsidP="00A708A0">
      <w:r>
        <w:t xml:space="preserve">Duke Energy Progress </w:t>
      </w:r>
      <w:r w:rsidR="0041185E">
        <w:t>(DEP)</w:t>
      </w:r>
      <w:r w:rsidR="00356A74">
        <w:t xml:space="preserve">in the Carolinas is administratively split into two BAs in the west and the east part of its footprint. </w:t>
      </w:r>
      <w:r w:rsidR="0041185E">
        <w:t xml:space="preserve">DEP west is 42% reliant on imports and </w:t>
      </w:r>
      <w:r w:rsidR="00356A74">
        <w:t xml:space="preserve">significantly smaller than the </w:t>
      </w:r>
      <w:r w:rsidR="0041185E">
        <w:t xml:space="preserve">DEP east. </w:t>
      </w:r>
      <w:r w:rsidR="006144D9">
        <w:t>Most</w:t>
      </w:r>
      <w:r w:rsidR="009620F7">
        <w:t xml:space="preserve"> </w:t>
      </w:r>
      <w:r w:rsidR="0041185E">
        <w:t xml:space="preserve">DEP west imports </w:t>
      </w:r>
      <w:r w:rsidR="00356A74">
        <w:t xml:space="preserve">come from its neighboring Duke-controlled BAs. </w:t>
      </w:r>
      <w:r w:rsidR="00DA21EE">
        <w:t xml:space="preserve">In this way, the </w:t>
      </w:r>
      <w:r w:rsidR="00356A74">
        <w:t xml:space="preserve">high level of import reliance </w:t>
      </w:r>
      <w:r w:rsidR="002F4913">
        <w:t xml:space="preserve">DEP west </w:t>
      </w:r>
      <w:r w:rsidR="00356A74">
        <w:t xml:space="preserve">may not reflect </w:t>
      </w:r>
      <w:r w:rsidR="009F1A6E">
        <w:t xml:space="preserve">significant </w:t>
      </w:r>
      <w:r w:rsidR="00356A74">
        <w:t xml:space="preserve">import reliance </w:t>
      </w:r>
      <w:r w:rsidR="009F1A6E">
        <w:t xml:space="preserve">risk </w:t>
      </w:r>
      <w:r w:rsidR="00356A74">
        <w:t>from the perspective that Duke as a parent company likely owns and controls much of the resources being traded across the multiple B</w:t>
      </w:r>
      <w:r w:rsidR="0099141B">
        <w:t>A</w:t>
      </w:r>
      <w:r w:rsidR="00356A74">
        <w:t>s it administers in the Carolinas</w:t>
      </w:r>
      <w:r w:rsidR="0099141B">
        <w:t>.</w:t>
      </w:r>
      <w:r w:rsidR="00356A74">
        <w:t xml:space="preserve"> </w:t>
      </w:r>
    </w:p>
    <w:p w14:paraId="7ECAADCA" w14:textId="686AC83A" w:rsidR="00611F5E" w:rsidRDefault="005F24C5" w:rsidP="00DF533E">
      <w:r>
        <w:t xml:space="preserve">Duke Energy Florida </w:t>
      </w:r>
      <w:r w:rsidR="0041185E">
        <w:t xml:space="preserve">(DEF) </w:t>
      </w:r>
      <w:r>
        <w:t>is also relatively import-reliant at 24% compared to its neighboring BAs.</w:t>
      </w:r>
      <w:r w:rsidR="0041185E">
        <w:t xml:space="preserve"> </w:t>
      </w:r>
      <w:r w:rsidR="00CD08CF">
        <w:t>It is relatively diverse in its sources of imports and, unlike the Duke BAs in the Carolinas, does not trade with company affiliates. Rather, 32% of its imports were from Florida Power &amp; Light, 26% from Florida Municipal Power Pool, 24% from Seminole Electric Cooperative. It also receives smaller levels of imports from Gainesville Regional Utilities, Southern Company, and Tampa Electric Company.</w:t>
      </w:r>
    </w:p>
    <w:p w14:paraId="1462778B" w14:textId="1C9C1BEE" w:rsidR="00611F5E" w:rsidRDefault="00164B3C">
      <w:r>
        <w:t>The import reliance metric is simple to calculate and interpret and provides an accurate perspective on the reliance of a balancing authority on electricity supply physically located outside its territory. In this way it presents a useful starting point for an analysis. It is important to note that “import reliance” is not necessarily a concern- there are likely good reasons when a BA imports electricity to supply local demand. Many studies have shown economic efficiency gains from trade available when two regions integrate electricity trade</w:t>
      </w:r>
      <w:r w:rsidR="006144D9">
        <w:t xml:space="preserve"> </w:t>
      </w:r>
      <w:r w:rsidR="006144D9">
        <w:fldChar w:fldCharType="begin"/>
      </w:r>
      <w:r w:rsidR="006144D9">
        <w:instrText xml:space="preserve"> ADDIN ZOTERO_ITEM CSL_CITATION {"citationID":"3TMfmoix","properties":{"formattedCitation":"[5\\uc0\\u8211{}10]","plainCitation":"[5–10]","noteIndex":0},"citationItems":[{"id":1154,"uris":["http://zotero.org/users/9332412/items/GLYVAGDT"],"itemData":{"id":1154,"type":"article-journal","abstract":"Bangladesh, currently a low middle-income economy aspires to become a high middle income country by 2021. To achieve such aspiration, the country will have to ensure adequate power supply for its fast growing economy. Bangladesh lacks energy resources for power generation. This paper explores some of the power supply scenarios with special focus on power imports and higher use of renewables. Using the technology rich, least cost optimization model ‘The Integrated MARKAL-EFOM System (TIMES)’ the authors developed four possible future power supply scenarios for Bangladesh. These scenarios include an energy security framework (based on the Power System Master Plan (PSMP) 2016 report), a high power import scenario, a scenario with higher use of renewables and a combined high power import - high renewables development scenario. The analysis indicates that the present energy security framework ensures energy security with diversifying fuels used for power generation, however, scenarios with high power imports and a high share of renewables (including the combined scenario) bring down the cost of supplying power along with a reduction in expensive fossil fuel imports while maintaining energy security as fuel sources for power generation still remain diversified.","container-title":"Energy","DOI":"10.1016/j.energy.2018.04.169","title":"Bangladesh power supply scenarios on renewables and electricity import","volume":"155","author":[{"family":"Das","given":"Anjana"},{"family":"Halder","given":"Arideep"},{"family":"Mazumder","given":"Rahul"},{"family":"Saini","given":"Vinay Kumar"},{"family":"Parikh","given":"Jyoti"},{"family":"Parikh","given":"Kirit S."}],"issued":{"date-parts":[["2018"]]}}},{"id":1214,"uris":["http://zotero.org/users/9332412/items/G2LQIN7I"],"itemData":{"id":1214,"type":"article-journal","abstract":"Canadian hydropower resources offer a potentially attractive option for meeting decarbonization targets in the US Northeast region, where there are ambitious climate goals and nearby hydro resources in Quebec. Existing transmission capacity is, however, a limiting factor in expanding hydropower imports to the region. To examine the value of expanding transmission capacity from Quebec to the Northeast, we employ an integrated top-down bottom-up modeling framework (USREP-EleMod). This research was part of an Energy Modeling Forum effort, EMF34, with a goal of better characterizing linkages in energy markets across North America. The scenarios we examine exogenously expand transmission capacity by 10, 30, and 50% above existing capacity into the US Northeast (New York/New England), finding the value to the economy of these expansions ranging from $.38-$.49 per kWh imported into New York, and $.30-$.33 per kWh imported into New England by 2050. The scenarios include economy-wide emissions goals these states have set for themselves. The carbon limits we imposed raise fuel prices more than electricity prices and as a result we found greater electrification in the US Northeast region from 2030 onward, a result that one would not see using just an electricity sector model, demonstrating a main hypothesis of EMF34, that models that looked at more integration across energy markets would give deeper insight than more narrowly focused models.","container-title":"Energy Policy","DOI":"10.1016/j.enpol.2021.112261","ISSN":"0301-4215","journalAbbreviation":"Energy Policy","page":"112261","source":"ScienceDirect","title":"The role of cross-border electricity trade in transition to a low-carbon economy in the Northeastern U.S","URL":"https://www.sciencedirect.com/science/article/pii/S0301421521001300","volume":"154","author":[{"family":"Yuan","given":"Mei"},{"family":"Tapia-Ahumada","given":"Karen"},{"family":"Reilly","given":"John"}],"accessed":{"date-parts":[["2024",8,26]]},"issued":{"date-parts":[["2021",7,1]]}}},{"id":1216,"uris":["http://zotero.org/users/9332412/items/XQRBSMGK"],"itemData":{"id":1216,"type":"report","abstract":"The uptake of renewable energy (RE) has been identified by a number of governments as a primary means for mitigating CO2 emissions from the electricity sector, and for making the transition to a low-carbon economy. The electric power output of some RE technologies, however, including those based on intermittent wind and solar energy, can vary considerably over short periods of time and thereby introduce instability into the electricity system. The risk of instability increases with higher shares of intermittent power sources connected to the electrical grid. Different means have been used to deal with this intermittency problem. Cross-border trade in electricity appears to be one of them since it enables countries to gain access to a more diversified portfolio of plants, producing over a wider geographic area. Preliminary results from an examination of the European electricity market confirm the importance of cross-border electricity trade in increasing the effective capacity factor of intermittent plants in the context of a growing share of intermittent renewables in the power sector. There are a number of policy issues that must first be addressed though, with some financial and administrative incentives provided to variable RE technologies discouraging RE producers from fully participating in electricity market operations and exerting downward pressure on wholesale electricity prices. The positive contribution that cross-border trade in electricity can make to address the variability problem not only depends on addressing challenges that renewable-energy technologies pose to electricity markets, but also necessitates the existence of an efficient cross-border electricity trading regime. Addressing those regulatory and administrative measures that are inhibiting growth in cross-border trade and the smooth operation of regional electricity markets would therefore help increase the potential for trade in electricity to facilitate growth in renewable energy.","event-place":"Paris","language":"en","note":"DOI: 10.1787/5k4869cdwnzr-en","publisher":"OECD","publisher-place":"Paris","source":"OECD iLibrary","title":"Cross-Border Trade in Electricity and the Development of Renewables-Based Electric Power: Lessons from Europe","title-short":"Cross-Border Trade in Electricity and the Development of Renewables-Based Electric Power","URL":"https://www.oecd-ilibrary.org/trade/cross-border-trade-in-electricity-and-the-development-of-renewables-based-electric-power_5k4869cdwnzr-en","author":[{"family":"Bahar","given":"Heymi"},{"family":"Sauvage","given":"Jehan"}],"accessed":{"date-parts":[["2024",8,26]]},"issued":{"date-parts":[["2013",4,8]]}}},{"id":1218,"uris":["http://zotero.org/users/9332412/items/KLHGQ95J"],"itemData":{"id":1218,"type":"article-journal","abstract":"Connecting two electrical grids allows power to be traded between the areas, which can improve reliability and lower electricity prices. Over the coming years, electrical networks will have to adapt to larger amounts of intermittent renewable generation. Here we use hourly data from 155 world-wide geographic regions to investigate how the value of connecting electrical grids changes as renewable generation is incorporated. We show across five continents that significantly more interconnections are cost effective in a 100% renewables scenario, and that the investment savings they result in can be 100 times higher. Furthermore, we show that many interconnections that are profitable with dispatchable generation are not profitable in a renewable generation scenario. Finally, we show that in many cases the interconnection only reduces the investments costs of one of the two regions — with the larger electricity market, in general, seeing a greater cost reduction.","container-title":"Applied Energy","DOI":"10.1016/j.apenergy.2022.119717","ISSN":"0306-2619","journalAbbreviation":"Applied Energy","page":"119717","source":"ScienceDirect","title":"The effect of renewable electricity generation on the value of cross-border interconnection","URL":"https://www.sciencedirect.com/science/article/pii/S030626192201008X","volume":"324","author":[{"family":"Crozier","given":"Constance"},{"family":"Baker","given":"Kyri"}],"accessed":{"date-parts":[["2024",8,26]]},"issued":{"date-parts":[["2022",10,15]]}}},{"id":1220,"uris":["http://zotero.org/users/9332412/items/RHQ5ESWH"],"itemData":{"id":1220,"type":"article-journal","abstract":"This paper develops a multi-country multi-sector general equilibrium model, integrating high-frequency electricity dispatch and trade decisions, to study the effects of electricity transmission infrastructure (TI) expansion and renewable energy (RE) penetration in Europe for gains from trade and carbon dioxide emissions in the power sector. TI can benefit or degrade environmental outcomes, depending on RE penetration: it complements emissions abatement by mitigating dispatch problems associated with volatile and spatially dispersed RE but also promotes higher average generation from low-cost coal if RE production is too low. Against the backdrop of European decarbonization and planned TI expansion, we find that emissions increase for current and targeted year-2020 levels of RE production and decrease for year-2030 targets. Enhanced TI yields sizeable gains from trade that depend positively on RE penetration, without creating large adverse impacts on regional equity.","container-title":"Journal of Environmental Economics and Management","DOI":"10.1016/j.jeem.2016.04.001","ISSN":"0095-0696","journalAbbreviation":"Journal of Environmental Economics and Management","page":"87-113","source":"ScienceDirect","title":"Cross-country electricity trade, renewable energy and European transmission infrastructure policy","URL":"https://www.sciencedirect.com/science/article/pii/S0095069616300122","volume":"79","author":[{"family":"Abrell","given":"Jan"},{"family":"Rausch","given":"Sebastian"}],"accessed":{"date-parts":[["2024",8,26]]},"issued":{"date-parts":[["2016",9,1]]}}},{"id":1172,"uris":["http://zotero.org/users/9332412/items/EH4LQACU"],"itemData":{"id":1172,"type":"article-journal","abstract":"This paper presents empirically-estimated average hourly relationships between regional electricity trade in the western United States (US) and prices, emissions, and generation from 2015 through 2018. It provides new evidence of the short term impacts of integrating markets to inform electricity market policymakers. Consistent with economic theory, the analysis finds a negative relationship between electricity price in California and regional trade, conditional on local demand. Each 1 GWh increase in California electricity imports is associated with an average $0.15 per MWh decrease in the California Independent System Operator’s (CAISO) wholesale electricity price. There is a net-negative short-term relationship between CO2 emissions in California and electricity imports that is partially offset by positive emissions from exporting neighbors. Specifically, each 1 GWh increase in regional trade is associated with a net 70-ton average decrease in CO2 emissions across the western U.S., conditional on demand levels. The results provide evidence that electricity imports mostly displace natural gas generation on the margin in the California electricity market. A small positive relationship is observed between short-run SO2 and NOx emissions in neighboring regions and California electricity imports. The magnitude of the SO2 and NOx results suggest an average increase of 0.1 MWh from neighboring coal plants is associated with a 1 MWh increase in imports to California.","container-title":"International Journal of Sustainable Energy Planning and Management","DOI":"10.5278/ijsepm.3416","title":"Integrating energy markets: Implications of increasing electricity trade on prices and emissions in the Western United States","volume":"25","author":[{"family":"Dahlke","given":"Steven"}],"issued":{"date-parts":[["2020"]]}}}],"schema":"https://github.com/citation-style-language/schema/raw/master/csl-citation.json"} </w:instrText>
      </w:r>
      <w:r w:rsidR="006144D9">
        <w:fldChar w:fldCharType="separate"/>
      </w:r>
      <w:r w:rsidR="006144D9" w:rsidRPr="006144D9">
        <w:rPr>
          <w:rFonts w:cs="Times New Roman"/>
        </w:rPr>
        <w:t>[5–10]</w:t>
      </w:r>
      <w:r w:rsidR="006144D9">
        <w:fldChar w:fldCharType="end"/>
      </w:r>
      <w:r>
        <w:t xml:space="preserve">. From this literature, one may conclude that any BA’s not relying on imports are leaving economic efficiency opportunities on the table. However, the magnitude and characteristics of electricity trade efficiencies vary depending on the underlying characteristics of individual systems, including resource mix, demand characteristics, and geographic traits. </w:t>
      </w:r>
    </w:p>
    <w:p w14:paraId="2090D45C" w14:textId="73BCAAD4" w:rsidR="00611F5E" w:rsidRDefault="00164B3C">
      <w:r>
        <w:lastRenderedPageBreak/>
        <w:t>There are also reasons why expanding regional electricity trade could be more costly than the available benefits.  One potentially significant barrier is if the physical links connecting two BAs are already congested, alongside the sometimes-prohibitive cost of building new electric transmission lines</w:t>
      </w:r>
      <w:r w:rsidR="00F25179">
        <w:t xml:space="preserve"> </w:t>
      </w:r>
      <w:r w:rsidR="00F25179">
        <w:fldChar w:fldCharType="begin"/>
      </w:r>
      <w:r w:rsidR="00F25179">
        <w:instrText xml:space="preserve"> ADDIN ZOTERO_ITEM CSL_CITATION {"citationID":"NQyvMDTo","properties":{"formattedCitation":"[11]","plainCitation":"[11]","noteIndex":0},"citationItems":[{"id":1225,"uris":["http://zotero.org/users/9332412/items/G6UNYVVJ"],"itemData":{"id":1225,"type":"article-journal","abstract":"This paper discusses the lessons learned from electricity sector liberalization over the last 20 years. The attributes of reform models that have exhibited good performance attributes are identified, drawing on empirical analysis of market structure, behavior and performance in many countries. Wholesale and retail market competition and network regulation performance evidence are discussed. Technical, economic, and political challenges to improving the efficiency of what continue to be partial liberalization programs in many countries are considered.","container-title":"The Energy Journal","DOI":"10.5547/ISSN0195-6574-EJ-Vol29-NoSI2-3","ISSN":"0195-6574","issue":"2_suppl","language":"en","note":"publisher: SAGE Publications","page":"9-42","source":"SAGE Journals","title":"Lessons Learned From Electricity Market Liberalization","URL":"https://doi.org/10.5547/ISSN0195-6574-EJ-Vol29-NoSI2-3","volume":"29","author":[{"family":"Joskow","given":"Paul L."}],"accessed":{"date-parts":[["2024",8,26]]},"issued":{"date-parts":[["2008",12,1]]}}}],"schema":"https://github.com/citation-style-language/schema/raw/master/csl-citation.json"} </w:instrText>
      </w:r>
      <w:r w:rsidR="00F25179">
        <w:fldChar w:fldCharType="separate"/>
      </w:r>
      <w:r w:rsidR="00F25179" w:rsidRPr="00F25179">
        <w:t>[11]</w:t>
      </w:r>
      <w:r w:rsidR="00F25179">
        <w:fldChar w:fldCharType="end"/>
      </w:r>
      <w:r>
        <w:t>. Others include the fact that integration and associated regional efficiencies associated with electricity price equalization will produce some losers underlying the total economic improvements to the region</w:t>
      </w:r>
      <w:r w:rsidR="00F25179">
        <w:t xml:space="preserve"> </w:t>
      </w:r>
      <w:r w:rsidR="00F25179">
        <w:fldChar w:fldCharType="begin"/>
      </w:r>
      <w:r w:rsidR="00F25179">
        <w:instrText xml:space="preserve"> ADDIN ZOTERO_ITEM CSL_CITATION {"citationID":"0fq0Tm6u","properties":{"formattedCitation":"[12]","plainCitation":"[12]","noteIndex":0},"citationItems":[{"id":1227,"uris":["http://zotero.org/users/9332412/items/G4DI4CWX"],"itemData":{"id":1227,"type":"article-journal","container-title":"The Energy Law Journal","language":"en","source":"Zotero","title":"Measuring the Benefits and Costs of Regional Electric Grid Integration","URL":"https://www.eba-net.org/wp-content/uploads/2023/02/10-147-184.pdf","volume":"28","author":[{"family":"Blumsack","given":"Seth"}],"issued":{"date-parts":[["2007"]]}}}],"schema":"https://github.com/citation-style-language/schema/raw/master/csl-citation.json"} </w:instrText>
      </w:r>
      <w:r w:rsidR="00F25179">
        <w:fldChar w:fldCharType="separate"/>
      </w:r>
      <w:r w:rsidR="00F25179" w:rsidRPr="00F25179">
        <w:t>[12]</w:t>
      </w:r>
      <w:r w:rsidR="00F25179">
        <w:fldChar w:fldCharType="end"/>
      </w:r>
      <w:r>
        <w:t xml:space="preserve">. Potential losers from regional integration include electricity customers facing higher costs in exporting BAs and producers facing reduced profits in importing BAs </w:t>
      </w:r>
      <w:r w:rsidR="00F25179">
        <w:fldChar w:fldCharType="begin"/>
      </w:r>
      <w:r w:rsidR="00F25179">
        <w:instrText xml:space="preserve"> ADDIN ZOTERO_ITEM CSL_CITATION {"citationID":"pwbBXZis","properties":{"formattedCitation":"[13]","plainCitation":"[13]","noteIndex":0},"citationItems":[{"id":1228,"uris":["http://zotero.org/users/9332412/items/RDBJ4WKT"],"itemData":{"id":1228,"type":"article-journal","abstract":"This paper focuses on how to promote regional cooperation in electricity. We begin by discussing the theory of international trade cooperation in electricity, with a view to discussing what preconditions might be important in facilitating wide area trading across national borders. We then develop lessons based on the comparison of four case studies. These include three regional developing country power pools – the Southern African Power pool (SAPP), West African Power pool (WAPP) and the Central American Power Market (MER). We contrast these with Northern Europe's Nord Pool. These cases highlight both the potential and difficulty of having cross-jurisdictional power pools. In the light of the theory and evidence we present, we draw key lessons in the areas of: preconditions for trading; necessary institutional arrangements; practicalities of timetabling; reasons to be hopeful about future prospects.","container-title":"Energy Policy","DOI":"10.1016/j.enpol.2015.09.007","ISSN":"0301-4215","journalAbbreviation":"Energy Policy","page":"628-638","source":"ScienceDirect","title":"The promotion of regional integration of electricity markets: Lessons for developing countries","title-short":"The promotion of regional integration of electricity markets","URL":"https://www.sciencedirect.com/science/article/pii/S030142151530094X","volume":"88","author":[{"family":"Oseni","given":"Musiliu O."},{"family":"Pollitt","given":"Michael G."}],"accessed":{"date-parts":[["2024",8,26]]},"issued":{"date-parts":[["2016",1,1]]}}}],"schema":"https://github.com/citation-style-language/schema/raw/master/csl-citation.json"} </w:instrText>
      </w:r>
      <w:r w:rsidR="00F25179">
        <w:fldChar w:fldCharType="separate"/>
      </w:r>
      <w:r w:rsidR="00F25179" w:rsidRPr="00F25179">
        <w:t>[13]</w:t>
      </w:r>
      <w:r w:rsidR="00F25179">
        <w:fldChar w:fldCharType="end"/>
      </w:r>
      <w:r>
        <w:t>. Other factors to consider for a better understanding of the observed trading situation between neighboring BAs are the political relationship between the regions, market trading rules, and other institutional realities that could create to trading friction or other sources of risk associated with expanded trade</w:t>
      </w:r>
      <w:r w:rsidR="001803CB">
        <w:t xml:space="preserve"> </w:t>
      </w:r>
      <w:r w:rsidR="001803CB">
        <w:fldChar w:fldCharType="begin"/>
      </w:r>
      <w:r w:rsidR="001803CB">
        <w:instrText xml:space="preserve"> ADDIN ZOTERO_ITEM CSL_CITATION {"citationID":"YYPPckXo","properties":{"formattedCitation":"[14]","plainCitation":"[14]","noteIndex":0},"citationItems":[{"id":1231,"uris":["http://zotero.org/users/9332412/items/8CJS2Y7E"],"itemData":{"id":1231,"type":"article-journal","abstract":"Purpose – This paper aims at assessing the actual use of interregional transmission lines and the opportunity cost of unused capacity. The 13 electric power lines connecting the province of Quebec (Canada) to its neighbours (New Brunswick, New England, New York, Ontario) are analysed for the years 2006, 2007 and 2008. Design/methodology/approach – Hourly electricity transmission data from the Quebec Open Access Same</w:instrText>
      </w:r>
      <w:r w:rsidR="001803CB">
        <w:rPr>
          <w:rFonts w:ascii="Cambria Math" w:hAnsi="Cambria Math" w:cs="Cambria Math"/>
        </w:rPr>
        <w:instrText>‐</w:instrText>
      </w:r>
      <w:r w:rsidR="001803CB">
        <w:instrText>Time Information System (OASIS) are analysed and matched with hourly market prices in New Brunswick, New England, New York and Ontario, for the years 2006, 2007 and 2008. Findings – Capacity factors of about 50 per cent are found for these lines. Although increasing from 2006 to 2008, this finding shows that interregional lines are far from being heavily congested. Furthermore, about 25 TWh of additional profitable exports could have taken place every year, given the market conditions and the availability of transmission lines. These exports represented an opportunity cost of about $1 billion per year. Research limitations/implications – Other network constraints and transaction costs could explain why these profitable transactions have not taken place. However, the lack of available energy most likely explains why exports were limited. The opportunity cost could also be overestimated by not taking into account the price impact of additional exports. Practical implications – Price regulation in Quebec (with priority given to local loads) should be reviewed to maximize economic efficiency and environmental benefits in the Northeast region. Originality/value – This is the first analysis of the use of interregional electricity transmission lines. It provides a preliminary estimate of the economic cost of not further integrating different neighbouring regions.","container-title":"International Journal of Energy Sector Management","DOI":"10.1108/17506220911005768","ISSN":"1750-6220","issue":"4","note":"publisher: Emerald Group Publishing Limited","page":"406-423","source":"Emerald Insight","title":"The value of unused interregional transmission: Estimating the opportunity cost for Quebec (Canada)","title-short":"The value of unused interregional transmission","URL":"https://doi.org/10.1108/17506220911005768","volume":"3","author":[{"family":"Pineau","given":"Pierre</w:instrText>
      </w:r>
      <w:r w:rsidR="001803CB">
        <w:rPr>
          <w:rFonts w:ascii="Cambria Math" w:hAnsi="Cambria Math" w:cs="Cambria Math"/>
        </w:rPr>
        <w:instrText>‐</w:instrText>
      </w:r>
      <w:r w:rsidR="001803CB">
        <w:instrText xml:space="preserve">Olivier"},{"family":"Lefebvre","given":"Vincent"}],"accessed":{"date-parts":[["2024",8,26]]},"issued":{"date-parts":[["2009",1,1]]}}}],"schema":"https://github.com/citation-style-language/schema/raw/master/csl-citation.json"} </w:instrText>
      </w:r>
      <w:r w:rsidR="001803CB">
        <w:fldChar w:fldCharType="separate"/>
      </w:r>
      <w:r w:rsidR="001803CB" w:rsidRPr="001803CB">
        <w:t>[14]</w:t>
      </w:r>
      <w:r w:rsidR="001803CB">
        <w:fldChar w:fldCharType="end"/>
      </w:r>
      <w:r>
        <w:t xml:space="preserve">. Sometimes regional integration is accompanied by efforts to expand BA territory, which can involve an expansion of centralized control over dispatch and resource adequacy to a grid operator in one of the regions. It is sometimes tempting to analyze and pursue trading opportunities from an economic efficiency lens without considering the potentially significant political cooperation needed as a foundation for lasting economic integration </w:t>
      </w:r>
      <w:r w:rsidR="001803CB">
        <w:fldChar w:fldCharType="begin"/>
      </w:r>
      <w:r w:rsidR="001803CB">
        <w:instrText xml:space="preserve"> ADDIN ZOTERO_ITEM CSL_CITATION {"citationID":"GqPFt2Aj","properties":{"formattedCitation":"[15,16]","plainCitation":"[15,16]","noteIndex":0},"citationItems":[{"id":1233,"uris":["http://zotero.org/users/9332412/items/YJZ8A5LD"],"itemData":{"id":1233,"type":"article-journal","abstract":"Much focus has been placed in public policy discourses on defining energy security as independence from reliance on external hydrocarbon fuels. This definition provides little guidance about the benefits and risks to energy security from the integration of electrical power systems across nation-state lines. Instead of assuming energy independence is intrinsically more secure, this paper argues for utilizing a multi-dimensional energy security framework for evaluating electricity integration by evaluating perceptions of the energy security for shallow and deep electricity integration for Morocco. It argues that conceiving of Moroccan policymaker’s energy security goals only in terms of energy independence misunderstands the broader sustainable development and human security context of Morocco’s renewable electricity plans and overlooks its motivations for increasing electricity interdependence. The paper concludes with policy recommendations for global governance geared toward improving the security of transnational grids. First, electricity integration offers numerous energy security benefits, but these benefits could be negated if technological integration lacks a strong political foundation. Second, policymakers should distinguish between dependence and interdependence and prioritize the latter. Third, given the urgency of climate change, pollution, and energy poverty challenges, decision-makers should approach energy security, human security, and sustainable development as inseparable challenges.","collection-title":"Conflict, Cooperation, and Change in the Politics of Energy Interdependence","container-title":"Energy Research &amp; Social Science","DOI":"10.1016/j.erss.2016.12.008","ISSN":"2214-6296","journalAbbreviation":"Energy Research &amp; Social Science","page":"21-29","source":"ScienceDirect","title":"Evaluating the energy security of electricity interdependence: Perspectives from Morocco","title-short":"Evaluating the energy security of electricity interdependence","URL":"https://www.sciencedirect.com/science/article/pii/S2214629616303036","volume":"24","author":[{"family":"Moore","given":"Sharlissa"}],"accessed":{"date-parts":[["2024",8,26]]},"issued":{"date-parts":[["2017",2,1]]}}},{"id":1235,"uris":["http://zotero.org/users/9332412/items/NENLRNIS"],"itemData":{"id":1235,"type":"article-journal","abstract":"This Perspective is attempted to broaden the scope of the debate on regional power connectivity to go beyond factors that are proximate to the electricity industry. It turns to major regionalist studies as a source of insights for identifying the wider connects of regional power connectivity, i.e., aspects of the geo-political, socio-economic, and cultural contexts that are significantly affected by, and affect the case for, regional power connectivity. These insights are then translated into three suggestions as to how to deepen regional power connectivity based on an appreciation of its wider connects. This Perspective represents a point of departure from the existing, industry-centric, perspective on the topic that is largely neglectful of the significance of the wider contexts within which regional power connectivity has been progressed. It therefore contributes to the development of more effective policy solutions for deepening regional power connectivity.","container-title":"Energy Research &amp; Social Science","DOI":"10.1016/j.erss.2022.102614","ISSN":"2214-6296","journalAbbreviation":"Energy Research &amp; Social Science","page":"102614","source":"ScienceDirect","title":"Deepening regional power connectivity: Beyond the industry-centric perspective","title-short":"Deepening regional power connectivity","URL":"https://www.sciencedirect.com/science/article/pii/S2214629622001189","volume":"90","author":[{"family":"Yang","given":"Muyi"},{"family":"Shi","given":"Xunpeng"},{"family":"Zhou","given":"Yuanbing"},{"family":"Xiang","given":"Junyong"},{"family":"Zhang","given":"Rui"}],"accessed":{"date-parts":[["2024",8,26]]},"issued":{"date-parts":[["2022",8,1]]}}}],"schema":"https://github.com/citation-style-language/schema/raw/master/csl-citation.json"} </w:instrText>
      </w:r>
      <w:r w:rsidR="001803CB">
        <w:fldChar w:fldCharType="separate"/>
      </w:r>
      <w:r w:rsidR="001803CB" w:rsidRPr="001803CB">
        <w:t>[15,16]</w:t>
      </w:r>
      <w:r w:rsidR="001803CB">
        <w:fldChar w:fldCharType="end"/>
      </w:r>
      <w:r>
        <w:t>.</w:t>
      </w:r>
    </w:p>
    <w:p w14:paraId="6F2F9520" w14:textId="77777777" w:rsidR="00611F5E" w:rsidRDefault="00164B3C">
      <w:r>
        <w:t>Furthermore, the import reliance metric is limited in assessing reliability risk is that it does not account for relevant characteristics of the contractual arrangements underlying electricity imports. For example, a balancing authority whose imports are provided under firm delivery arrangements may have lower reliability risk than a BA that relies on significant imports purchased from a spot market.</w:t>
      </w:r>
    </w:p>
    <w:p w14:paraId="0F78E650" w14:textId="77777777" w:rsidR="00611F5E" w:rsidRDefault="00164B3C">
      <w:r>
        <w:t>The import reliance metric also does not incorporate the diversity of external sources of supply, which is a relevant factor for assessing reliability risk. A region relying on imports may be more reliable if it has many different sources of external supply. In contrast, a balancing authority that is heavily reliant on imports from a single large plant may have higher risk. A similar perspective that is not captured in the import reliance metric is the number of interconnections over which electricity imports flow into the BA of interest. A region reliant on imports over a single transmission line has greater reliability risk than one with multiple lines providing some redundancy if one experiences an outage. These two perspectives are analyzed further for U.S. BA’s in subsequent sections.</w:t>
      </w:r>
    </w:p>
    <w:p w14:paraId="2C283DF1" w14:textId="77777777" w:rsidR="00611F5E" w:rsidRDefault="00164B3C">
      <w:pPr>
        <w:pStyle w:val="Heading1"/>
      </w:pPr>
      <w:r>
        <w:t>Import Diversity</w:t>
      </w:r>
    </w:p>
    <w:p w14:paraId="4296DC5B" w14:textId="18EF6CFE" w:rsidR="00856351" w:rsidRDefault="00856351">
      <w:pPr>
        <w:rPr>
          <w:iCs/>
        </w:rPr>
      </w:pPr>
      <w:r>
        <w:rPr>
          <w:iCs/>
        </w:rPr>
        <w:t xml:space="preserve">A diverse set of import sources is beneficial for reliability for multiple reasons. Reduced dependency on one or a small number of exporters increases the probability of available supply when needed. Regions may have climate and weather differences, which can improve the availability of variable supply, and may support mitigating local extreme events such as a heat wave, natural disaster, or infrastructure failure. </w:t>
      </w:r>
      <w:r w:rsidRPr="00856351">
        <w:rPr>
          <w:iCs/>
          <w:highlight w:val="yellow"/>
        </w:rPr>
        <w:t>(Get some citations for this opening)</w:t>
      </w:r>
    </w:p>
    <w:p w14:paraId="1EDD06D7" w14:textId="21E0A7EC" w:rsidR="00611F5E" w:rsidRDefault="00164B3C">
      <w:r>
        <w:rPr>
          <w:i/>
        </w:rPr>
        <w:t>Draft some text that motivating the importance of a BA electricity import diversity could be useful indicator from a Resource Adequacy perspective.</w:t>
      </w:r>
    </w:p>
    <w:p w14:paraId="38998077" w14:textId="4673FFE0" w:rsidR="00164034" w:rsidRDefault="00164B3C">
      <w:pPr>
        <w:rPr>
          <w:color w:val="000000"/>
          <w:sz w:val="20"/>
          <w:szCs w:val="20"/>
        </w:rPr>
      </w:pPr>
      <w:r>
        <w:rPr>
          <w:i/>
        </w:rPr>
        <w:t>Another paragraph or few sentences bringing us to the concept of formal diversity metrics and in particular the Shannon Index</w:t>
      </w:r>
    </w:p>
    <w:p w14:paraId="205C3A1A" w14:textId="173F61D1" w:rsidR="00611F5E" w:rsidRDefault="00295051">
      <w:pPr>
        <w:rPr>
          <w:i/>
        </w:rPr>
      </w:pPr>
      <w:r w:rsidRPr="00295051">
        <w:rPr>
          <w:color w:val="000000"/>
        </w:rPr>
        <w:lastRenderedPageBreak/>
        <w:t>The Shannon</w:t>
      </w:r>
      <w:r w:rsidR="005E444D">
        <w:rPr>
          <w:color w:val="000000"/>
        </w:rPr>
        <w:t xml:space="preserve"> Diversity</w:t>
      </w:r>
      <w:r w:rsidRPr="00295051">
        <w:rPr>
          <w:color w:val="000000"/>
        </w:rPr>
        <w:t xml:space="preserve"> Index </w:t>
      </w:r>
      <w:r w:rsidR="005E444D">
        <w:rPr>
          <w:color w:val="000000"/>
        </w:rPr>
        <w:t xml:space="preserve">was </w:t>
      </w:r>
      <w:r w:rsidR="008E5C0B">
        <w:rPr>
          <w:color w:val="000000"/>
        </w:rPr>
        <w:t xml:space="preserve">developed in communication </w:t>
      </w:r>
      <w:r w:rsidRPr="00295051">
        <w:rPr>
          <w:color w:val="000000"/>
        </w:rPr>
        <w:t xml:space="preserve">theory </w:t>
      </w:r>
      <w:r w:rsidR="005E444D">
        <w:rPr>
          <w:color w:val="000000"/>
        </w:rPr>
        <w:t xml:space="preserve">to measure </w:t>
      </w:r>
      <w:r w:rsidR="00466BE8">
        <w:rPr>
          <w:color w:val="000000"/>
        </w:rPr>
        <w:t xml:space="preserve">the </w:t>
      </w:r>
      <w:r w:rsidR="00DD6380">
        <w:rPr>
          <w:color w:val="000000"/>
        </w:rPr>
        <w:t xml:space="preserve">quantity of information </w:t>
      </w:r>
      <w:r w:rsidR="00E25254">
        <w:rPr>
          <w:color w:val="000000"/>
        </w:rPr>
        <w:t>in</w:t>
      </w:r>
      <w:r w:rsidR="005C3B3D">
        <w:rPr>
          <w:color w:val="000000"/>
        </w:rPr>
        <w:t>cluded in</w:t>
      </w:r>
      <w:r w:rsidR="00955682">
        <w:rPr>
          <w:color w:val="000000"/>
        </w:rPr>
        <w:t xml:space="preserve"> a </w:t>
      </w:r>
      <w:r w:rsidR="00012C55">
        <w:rPr>
          <w:color w:val="000000"/>
        </w:rPr>
        <w:t>communication signal</w:t>
      </w:r>
      <w:r w:rsidR="00955682">
        <w:rPr>
          <w:color w:val="000000"/>
        </w:rPr>
        <w:t xml:space="preserve"> </w:t>
      </w:r>
      <w:r w:rsidR="00692699">
        <w:rPr>
          <w:color w:val="000000"/>
        </w:rPr>
        <w:fldChar w:fldCharType="begin"/>
      </w:r>
      <w:r w:rsidR="00692699">
        <w:rPr>
          <w:color w:val="000000"/>
        </w:rPr>
        <w:instrText xml:space="preserve"> ADDIN ZOTERO_ITEM CSL_CITATION {"citationID":"tyLj8ulh","properties":{"formattedCitation":"[17]","plainCitation":"[17]","noteIndex":0},"citationItems":[{"id":1168,"uris":["http://zotero.org/users/9332412/items/RGA4KMYV"],"itemData":{"id":1168,"type":"article-journal","container-title":"The Bell System Technical Journal","DOI":"10.1002/j.1538-7305.1948.tb01338.x","issue":"3","page":"379-423","title":"A mathematical theory of communication","volume":"27","author":[{"family":"Shannon","given":"C E"}],"issued":{"date-parts":[["1948"]]}}}],"schema":"https://github.com/citation-style-language/schema/raw/master/csl-citation.json"} </w:instrText>
      </w:r>
      <w:r w:rsidR="00692699">
        <w:rPr>
          <w:color w:val="000000"/>
        </w:rPr>
        <w:fldChar w:fldCharType="separate"/>
      </w:r>
      <w:r w:rsidR="00692699" w:rsidRPr="00692699">
        <w:t>[17]</w:t>
      </w:r>
      <w:r w:rsidR="00692699">
        <w:rPr>
          <w:color w:val="000000"/>
        </w:rPr>
        <w:fldChar w:fldCharType="end"/>
      </w:r>
      <w:r w:rsidRPr="00295051">
        <w:rPr>
          <w:color w:val="000000"/>
        </w:rPr>
        <w:t xml:space="preserve">. </w:t>
      </w:r>
      <w:r w:rsidR="005E444D">
        <w:rPr>
          <w:color w:val="000000"/>
        </w:rPr>
        <w:t xml:space="preserve">Since then, it </w:t>
      </w:r>
      <w:r w:rsidR="00955682">
        <w:rPr>
          <w:color w:val="000000"/>
        </w:rPr>
        <w:t>has commonly</w:t>
      </w:r>
      <w:r w:rsidRPr="00295051">
        <w:rPr>
          <w:color w:val="000000"/>
        </w:rPr>
        <w:t xml:space="preserve"> </w:t>
      </w:r>
      <w:r w:rsidR="008A3776">
        <w:rPr>
          <w:color w:val="000000"/>
        </w:rPr>
        <w:t xml:space="preserve">been </w:t>
      </w:r>
      <w:r w:rsidRPr="00295051">
        <w:rPr>
          <w:color w:val="000000"/>
        </w:rPr>
        <w:t xml:space="preserve">applied as a measure of diversity for a range of applications, notably for species diversity in ecologic systems </w:t>
      </w:r>
      <w:r w:rsidRPr="00295051">
        <w:rPr>
          <w:color w:val="000000"/>
          <w:highlight w:val="yellow"/>
        </w:rPr>
        <w:t>[37–39]</w:t>
      </w:r>
      <w:r w:rsidR="00164B3C" w:rsidRPr="00295051">
        <w:rPr>
          <w:i/>
        </w:rPr>
        <w:t>.</w:t>
      </w:r>
      <w:r w:rsidR="00164B3C" w:rsidRPr="00295051">
        <w:rPr>
          <w:i/>
          <w:vertAlign w:val="superscript"/>
        </w:rPr>
        <w:footnoteReference w:id="1"/>
      </w:r>
    </w:p>
    <w:p w14:paraId="121F1BA9" w14:textId="11F23E58" w:rsidR="00FB5981" w:rsidRPr="00FB5981" w:rsidRDefault="00FB5981">
      <w:pPr>
        <w:rPr>
          <w:iCs/>
        </w:rPr>
      </w:pPr>
      <w:r>
        <w:rPr>
          <w:iCs/>
        </w:rPr>
        <w:t>The Shannon Diversity Index</w:t>
      </w:r>
      <w:r w:rsidR="00BB4357">
        <w:rPr>
          <w:iCs/>
        </w:rPr>
        <w:t xml:space="preserve"> </w:t>
      </w:r>
      <w:r w:rsidR="00E72091">
        <w:rPr>
          <w:iCs/>
        </w:rPr>
        <w:t>applied to</w:t>
      </w:r>
      <w:r w:rsidR="00A06FE0">
        <w:rPr>
          <w:iCs/>
        </w:rPr>
        <w:t xml:space="preserve"> an</w:t>
      </w:r>
      <w:r w:rsidR="00E72091">
        <w:rPr>
          <w:iCs/>
        </w:rPr>
        <w:t xml:space="preserve"> electric balancing authority </w:t>
      </w:r>
      <w:r>
        <w:rPr>
          <w:iCs/>
        </w:rPr>
        <w:t xml:space="preserve">is defined in </w:t>
      </w:r>
      <w:r w:rsidRPr="00FB5981">
        <w:rPr>
          <w:iCs/>
          <w:highlight w:val="yellow"/>
        </w:rPr>
        <w:t>equation</w:t>
      </w:r>
    </w:p>
    <w:tbl>
      <w:tblPr>
        <w:tblStyle w:val="a0"/>
        <w:tblW w:w="15584" w:type="dxa"/>
        <w:tblBorders>
          <w:top w:val="nil"/>
          <w:left w:val="nil"/>
          <w:bottom w:val="nil"/>
          <w:right w:val="nil"/>
          <w:insideH w:val="nil"/>
          <w:insideV w:val="nil"/>
        </w:tblBorders>
        <w:tblLayout w:type="fixed"/>
        <w:tblLook w:val="0400" w:firstRow="0" w:lastRow="0" w:firstColumn="0" w:lastColumn="0" w:noHBand="0" w:noVBand="1"/>
      </w:tblPr>
      <w:tblGrid>
        <w:gridCol w:w="3116"/>
        <w:gridCol w:w="3117"/>
        <w:gridCol w:w="3117"/>
        <w:gridCol w:w="3117"/>
        <w:gridCol w:w="3117"/>
      </w:tblGrid>
      <w:tr w:rsidR="00A06FE0" w14:paraId="4B9D427C" w14:textId="77777777" w:rsidTr="00A06FE0">
        <w:tc>
          <w:tcPr>
            <w:tcW w:w="3116" w:type="dxa"/>
            <w:vAlign w:val="center"/>
          </w:tcPr>
          <w:p w14:paraId="0D2DC2AD" w14:textId="77777777" w:rsidR="00A06FE0" w:rsidRDefault="00A06FE0">
            <w:pPr>
              <w:jc w:val="center"/>
              <w:rPr>
                <w:i/>
              </w:rPr>
            </w:pPr>
          </w:p>
        </w:tc>
        <w:tc>
          <w:tcPr>
            <w:tcW w:w="3117" w:type="dxa"/>
            <w:vAlign w:val="center"/>
          </w:tcPr>
          <w:p w14:paraId="2F922869" w14:textId="5189E58E" w:rsidR="00A06FE0" w:rsidRDefault="00A06FE0">
            <w:pPr>
              <w:jc w:val="center"/>
              <w:rPr>
                <w:rFonts w:ascii="Cambria Math" w:eastAsia="Cambria Math" w:hAnsi="Cambria Math" w:cs="Cambria Math"/>
              </w:rPr>
            </w:pPr>
            <m:oMathPara>
              <m:oMath>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r>
                  <w:rPr>
                    <w:rFonts w:ascii="Cambria Math" w:eastAsia="Cambria Math" w:hAnsi="Cambria Math" w:cs="Cambria Math"/>
                  </w:rPr>
                  <m:t>=-</m:t>
                </m:r>
                <m:nary>
                  <m:naryPr>
                    <m:chr m:val="∑"/>
                    <m:limLoc m:val="undOvr"/>
                    <m:ctrlPr>
                      <w:rPr>
                        <w:rFonts w:ascii="Cambria Math" w:eastAsia="Cambria Math" w:hAnsi="Cambria Math" w:cs="Cambria Math"/>
                        <w:i/>
                      </w:rPr>
                    </m:ctrlPr>
                  </m:naryPr>
                  <m:sub>
                    <m:r>
                      <w:rPr>
                        <w:rFonts w:ascii="Cambria Math" w:eastAsia="Cambria Math" w:hAnsi="Cambria Math" w:cs="Cambria Math"/>
                      </w:rPr>
                      <m:t>i</m:t>
                    </m:r>
                  </m:sub>
                  <m:sup>
                    <m:r>
                      <w:rPr>
                        <w:rFonts w:ascii="Cambria Math" w:eastAsia="Cambria Math" w:hAnsi="Cambria Math" w:cs="Cambria Math"/>
                      </w:rPr>
                      <m:t>n</m:t>
                    </m:r>
                  </m:sup>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r>
                      <w:rPr>
                        <w:rFonts w:ascii="Cambria Math" w:eastAsia="Cambria Math" w:hAnsi="Cambria Math" w:cs="Cambria Math"/>
                      </w:rPr>
                      <m:t xml:space="preserve"> Ln</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e>
                    </m:d>
                  </m:e>
                </m:nary>
              </m:oMath>
            </m:oMathPara>
          </w:p>
        </w:tc>
        <w:tc>
          <w:tcPr>
            <w:tcW w:w="3117" w:type="dxa"/>
          </w:tcPr>
          <w:p w14:paraId="184C1CB7" w14:textId="77777777" w:rsidR="00A06FE0" w:rsidRDefault="00A06FE0">
            <w:pPr>
              <w:jc w:val="right"/>
              <w:rPr>
                <w:i/>
              </w:rPr>
            </w:pPr>
          </w:p>
        </w:tc>
        <w:tc>
          <w:tcPr>
            <w:tcW w:w="3117" w:type="dxa"/>
          </w:tcPr>
          <w:p w14:paraId="35EEEB0B" w14:textId="2397F985" w:rsidR="00A06FE0" w:rsidRDefault="00A06FE0">
            <w:pPr>
              <w:jc w:val="right"/>
              <w:rPr>
                <w:i/>
              </w:rPr>
            </w:pPr>
          </w:p>
        </w:tc>
        <w:tc>
          <w:tcPr>
            <w:tcW w:w="3117" w:type="dxa"/>
            <w:vAlign w:val="center"/>
          </w:tcPr>
          <w:p w14:paraId="15251B84" w14:textId="70598923" w:rsidR="00A06FE0" w:rsidRDefault="00A06FE0">
            <w:pPr>
              <w:jc w:val="right"/>
              <w:rPr>
                <w:i/>
              </w:rPr>
            </w:pPr>
            <w:r>
              <w:rPr>
                <w:i/>
              </w:rPr>
              <w:t>(1)</w:t>
            </w:r>
          </w:p>
        </w:tc>
      </w:tr>
    </w:tbl>
    <w:p w14:paraId="77125BB4" w14:textId="1C10184F" w:rsidR="00612085" w:rsidRDefault="00164B3C">
      <w:pPr>
        <w:rPr>
          <w:color w:val="000000"/>
        </w:rPr>
      </w:pPr>
      <w:r>
        <w:t xml:space="preserve">Where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is the share of imports from neighboring BA </w:t>
      </w:r>
      <m:oMath>
        <m:r>
          <w:rPr>
            <w:rFonts w:ascii="Cambria Math" w:eastAsia="Cambria Math" w:hAnsi="Cambria Math" w:cs="Cambria Math"/>
          </w:rPr>
          <m:t>i</m:t>
        </m:r>
      </m:oMath>
      <w:r>
        <w:t xml:space="preserve"> </w:t>
      </w:r>
      <w:r w:rsidR="00F9451B">
        <w:t xml:space="preserve">that it imports from, </w:t>
      </w:r>
      <w:r>
        <w:t xml:space="preserve">relative to total demand in </w:t>
      </w:r>
      <w:r w:rsidR="00A06FE0">
        <w:t xml:space="preserve">the </w:t>
      </w:r>
      <w:r w:rsidR="004C6C11">
        <w:t>balancing</w:t>
      </w:r>
      <w:r w:rsidR="00A06FE0">
        <w:t xml:space="preserve"> </w:t>
      </w:r>
      <w:r w:rsidR="004C6C11">
        <w:t xml:space="preserve">authority </w:t>
      </w:r>
      <w:r w:rsidR="00A06FE0">
        <w:t>of interest</w:t>
      </w:r>
      <w:r>
        <w:t xml:space="preserve">. Mathematically, </w:t>
      </w:r>
      <m:oMath>
        <m:r>
          <w:rPr>
            <w:rFonts w:ascii="Cambria Math" w:eastAsia="Cambria Math" w:hAnsi="Cambria Math" w:cs="Cambria Math"/>
          </w:rPr>
          <m:t>H</m:t>
        </m:r>
      </m:oMath>
      <w:r>
        <w:t xml:space="preserve"> is inversely related to the geoemetric mean of the relative shares </w:t>
      </w:r>
      <m:oMath>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oMath>
      <w:r>
        <w:t xml:space="preserve"> such that a higher value </w:t>
      </w:r>
      <m:oMath>
        <m:r>
          <w:rPr>
            <w:rFonts w:ascii="Cambria Math" w:eastAsia="Cambria Math" w:hAnsi="Cambria Math" w:cs="Cambria Math"/>
          </w:rPr>
          <m:t>H</m:t>
        </m:r>
      </m:oMath>
      <w:r>
        <w:t xml:space="preserve"> describes a system with a more diverse set of imports.</w:t>
      </w:r>
      <w:r w:rsidR="001C163D">
        <w:t xml:space="preserve"> </w:t>
      </w:r>
      <w:r w:rsidR="001C163D" w:rsidRPr="001C163D">
        <w:rPr>
          <w:color w:val="000000"/>
        </w:rPr>
        <w:t>I</w:t>
      </w:r>
      <w:r w:rsidR="001C163D" w:rsidRPr="001C163D">
        <w:rPr>
          <w:color w:val="000000"/>
        </w:rPr>
        <w:t xml:space="preserve">t can be </w:t>
      </w:r>
      <w:r w:rsidR="000E7334">
        <w:rPr>
          <w:color w:val="000000"/>
        </w:rPr>
        <w:t xml:space="preserve">shown </w:t>
      </w:r>
      <w:r w:rsidR="001C163D" w:rsidRPr="001C163D">
        <w:rPr>
          <w:color w:val="000000"/>
        </w:rPr>
        <w:t xml:space="preserve">that </w:t>
      </w:r>
      <m:oMath>
        <m:f>
          <m:fPr>
            <m:ctrlPr>
              <w:rPr>
                <w:rFonts w:ascii="Cambria Math" w:hAnsi="Cambria Math"/>
                <w:i/>
                <w:color w:val="000000"/>
              </w:rPr>
            </m:ctrlPr>
          </m:fPr>
          <m:num>
            <m:r>
              <w:rPr>
                <w:rFonts w:ascii="Cambria Math" w:hAnsi="Cambria Math"/>
                <w:color w:val="000000"/>
              </w:rPr>
              <m:t>1</m:t>
            </m:r>
          </m:num>
          <m:den>
            <m:sSup>
              <m:sSupPr>
                <m:ctrlPr>
                  <w:rPr>
                    <w:rFonts w:ascii="Cambria Math" w:hAnsi="Cambria Math"/>
                    <w:i/>
                    <w:color w:val="000000"/>
                  </w:rPr>
                </m:ctrlPr>
              </m:sSupPr>
              <m:e>
                <m:r>
                  <w:rPr>
                    <w:rFonts w:ascii="Cambria Math" w:hAnsi="Cambria Math"/>
                    <w:color w:val="000000"/>
                  </w:rPr>
                  <m:t>e</m:t>
                </m:r>
              </m:e>
              <m:sup>
                <m:r>
                  <w:rPr>
                    <w:rFonts w:ascii="Cambria Math" w:hAnsi="Cambria Math"/>
                    <w:color w:val="000000"/>
                  </w:rPr>
                  <m:t>H</m:t>
                </m:r>
              </m:sup>
            </m:sSup>
          </m:den>
        </m:f>
      </m:oMath>
      <w:r w:rsidR="001C163D" w:rsidRPr="001C163D">
        <w:rPr>
          <w:color w:val="000000"/>
          <w:highlight w:val="yellow"/>
        </w:rPr>
        <w:t xml:space="preserve"> is the geometric mean of the relative shares </w:t>
      </w:r>
      <m:oMath>
        <m:sSub>
          <m:sSubPr>
            <m:ctrlPr>
              <w:rPr>
                <w:rFonts w:ascii="Cambria Math" w:hAnsi="Cambria Math"/>
                <w:i/>
                <w:color w:val="000000"/>
              </w:rPr>
            </m:ctrlPr>
          </m:sSubPr>
          <m:e>
            <m:r>
              <w:rPr>
                <w:rFonts w:ascii="Cambria Math" w:hAnsi="Cambria Math"/>
                <w:color w:val="000000"/>
                <w:highlight w:val="yellow"/>
              </w:rPr>
              <m:t>p</m:t>
            </m:r>
            <m:ctrlPr>
              <w:rPr>
                <w:rFonts w:ascii="Cambria Math" w:hAnsi="Cambria Math"/>
                <w:i/>
                <w:color w:val="000000"/>
                <w:highlight w:val="yellow"/>
              </w:rPr>
            </m:ctrlPr>
          </m:e>
          <m:sub>
            <m:r>
              <w:rPr>
                <w:rFonts w:ascii="Cambria Math" w:hAnsi="Cambria Math"/>
                <w:color w:val="000000"/>
              </w:rPr>
              <m:t>i</m:t>
            </m:r>
          </m:sub>
        </m:sSub>
      </m:oMath>
      <w:r w:rsidR="001C163D" w:rsidRPr="001C163D">
        <w:rPr>
          <w:rFonts w:ascii="Cambria Math" w:eastAsia="Cambria Math" w:hAnsi="Cambria Math" w:cs="Cambria Math"/>
          <w:color w:val="000000"/>
        </w:rPr>
        <w:t xml:space="preserve"> </w:t>
      </w:r>
      <w:sdt>
        <w:sdtPr>
          <w:rPr>
            <w:rFonts w:ascii="Cambria Math" w:eastAsia="Cambria Math" w:hAnsi="Cambria Math" w:cs="Cambria Math"/>
            <w:color w:val="000000"/>
          </w:rPr>
          <w:tag w:val="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
          <w:id w:val="-1365906170"/>
          <w:placeholder>
            <w:docPart w:val="1C89F300641C4A5996DC2494C2F86625"/>
          </w:placeholder>
        </w:sdtPr>
        <w:sdtEndPr>
          <w:rPr>
            <w:highlight w:val="yellow"/>
          </w:rPr>
        </w:sdtEndPr>
        <w:sdtContent>
          <w:r w:rsidR="001C163D" w:rsidRPr="001C163D">
            <w:rPr>
              <w:rFonts w:ascii="Cambria Math" w:eastAsia="Cambria Math" w:hAnsi="Cambria Math" w:cs="Cambria Math"/>
              <w:color w:val="000000"/>
              <w:highlight w:val="yellow"/>
            </w:rPr>
            <w:t>[1]</w:t>
          </w:r>
        </w:sdtContent>
      </w:sdt>
      <w:r w:rsidR="001C163D" w:rsidRPr="001C163D">
        <w:rPr>
          <w:rFonts w:ascii="Cambria Math" w:eastAsia="Cambria Math" w:hAnsi="Cambria Math" w:cs="Cambria Math"/>
          <w:color w:val="000000"/>
        </w:rPr>
        <w:t xml:space="preserve"> </w:t>
      </w:r>
      <w:r w:rsidR="001C163D" w:rsidRPr="005B4A77">
        <w:rPr>
          <w:color w:val="000000"/>
          <w:highlight w:val="yellow"/>
        </w:rPr>
        <w:t>[40]</w:t>
      </w:r>
      <w:r w:rsidR="001C163D" w:rsidRPr="001C163D">
        <w:rPr>
          <w:color w:val="000000"/>
        </w:rPr>
        <w:t xml:space="preserve">. This relationship shows a relatively concentrated (less diverse)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1C163D" w:rsidRPr="001C163D">
        <w:rPr>
          <w:color w:val="000000"/>
        </w:rPr>
        <w:t xml:space="preserve"> set leads to a higher geometric mean and a lower </w:t>
      </w:r>
      <w:r w:rsidR="001C163D" w:rsidRPr="001C163D">
        <w:rPr>
          <w:rFonts w:ascii="Cambria Math" w:eastAsia="Cambria Math" w:hAnsi="Cambria Math" w:cs="Cambria Math"/>
          <w:color w:val="000000"/>
        </w:rPr>
        <w:t>H</w:t>
      </w:r>
      <w:r w:rsidR="001C163D" w:rsidRPr="001C163D">
        <w:rPr>
          <w:color w:val="000000"/>
        </w:rPr>
        <w:t xml:space="preserve"> value. </w:t>
      </w:r>
      <w:r w:rsidR="001C163D" w:rsidRPr="001C163D">
        <w:rPr>
          <w:color w:val="000000"/>
          <w:highlight w:val="yellow"/>
        </w:rPr>
        <w:t>Find the source and do the derivation</w:t>
      </w:r>
      <w:r w:rsidR="001C163D" w:rsidRPr="001C163D">
        <w:rPr>
          <w:color w:val="000000"/>
        </w:rPr>
        <w:t xml:space="preserve"> If a system’s entire electricity demand was served by a single source of imports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j</m:t>
            </m:r>
          </m:sub>
        </m:sSub>
        <m:r>
          <w:rPr>
            <w:rFonts w:ascii="Cambria Math" w:hAnsi="Cambria Math"/>
            <w:color w:val="000000"/>
          </w:rPr>
          <m:t>=1</m:t>
        </m:r>
      </m:oMath>
      <w:r w:rsidR="001C163D" w:rsidRPr="001C163D">
        <w:rPr>
          <w:color w:val="000000"/>
        </w:rPr>
        <w:t xml:space="preserve"> and all other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r>
          <w:rPr>
            <w:rFonts w:ascii="Cambria Math" w:hAnsi="Cambria Math"/>
            <w:color w:val="000000"/>
          </w:rPr>
          <m:t>=0</m:t>
        </m:r>
      </m:oMath>
      <w:r w:rsidR="001C163D" w:rsidRPr="001C163D">
        <w:rPr>
          <w:color w:val="000000"/>
        </w:rPr>
        <w:t>), then</w:t>
      </w:r>
      <w:r w:rsidR="000229B4">
        <w:rPr>
          <w:color w:val="000000"/>
        </w:rPr>
        <w:t xml:space="preserve"> </w:t>
      </w:r>
      <w:r w:rsidR="003023F3">
        <w:rPr>
          <w:color w:val="000000"/>
        </w:rPr>
        <w:t>this</w:t>
      </w:r>
      <w:r w:rsidR="000229B4">
        <w:rPr>
          <w:color w:val="000000"/>
        </w:rPr>
        <w:t xml:space="preserve"> diversity metric</w:t>
      </w:r>
      <w:r w:rsidR="001C163D" w:rsidRPr="001C163D">
        <w:rPr>
          <w:color w:val="000000"/>
        </w:rPr>
        <w:t xml:space="preserve"> </w:t>
      </w:r>
      <w:r w:rsidR="005B3AF6">
        <w:rPr>
          <w:color w:val="000000"/>
        </w:rPr>
        <w:t xml:space="preserve">would equal </w:t>
      </w:r>
      <w:r w:rsidR="003023F3">
        <w:rPr>
          <w:color w:val="000000"/>
        </w:rPr>
        <w:t>zero</w:t>
      </w:r>
      <w:r w:rsidR="00085A0C">
        <w:rPr>
          <w:color w:val="000000"/>
        </w:rPr>
        <w:t>.</w:t>
      </w:r>
      <w:r w:rsidR="00B119D8">
        <w:rPr>
          <w:color w:val="000000"/>
        </w:rPr>
        <w:t xml:space="preserve"> </w:t>
      </w:r>
    </w:p>
    <w:p w14:paraId="6B0C7D57" w14:textId="6968E044" w:rsidR="00611F5E" w:rsidRPr="001C163D" w:rsidRDefault="00B119D8">
      <w:r>
        <w:rPr>
          <w:color w:val="000000"/>
        </w:rPr>
        <w:t xml:space="preserve">Conversley, for a given set of </w:t>
      </w:r>
      <w:r w:rsidR="00D12B5B">
        <w:rPr>
          <w:color w:val="000000"/>
        </w:rPr>
        <w:t>import sources</w:t>
      </w:r>
      <w:r w:rsidR="000F3DF6">
        <w:rPr>
          <w:color w:val="000000"/>
        </w:rPr>
        <w:t xml:space="preserve"> </w:t>
      </w:r>
      <m:oMath>
        <m:r>
          <w:rPr>
            <w:rFonts w:ascii="Cambria Math" w:hAnsi="Cambria Math"/>
            <w:color w:val="000000"/>
          </w:rPr>
          <m:t>n</m:t>
        </m:r>
      </m:oMath>
      <w:r w:rsidR="00D12B5B">
        <w:rPr>
          <w:color w:val="000000"/>
        </w:rPr>
        <w:t xml:space="preserve">, </w:t>
      </w:r>
      <w:r w:rsidR="00D13C42">
        <w:rPr>
          <w:color w:val="000000"/>
        </w:rPr>
        <w:t>the diversity metric</w:t>
      </w:r>
      <w:r w:rsidR="00B57AB9">
        <w:rPr>
          <w:color w:val="000000"/>
        </w:rPr>
        <w:t xml:space="preserve"> </w:t>
      </w:r>
      <m:oMath>
        <m:r>
          <w:rPr>
            <w:rFonts w:ascii="Cambria Math" w:hAnsi="Cambria Math"/>
            <w:color w:val="000000"/>
          </w:rPr>
          <m:t>H</m:t>
        </m:r>
      </m:oMath>
      <w:r w:rsidR="00D12B5B">
        <w:rPr>
          <w:color w:val="000000"/>
        </w:rPr>
        <w:t xml:space="preserve"> is maximized when all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m:t>
            </m:r>
          </m:sub>
        </m:sSub>
      </m:oMath>
      <w:r w:rsidR="00D12B5B">
        <w:rPr>
          <w:color w:val="000000"/>
        </w:rPr>
        <w:t xml:space="preserve"> are equal (e.g. </w:t>
      </w:r>
      <m:oMath>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oMath>
      <w:r w:rsidR="00D12B5B">
        <w:rPr>
          <w:color w:val="000000"/>
        </w:rPr>
        <w:t>)</w:t>
      </w:r>
      <w:r w:rsidR="00B57AB9">
        <w:rPr>
          <w:color w:val="000000"/>
        </w:rPr>
        <w:t>. This is</w:t>
      </w:r>
      <w:r w:rsidR="00612085">
        <w:rPr>
          <w:color w:val="000000"/>
        </w:rPr>
        <w:t xml:space="preserve"> </w:t>
      </w:r>
      <w:r w:rsidR="00C3235B">
        <w:rPr>
          <w:color w:val="000000"/>
        </w:rPr>
        <w:t xml:space="preserve">the case </w:t>
      </w:r>
      <w:r w:rsidR="00612085">
        <w:rPr>
          <w:color w:val="000000"/>
        </w:rPr>
        <w:t xml:space="preserve">when </w:t>
      </w:r>
      <w:r w:rsidR="00C3235B">
        <w:rPr>
          <w:color w:val="000000"/>
        </w:rPr>
        <w:t xml:space="preserve">a system’s imports are provided equally by </w:t>
      </w:r>
      <w:r w:rsidR="005F67C7">
        <w:rPr>
          <w:color w:val="000000"/>
        </w:rPr>
        <w:t>all</w:t>
      </w:r>
      <w:r w:rsidR="00C3235B">
        <w:rPr>
          <w:color w:val="000000"/>
        </w:rPr>
        <w:t xml:space="preserve"> its trading partners such that one isn’t more dominant than others</w:t>
      </w:r>
      <w:r w:rsidR="00F42BDF">
        <w:rPr>
          <w:color w:val="000000"/>
        </w:rPr>
        <w:t xml:space="preserve">, and is the maximally “diverse” import situation for a given set of trading partners </w:t>
      </w:r>
      <m:oMath>
        <m:r>
          <w:rPr>
            <w:rFonts w:ascii="Cambria Math" w:hAnsi="Cambria Math"/>
            <w:color w:val="000000"/>
          </w:rPr>
          <m:t>n</m:t>
        </m:r>
      </m:oMath>
      <w:r w:rsidR="00885A02">
        <w:rPr>
          <w:color w:val="000000"/>
        </w:rPr>
        <w:t xml:space="preserve">. </w:t>
      </w:r>
      <w:r w:rsidR="00B11319">
        <w:rPr>
          <w:color w:val="000000"/>
        </w:rPr>
        <w:t>Finally</w:t>
      </w:r>
      <w:r w:rsidR="00B57AB9">
        <w:rPr>
          <w:color w:val="000000"/>
        </w:rPr>
        <w:t xml:space="preserve">, </w:t>
      </w:r>
      <w:r w:rsidR="00B11319">
        <w:rPr>
          <w:color w:val="000000"/>
        </w:rPr>
        <w:t xml:space="preserve">the diversity metric </w:t>
      </w:r>
      <m:oMath>
        <m:r>
          <w:rPr>
            <w:rFonts w:ascii="Cambria Math" w:hAnsi="Cambria Math"/>
            <w:color w:val="000000"/>
          </w:rPr>
          <m:t>H</m:t>
        </m:r>
      </m:oMath>
      <w:r w:rsidR="001501E9">
        <w:rPr>
          <w:color w:val="000000"/>
        </w:rPr>
        <w:t xml:space="preserve"> </w:t>
      </w:r>
      <w:r w:rsidR="00B57AB9">
        <w:rPr>
          <w:color w:val="000000"/>
        </w:rPr>
        <w:t>increas</w:t>
      </w:r>
      <w:r w:rsidR="005D401F">
        <w:rPr>
          <w:color w:val="000000"/>
        </w:rPr>
        <w:t>es</w:t>
      </w:r>
      <w:r w:rsidR="001501E9">
        <w:rPr>
          <w:color w:val="000000"/>
        </w:rPr>
        <w:t xml:space="preserve"> with </w:t>
      </w:r>
      <w:r w:rsidR="005D401F">
        <w:rPr>
          <w:color w:val="000000"/>
        </w:rPr>
        <w:t>more trading partners</w:t>
      </w:r>
      <w:r w:rsidR="001501E9">
        <w:rPr>
          <w:color w:val="000000"/>
        </w:rPr>
        <w:t xml:space="preserve"> (e.g. a higher </w:t>
      </w:r>
      <m:oMath>
        <m:r>
          <w:rPr>
            <w:rFonts w:ascii="Cambria Math" w:hAnsi="Cambria Math"/>
            <w:color w:val="000000"/>
          </w:rPr>
          <m:t>n</m:t>
        </m:r>
      </m:oMath>
      <w:r w:rsidR="001501E9">
        <w:rPr>
          <w:color w:val="000000"/>
        </w:rPr>
        <w:t>), all else equal</w:t>
      </w:r>
      <w:r w:rsidR="007171E7">
        <w:rPr>
          <w:color w:val="000000"/>
        </w:rPr>
        <w:t>.</w:t>
      </w:r>
    </w:p>
    <w:p w14:paraId="59315AD4" w14:textId="3F85FF47" w:rsidR="00611F5E" w:rsidRDefault="00164B3C">
      <w:r>
        <w:t>Th</w:t>
      </w:r>
      <w:r w:rsidR="00A21ADD">
        <w:t>is</w:t>
      </w:r>
      <w:r>
        <w:t xml:space="preserve"> </w:t>
      </w:r>
      <w:r w:rsidR="00A21ADD">
        <w:t xml:space="preserve">diversity index </w:t>
      </w:r>
      <w:r>
        <w:t xml:space="preserve">has been </w:t>
      </w:r>
      <w:r w:rsidR="00842BF6">
        <w:t xml:space="preserve">widely </w:t>
      </w:r>
      <w:r>
        <w:t>considered in energy security-focused studies as a metric for diversity of primary energy and energy import sources</w:t>
      </w:r>
      <w:r w:rsidR="00C96A6C">
        <w:t>, commonly at the nation-state level</w:t>
      </w:r>
      <w:r w:rsidR="00AE5985">
        <w:t xml:space="preserve"> </w:t>
      </w:r>
      <w:r w:rsidR="00AE5985">
        <w:fldChar w:fldCharType="begin"/>
      </w:r>
      <w:r w:rsidR="00692699">
        <w:instrText xml:space="preserve"> ADDIN ZOTERO_ITEM CSL_CITATION {"citationID":"qsWNns8e","properties":{"formattedCitation":"[18\\uc0\\u8211{}31]","plainCitation":"[18–31]","noteIndex":0},"citationItems":[{"id":1237,"uris":["http://zotero.org/users/9332412/items/DLP465N6"],"itemData":{"id":1237,"type":"article-journal","abstract":"Energy security has been an actively studied area in recent years. Various facets have been covered in the literature. Based on a survey of 104 studies from 2001 to June 2014, this paper reports the findings on the following: energy security definitions, changes in the themes of these definitions, energy security indexes, specific focused areas and methodological issues in the construction of these indexes, and energy security in the wider context of national energy policy. It is found that the definition of energy security is contextual and dynamic in nature. The scope of energy security has also expanded, with a growing emphasis on dimensions such as environmental sustainability and energy efficiency. Significant differences among studies are observed in the way in which energy security indexes are framed and constructed. These variations introduce challenges in comparing the findings among studies. Based on these findings, recommendations on studying energy security and the construction of energy security indexes are presented.","container-title":"Renewable and Sustainable Energy Reviews","DOI":"10.1016/j.rser.2014.10.064","ISSN":"1364-0321","journalAbbreviation":"Renewable and Sustainable Energy Reviews","page":"1077-1093","source":"ScienceDirect","title":"Energy security: Definitions, dimensions and indexes","title-short":"Energy security","URL":"https://www.sciencedirect.com/science/article/pii/S1364032114008892","volume":"42","author":[{"family":"Ang","given":"B. W."},{"family":"Choong","given":"W. L."},{"family":"Ng","given":"T. S."}],"accessed":{"date-parts":[["2024",8,26]]},"issued":{"date-parts":[["2015",2,1]]}}},{"id":1239,"uris":["http://zotero.org/users/9332412/items/Z9HFGVSP"],"itemData":{"id":1239,"type":"article-journal","abstract":"In order to maintain or improve a jurisdiction's energy security, its energy system needs to meet the demands of its energy services with affordable and preferably environmentally acceptable flows of energy. Since diversity can be a factor in the long-term survival of a system, having a diversity of energy flows is frequently treated as a proxy for energy security. This paper examines the relationship between energy security and the diversity of an energy system's energy flows using a set of energy security indicators and the Shannon–Wiener diversity index. Although diversity may be considered necessary for maintaining and improving energy security, the quantitative analysis of the relationship shows that an energy flow considered diverse need not be secure and that a secure energy flow need not be considered diverse. Examples of this relationship are included. These findings can prove useful to policy makers and energy analysts when developing transition strategies for a jurisdiction's energy system.","container-title":"Energy","DOI":"10.1016/j.energy.2014.05.108","ISSN":"0360-5442","journalAbbreviation":"Energy","page":"137-144","source":"ScienceDirect","title":"Energy security and the diversity of energy flows in an energy system","URL":"https://www.sciencedirect.com/science/article/pii/S0360544214006896","volume":"73","author":[{"family":"Ranjan","given":"Ashish"},{"family":"Hughes","given":"Larry"}],"accessed":{"date-parts":[["2024",8,26]]},"issued":{"date-parts":[["2014",8,14]]}}},{"id":1241,"uris":["http://zotero.org/users/9332412/items/LFBE2P7F"],"itemData":{"id":1241,"type":"article-journal","abstract":"It is vitally important for all countries to ensure they have a secure energy supply. This is especially true for European Union (EU) countries, because of geopolitical considerations and ongoing reforms of energy markets. This study applied time-series clustering approaches and three energy security indicators based on the Shannon–Wiener diversity index. The aim was to enhance understanding of how energy security of EU countries, in terms of energy supply, has evolved. An overall improvement in energy security in most EU countries between 1978 and 2014 was identified, with Denmark and the Czech Republic evidencing the greatest improvements. The main driver of improvement has been diversification of primary energy sources. Factors relating to imports (share and diversity of the origins of imports) have also substantially influenced improvement levels. Three groups of countries were identified using cluster analysis: (1) consistently high levels of energy security and showed moderate improvements over time; (2) lower levels of energy security than those in the first group, and also evidenced moderate improvements; and (3) initially low energy security levels, yet followed by significant improvements. The first and third groups were of particular interest because the former reveals best practices while the policies of the latter, in leading to improvement, can serve as guides for other countries.","container-title":"Renewable and Sustainable Energy Reviews","DOI":"10.1016/j.rser.2017.06.058","ISSN":"1364-0321","journalAbbreviation":"Renewable and Sustainable Energy Reviews","page":"1737-1748","source":"ScienceDirect","title":"Historical energy security performance in EU countries","URL":"https://www.sciencedirect.com/science/article/pii/S1364032117309966","volume":"82","author":[{"family":"Matsumoto","given":"Ken'ichi"},{"family":"Doumpos","given":"Michalis"},{"family":"Andriosopoulos","given":"Kostas"}],"accessed":{"date-parts":[["2024",8,26]]},"issued":{"date-parts":[["2018",2,1]]}}},{"id":1243,"uris":["http://zotero.org/users/9332412/items/ASEUKAQD"],"itemData":{"id":1243,"type":"article-journal","abstract":"This study presents an assessment of Indonesia's energy security performance through measurement of its energy security index for the selected years of 2008–2013. This study conceptualizes energy security as consisting of five dimensions: availability, affordability, accessibility, acceptability and efficiency. These dimensions are selected through a review of energy security concepts that are widely used in previous publications. The dimensions are composed into 14 indicators used to assess energy security. This study analyzed 71 countries to assess the energy security performance. The indicators were normalized using the min – max method and weighted based on principal component analysis or equal weighting. Based on the analysis, Indonesia's energy security performance shows an increasing trend between 2008 and 2013; this increase was due to the improvements of the availability, affordability and accessibility dimensions. The average value of Indonesia's energy security index throughout the selected years is 0.473. The ESI result from 71 countries shows that Indonesia ranks 55.","container-title":"Energy","DOI":"10.1016/j.energy.2016.05.100","ISSN":"0360-5442","journalAbbreviation":"Energy","page":"364-376","source":"ScienceDirect","title":"An assessment of Indonesia's energy security index and comparison with seventy countries","URL":"https://www.sciencedirect.com/science/article/pii/S0360544216307198","volume":"111","author":[{"family":"Erahman","given":"Qodri Febrilian"},{"family":"Purwanto","given":"Widodo Wahyu"},{"family":"Sudibandriyo","given":"Mahmud"},{"family":"Hidayatno","given":"Akhmad"}],"accessed":{"date-parts":[["2024",8,26]]},"issued":{"date-parts":[["2016",9,15]]}}},{"id":1245,"uris":["http://zotero.org/users/9332412/items/2J5AN7SN"],"itemData":{"id":1245,"type":"article-journal","abstract":"Facing the risk and uncertainty inherent in social and economic development, many countries have adopted an energy supply diversification strategy in their energy security policy to control the energy import risk and cost to ensure that sufficient energy can be obtained at an affordable price level. Diversification helps the energy system respond to external changes and shocks. Diversification can also lessen the vulnerability of a single energy source to supply shocks and the market power of various energy supply sources. This study develops the “diversity reliability index” and “co-vary diversity reliability index” based on the Hirschman–Herfindahl and Shannon–Wiener indices, investigates the contribution of different energy sources to the energy system, and analyzes the covariance between various energies and their impacts on energy security to determine the impact of energy diversity in reducing the risk of energy supply shortages and cost fluctuations.","container-title":"Renewable and Sustainable Energy Reviews","DOI":"10.1016/j.rser.2013.03.021","ISSN":"1364-0321","journalAbbreviation":"Renewable and Sustainable Energy Reviews","page":"9-20","source":"ScienceDirect","title":"Energy security and improvements in the function of diversity indices—Taiwan energy supply structure case study","URL":"https://www.sciencedirect.com/science/article/pii/S1364032113001809","volume":"24","author":[{"family":"Chuang","given":"Ming Chih"},{"family":"Ma","given":"Hwong Wen"}],"accessed":{"date-parts":[["2024",8,26]]},"issued":{"date-parts":[["2013",8,1]]}}},{"id":1247,"uris":["http://zotero.org/users/9332412/items/FCQRBS6K"],"itemData":{"id":1247,"type":"article-journal","abstract":"China has been the world's largest energy consumer and producer for many years, yet while myriad studies have investigated Chinese performance on energy metrics compared to other countries, few to none have looked internally at Chinese provinces. This paper firstly develops a five-dimensional evaluation system centered on the energy security dimensions of availability and diversity, affordability and equality, technology and efficiency, environmental sustainability, and governance and innovation. It then correlates these dimensions to 20 distinct energy security metrics that are used to assess the energy security performance of 30 Chinese provinces, divided into eight regions. Our results reveal both trends in energy policy and practice as well as provincial status of comparative energy security for the year 2013. We find, for instance, that there is no province which performs well in all five of the energy security dimensions, and that all provinces confronted threats related to energy availability and diversity. We also demonstrate that in comparative terms, the Middle Reaches of Yellow River and the Northwest were the most energy-secure, while the Middle Reaches of Yangtze River and the Northeast were least energy-secure.","container-title":"Energy","DOI":"10.1016/j.energy.2016.12.030","ISSN":"0360-5442","journalAbbreviation":"Energy","page":"825-836","source":"ScienceDirect","title":"Measuring energy security performance within China: Toward an inter-provincial prospective","title-short":"Measuring energy security performance within China","URL":"https://www.sciencedirect.com/science/article/pii/S0360544216318357","volume":"125","author":[{"family":"Zhang","given":"Long"},{"family":"Yu","given":"Jing"},{"family":"Sovacool","given":"Benjamin K."},{"family":"Ren","given":"Jingzheng"}],"accessed":{"date-parts":[["2024",8,26]]},"issued":{"date-parts":[["2017",4,15]]}}},{"id":1250,"uris":["http://zotero.org/users/9332412/items/MTZ88W4B"],"itemData":{"id":1250,"type":"article-journal","abstract":"Various metrics exist for energy security assessment along with a diffuse array of different strategies for improving national performance. These independent and interacted metrics overlap, however, and are rarely considered systematically. The objective of this study is to translate often subjective concepts of energy security into more objective criteria, to investigate the cause-effect relationships among these different metrics, and to provide some recommendations for the stakeholders to draft efficacious measures for enhancing energy security. To accomplish this feat, the study utilizes a DEMATEL (Fuzzy Decision-making Trial and Evaluation Laboratory) methodology to analyze collected data, reveal cause-effect relationships, and prioritize energy security strategies. To apply our theoretical results in practice, we include a brief case study of China. We conclude that the availability and affordability dimensions of energy security are most impactful to a nation's overall energy security, and that the promotion of renewable energy and diversification are compelling national energy security strategies, both for China and other countries.","container-title":"Energy","DOI":"10.1016/j.energy.2014.08.083","ISSN":"0360-5442","journalAbbreviation":"Energy","page":"838-849","source":"ScienceDirect","title":"Quantifying, measuring, and strategizing energy security: Determining the most meaningful dimensions and metrics","title-short":"Quantifying, measuring, and strategizing energy security","URL":"https://www.sciencedirect.com/science/article/pii/S0360544214010482","volume":"76","author":[{"family":"Ren","given":"Jingzheng"},{"family":"Sovacool","given":"Benjamin K."}],"accessed":{"date-parts":[["2024",8,26]]},"issued":{"date-parts":[["2014",11,1]]}}},{"id":1254,"uris":["http://zotero.org/users/9332412/items/JKRZEAW6"],"itemData":{"id":1254,"type":"article-journal","abstract":"With the aim of overcoming the shortcomings of the conventional energy security index (ESI) used in dynamic assessment of energy security, the present study introduces the functional data analysis method into ESI construction and establishes a dynamic energy security index (DESI) model. The DESI is a generalization of the conventional ESI with a dynamic weighting mechanism in a continuous time domain. In the DESI model, every normalized indicator within three dimensions — energy supply, energy consumption and environmental — is smoothed into a continuous curve, and the changes in its importance are reflected objectively by functional information entropy weights with dynamic information updating. Whereas the three sub-index curves with different importance are distinguished via assigning different weights according to the special national circumstances. The methods of generating a curve for single indicator, sub-index curves, and dyna mic weighting curves are discussed in detail, and the robustness of weighting and aggregation choice in DESI is tested using sensitive analysis. Results of applying DESI to evaluate China's energy security show that the overall changes of China's energy security have undergone a W-shaped fluctuation. To ensure consistently high levels of energy security, the government should focus on oil supply and renewable energy technologies.","container-title":"Energy Policy","DOI":"10.1016/j.enpol.2020.111706","ISSN":"0301-4215","journalAbbreviation":"Energy Policy","page":"111706","source":"ScienceDirect","title":"A functional index model for dynamically evaluating China's energy security","URL":"https://www.sciencedirect.com/science/article/pii/S030142152030433X","volume":"147","author":[{"family":"Wang","given":"Deqing"},{"family":"Tian","given":"Sihua"},{"family":"Fang","given":"Lei"},{"family":"Xu","given":"Yan"}],"accessed":{"date-parts":[["2024",8,26]]},"issued":{"date-parts":[["2020",12,1]]}}},{"id":1256,"uris":["http://zotero.org/users/9332412/items/KXDBKHCG"],"itemData":{"id":1256,"type":"article-journal","abstract":"Currently, China has become one of the biggest energy consumers and importers in the world, and its energy policies will increasingly affect international energy situation. This paper introduces a new aggregated indicator, the China energy security index (CESI), for evaluating how China's energy security has changed over years. The CESI includes the energy supply dimension, economic-technical dimension, and environmental dimension of energy security. Based on the banding approach, 18 indicators, which are selected from six years 1990, 1995, 2000, 2005, 2010, and 2014, are normalized to form the CESI and sub-indexes. As to the energy supply dimension, the indigenous energy availability sub-index and energy dependence sub-index continued decline over the study period. Among all the three dimensions of CESI, the largest changes observed are in the energy supply sub-index. The change of CESI likes a ‘N’ curve. In this study, China's worst energy security performance was in 2010 and the best was in 2000. At last, the SWOT analysis method is utilized to deprive China's energy security policy implications.","container-title":"Energy Policy","DOI":"10.1016/j.enpol.2019.05.036","ISSN":"0301-4215","journalAbbreviation":"Energy Policy","page":"167-174","source":"ScienceDirect","title":"Using a new aggregated indicator to evaluate China's energy security","URL":"https://www.sciencedirect.com/science/article/pii/S0301421519303404","volume":"132","author":[{"family":"Song","given":"Yan"},{"family":"Zhang","given":"Ming"},{"family":"Sun","given":"Ruifeng"}],"accessed":{"date-parts":[["2024",8,26]]},"issued":{"date-parts":[["2019",9,1]]}}},{"id":1258,"uris":["http://zotero.org/users/9332412/items/7WZQ9TKG"],"itemData":{"id":1258,"type":"article-journal","abstract":"An “Aggregated Energy Security Performance Indicator (AESPI)” has been developed by considering 25 individual indicators representing social, economy and environmental dimensions. The principle used, data required and the methodology for the development of AESPI have been detailed. AESPI requires time series data for its development and its value ranges from 0 to 10. The characteristics of AESPI have been compared with the existing indicators in terms of methodology, data requirements, analysis possible and the applications. The advantages of AESPI is that it not only assists in knowing the past energy security status of a country, but also helps in assessing the future status considering the energy policies and plans of the country, thus enabling the monitoring of the impacts of the policies.","container-title":"Applied Energy","DOI":"10.1016/j.apenergy.2012.10.027","ISSN":"0306-2619","journalAbbreviation":"Applied Energy","page":"653-670","source":"ScienceDirect","title":"An aggregated energy security performance indicator","URL":"https://www.sciencedirect.com/science/article/pii/S0306261912007337","volume":"103","author":[{"family":"Martchamadol","given":"Jutamanee"},{"family":"Kumar","given":"S."}],"accessed":{"date-parts":[["2024",8,26]]},"issued":{"date-parts":[["2013",3,1]]}}},{"id":1260,"uris":["http://zotero.org/users/9332412/items/8FMTSLUN"],"itemData":{"id":1260,"type":"article-journal","abstract":"How would a low-carbon energy transformation affect energy security? This paper proposes a framework to evaluate energy security under long-term energy scenarios generated by integrated assessment models. Energy security is defined as low vulnerability of vital energy systems, delineated along geographic and sectoral boundaries. The proposed framework considers vulnerability as a combination of risks associated with inter-regional energy trade and resilience reflected in energy intensity and diversity of energy sources and technologies. We apply this framework to 43 scenarios generated by the MESSAGE model as part of the Global Energy Assessment, including one baseline scenario and 42 ‘low-carbon’ scenarios where the global mean temperature increase is limited to 2°C over the pre-industrial level. By and large, low-carbon scenarios are associated with lower energy trade and higher diversity of energy options, especially in the transport sector. A few risks do emerge under low-carbon scenarios in the latter half of the century. They include potentially high trade in natural gas and hydrogen and low diversity of electricity sources. Trade is typically lower in scenarios which emphasize demand-side policies as well as non-tradable energy sources (nuclear and renewables) while diversity is higher in scenarios which limit the penetration of intermittent renewables.","container-title":"Energy Policy","DOI":"10.1016/j.enpol.2013.10.051","ISSN":"0301-4215","journalAbbreviation":"Energy Policy","page":"743-760","source":"ScienceDirect","title":"Energy security under de-carbonization scenarios: An assessment framework and evaluation under different technology and policy choices","title-short":"Energy security under de-carbonization scenarios","URL":"https://www.sciencedirect.com/science/article/pii/S0301421513010744","volume":"65","author":[{"family":"Jewell","given":"Jessica"},{"family":"Cherp","given":"Aleh"},{"family":"Riahi","given":"Keywan"}],"accessed":{"date-parts":[["2024",8,26]]},"issued":{"date-parts":[["2014",2,1]]}}},{"id":1262,"uris":["http://zotero.org/users/9332412/items/TXUYSFD4"],"itemData":{"id":1262,"type":"article-journal","abstract":"Global concerns for the security of energy have steadily been on the increase and are expected to become a major issue over the next few decades. Urgent policy response is thus essential. However, little attempt has been made at defining both energy security and energy metrics. In this study, we provide such metrics and apply them to four major energy sources in the Korean electricity market: coal, oil, liquefied natural gas, and nuclear. In our approach, we measure the cost of energy security in terms of supply disruption and price volatility, and we consider the degree of concentration in energy supply and demand using the Hirschman–Herfindahl index (HHI). Due to its balanced fuel supply and demand, relatively stable price, and high abundance, we find nuclear energy to be the most competitive energy source in terms of energy security in the Korean electricity market. LNG, on the other hand, was found to have the highest cost in term of energy security due to its high concentration in supply and demand, and its high price volatility. In addition, in terms of cost, we find that economic security dominates supply security, and as such, it is the main factor in the total security cost. Within the confines of concern for global energy security, our study both broadens our understanding of energy security and enables a strategic approach in the portfolio management of energy consumption.","container-title":"Applied Energy","DOI":"10.1016/j.apenergy.2008.11.028","ISSN":"0306-2619","issue":"10","journalAbbreviation":"Applied Energy","page":"1894-1901","source":"ScienceDirect","title":"The analysis of security cost for different energy sources","URL":"https://www.sciencedirect.com/science/article/pii/S0306261908003097","volume":"86","author":[{"family":"Jun","given":"Eunju"},{"family":"Kim","given":"Wonjoon"},{"family":"Chang","given":"Soon Heung"}],"accessed":{"date-parts":[["2024",8,26]]},"issued":{"date-parts":[["2009",10,1]]}}},{"id":1264,"uris":["http://zotero.org/users/9332412/items/IFMFGTMC"],"itemData":{"id":1264,"type":"article-journal","abstract":"The growing concerns related to energy demand, supply, energy security, and environmental issues encourage global awareness. The impact of energy imports, fuel cost, energy security, and CO2 (carbon dioxide) emissions have become a severe issue for Pakistan which is strongly associated with social, economic and environmental development. In this study, we have estimated eleven energy security indicators for long-run energy supply by applying the MARKAL framework. Business as usual (BAU) and three energy import reduction scenarios (Sa, Sb and Sc) are estimated on primary energy supply, demand, and diversification of energy resources, imported fuel cost, CO2 emissions, and energy security during 2012–2040. The outcomes show that primary energy supply will decrease marginally, while cumulative renewable energy would increase by 28%. Dependency on net energy import ratio will grow by 5.838 times, vulnerability index and net oil import ratio will decrease by −1.276 and −1.105 under base scenarios. Due to maximum fuel consumption by the transport and other sectors, the CO2 emissions would increase by 407.49 Mt in 2040 which could be reduced by renewable energy resources. Finally, energy security and energy supply are optimal in the reduction scenarios which will lessen cost, CO2, and energy supply. Related policies are given below.","container-title":"Energy","DOI":"10.1016/j.energy.2020.117575","ISSN":"0360-5442","journalAbbreviation":"Energy","page":"117575","source":"ScienceDirect","title":"Analysis of energy security indicators and CO2 emissions. A case from a developing economy","URL":"https://www.sciencedirect.com/science/article/pii/S0360544220306824","volume":"200","author":[{"family":"Lin","given":"Boqiang"},{"family":"Raza","given":"Muhammad Yousaf"}],"accessed":{"date-parts":[["2024",8,26]]},"issued":{"date-parts":[["2020",6,1]]}}},{"id":1266,"uris":["http://zotero.org/users/9332412/items/MN7RZL3X"],"itemData":{"id":1266,"type":"article-journal","abstract":"The concept of energy security is widely used, yet there is no consensus on its precise interpretation. In this research, we have provided an overview of available indicators for long-term security of supply (SOS). We distinguished four dimensions of energy security that relate to the availability, accessibility, affordability and acceptability of energy and classified indicators for energy security according to this taxonomy. There is no one ideal indicator, as the notion of energy security is highly context dependent. Rather, applying multiple indicators leads to a broader understanding. Incorporating these indicators in model-based scenario analysis showed accelerated depletion of currently known fossil resources due to increasing global demand. Coupled with increasing spatial discrepancy between consumption and production, international trade in energy carriers is projected to have increased by 142% in 2050 compared to 2008. Oil production is projected to become increasingly concentrated in a few countries up to 2030, after which production from other regions diversifies the market. Under stringent climate policies, this diversification may not occur due to reduced demand for oil. Possible benefits of climate policy include increased fuel diversity and slower depletion of fossil resources.","collection-title":"China Energy Efficiency","container-title":"Energy Policy","DOI":"10.1016/j.enpol.2009.02.006","ISSN":"0301-4215","issue":"6","journalAbbreviation":"Energy Policy","page":"2166-2181","source":"ScienceDirect","title":"Indicators for energy security","URL":"https://www.sciencedirect.com/science/article/pii/S0301421509000883","volume":"37","author":[{"family":"Kruyt","given":"Bert"},{"family":"Vuuren","given":"D. P.","non-dropping-particle":"van"},{"family":"Vries","given":"H. J. M.","non-dropping-particle":"de"},{"family":"Groenenberg","given":"H."}],"accessed":{"date-parts":[["2024",8,26]]},"issued":{"date-parts":[["2009",6,1]]}}}],"schema":"https://github.com/citation-style-language/schema/raw/master/csl-citation.json"} </w:instrText>
      </w:r>
      <w:r w:rsidR="00AE5985">
        <w:fldChar w:fldCharType="separate"/>
      </w:r>
      <w:r w:rsidR="00692699" w:rsidRPr="00692699">
        <w:rPr>
          <w:rFonts w:cs="Times New Roman"/>
        </w:rPr>
        <w:t>[18–31]</w:t>
      </w:r>
      <w:r w:rsidR="00AE5985">
        <w:fldChar w:fldCharType="end"/>
      </w:r>
      <w:r>
        <w:t xml:space="preserve">. Less common are studies utilizing metrics to assess electricity generation diversity </w:t>
      </w:r>
      <w:r w:rsidR="000F685F">
        <w:fldChar w:fldCharType="begin"/>
      </w:r>
      <w:r w:rsidR="00692699">
        <w:instrText xml:space="preserve"> ADDIN ZOTERO_ITEM CSL_CITATION {"citationID":"GIp194mk","properties":{"formattedCitation":"[32\\uc0\\u8211{}35]","plainCitation":"[32–35]","noteIndex":0},"citationItems":[{"id":1167,"uris":["http://zotero.org/users/9332412/items/UNQZKECG"],"itemData":{"id":1167,"type":"article-journal","abstract":"We explore the relationship between low-carbon objectives and the strategic security of electricity in the context of the UK electricity system. We consider diversity of fuel source mix to represent one dimension of security-robustness against interruptions of any one source-and apply two different diversity indices to the range of electricity system scenarios produced by the UK government and independent researchers. Our results show that low-carbon objectives are uniformly associated with greater long-term diversity in UK electricity generation. With reference to data on wind generation we also consider the impact of source variability on a second dimension of security-the reliability of generation availability. We conclude that this does not undermine our fundamental conclusion that low-carbon scenarios are associated with greater strategic security of supply in UK electricity. We discuss reasons for this result, explore sensitivities, and briefly discuss possible policy instruments associated with diversity and their limitations. © 2005 Elsevier Ltd. All rights reserved.","container-title":"Energy Policy","DOI":"10.1016/J.ENPOL.2005.09.004","issue":"18","note":"publisher: Elsevier","page":"4050-4062","title":"Diversity and security in UK electricity generation: The influence of low-carbon objectives","volume":"34","author":[{"family":"Grubb","given":"Michael"},{"family":"Butler","given":"Lucy"},{"family":"Twomey","given":"Paul"}],"issued":{"date-parts":[["2006",12]]}}},{"id":1164,"uris":["http://zotero.org/users/9332412/items/P8H2YS5M"],"itemData":{"id":1164,"type":"article-journal","abstract":"China's energy sector is under pressure to achieve secure and affordable supply and a clear decarbonisation path. We examine the longitudinal trajectory of the Chinese electricity supply security and model the near future supply security based on the 12th 5. Year Plan. Our approach combines the Shannon-Wiener, Herfindahl-Hirschman and electricity import dependence indices for supply security appraisal. We find that electricity portfolio innovation allows China to provide secure energy supply despite increasing import dependence. It is argued that long-term aggressive deployment of renewable energy will unblock China's coal-biased technological lock-in and increase supply security in all fronts. However, reduced supply diversity in China during the 1990s will not recover until after 2020s due to the long-term coal lock-in that can threaten to hold China back from realising its full potential.","container-title":"Technological Forecasting and Social Change","DOI":"10.1016/J.TECHFORE.2015.07.012","note":"publisher: North-Holland","page":"267-276","title":"Electricity portfolio innovation for energy security: The case of carbon constrained China","volume":"100","author":[{"family":"Chalvatzis","given":"Konstantinos J."},{"family":"Rubel","given":"Keagan"}],"issued":{"date-parts":[["2015",11]]}}},{"id":1274,"uris":["http://zotero.org/users/9332412/items/IE76XI98"],"itemData":{"id":1274,"type":"article-journal","container-title":"Journal of Original Studies","DOI":"10.47243/jos.3.2.03","title":"Resource Diversification in Turkey's Electricity Generation","URL":"https://journals.gen.tr/index.php/jos/article/view/1889/1185","author":[{"family":"Dilek","given":"Serkan"},{"family":"Konak","given":"Ali"}],"issued":{"date-parts":[["2022"]]}}},{"id":1162,"uris":["http://zotero.org/users/9332412/items/W7NZR2GL"],"itemData":{"id":1162,"type":"article-journal","abstract":"There is a growing body of research into the potential security risks and trade-offs which may emerge over the long-term development of energy systems. As part of this body of research, this paper aims to develop and demonstrate a set of indicators for assessing the security of long-term national electricity scenarios. This paper extends the empirical work of existing frameworks by including reliability and cost parameters alongside a range of other important aspects of energy security such as diversity, trade and acceptability, and by using both qualitative and quantitative indicators without aggregation in order to identify trade-offs. This paper uses the indicators to assess the energy security implications of three plausible long-term scenarios for the UK electricity system. The results indicate that a major risk may be experienced by a lack of flexible, responsive supply capacity in low-carbon electricity pathways. Reducing overall energy demand is found to be the most beneficial policy for improving energy security in terms of generating benefits in multiple dimensions. The paper finds that energy security is often conceptualised as the avoidance of causes of insecurity (such as insecure fuel imports), but that an equally important aspect of security lies in maximising responses to insecurity, for example by increasing the flexibility and responsiveness of both supply and demand.","container-title":"Renewable and Sustainable Energy Reviews","DOI":"10.1016/J.RSER.2017.08.084","note":"publisher: Pergamon","page":"2287-2299","title":"Assessing long-term energy security: The case of electricity in the United Kingdom","volume":"82","author":[{"family":"Cox","given":"Emily"}],"issued":{"date-parts":[["2018",2]]}}}],"schema":"https://github.com/citation-style-language/schema/raw/master/csl-citation.json"} </w:instrText>
      </w:r>
      <w:r w:rsidR="000F685F">
        <w:fldChar w:fldCharType="separate"/>
      </w:r>
      <w:r w:rsidR="00692699" w:rsidRPr="00692699">
        <w:rPr>
          <w:rFonts w:cs="Times New Roman"/>
        </w:rPr>
        <w:t>[32–35]</w:t>
      </w:r>
      <w:r w:rsidR="000F685F">
        <w:fldChar w:fldCharType="end"/>
      </w:r>
      <w:r>
        <w:t xml:space="preserve">. This study is the only one the author is aware of that applies </w:t>
      </w:r>
      <w:r w:rsidR="00752271">
        <w:t>a formal diversity</w:t>
      </w:r>
      <w:r>
        <w:t xml:space="preserve"> ind</w:t>
      </w:r>
      <w:r w:rsidR="00752271">
        <w:t>ex</w:t>
      </w:r>
      <w:r>
        <w:t xml:space="preserve"> to assess </w:t>
      </w:r>
      <w:r w:rsidR="00262EBC">
        <w:t xml:space="preserve">diversity of </w:t>
      </w:r>
      <w:r>
        <w:t>electricity import</w:t>
      </w:r>
      <w:r w:rsidR="00713E20">
        <w:t>s</w:t>
      </w:r>
      <w:r>
        <w:t xml:space="preserve"> among </w:t>
      </w:r>
      <w:r w:rsidR="00713E20">
        <w:t xml:space="preserve">electric </w:t>
      </w:r>
      <w:r>
        <w:t>balancing authorities within the United States.</w:t>
      </w:r>
    </w:p>
    <w:p w14:paraId="58C0F172" w14:textId="05136638" w:rsidR="008E0700" w:rsidRDefault="008E0700">
      <w:r>
        <w:fldChar w:fldCharType="begin"/>
      </w:r>
      <w:r>
        <w:instrText xml:space="preserve"> REF _Ref169408804 \h </w:instrText>
      </w:r>
      <w:r>
        <w:fldChar w:fldCharType="separate"/>
      </w:r>
      <w:r>
        <w:t xml:space="preserve">Figure </w:t>
      </w:r>
      <w:r>
        <w:rPr>
          <w:noProof/>
        </w:rPr>
        <w:t>2</w:t>
      </w:r>
      <w:r>
        <w:fldChar w:fldCharType="end"/>
      </w:r>
      <w:r>
        <w:t xml:space="preserve"> </w:t>
      </w:r>
      <w:r w:rsidR="003F5630">
        <w:t>maps the</w:t>
      </w:r>
      <w:r w:rsidR="00164476">
        <w:t xml:space="preserve"> diversity index at the BA-level across the United States.</w:t>
      </w:r>
    </w:p>
    <w:p w14:paraId="1D1EAC59" w14:textId="37C2B5AC" w:rsidR="00471B15" w:rsidRDefault="008E0700" w:rsidP="00471B15">
      <w:pPr>
        <w:keepNext/>
      </w:pPr>
      <w:r>
        <w:rPr>
          <w:noProof/>
        </w:rPr>
        <w:lastRenderedPageBreak/>
        <w:drawing>
          <wp:inline distT="0" distB="0" distL="0" distR="0" wp14:anchorId="7FD711E4" wp14:editId="4C8C06BC">
            <wp:extent cx="5210175" cy="2856248"/>
            <wp:effectExtent l="0" t="0" r="0" b="1270"/>
            <wp:docPr id="193899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39595" cy="2872376"/>
                    </a:xfrm>
                    <a:prstGeom prst="rect">
                      <a:avLst/>
                    </a:prstGeom>
                    <a:noFill/>
                  </pic:spPr>
                </pic:pic>
              </a:graphicData>
            </a:graphic>
          </wp:inline>
        </w:drawing>
      </w:r>
    </w:p>
    <w:p w14:paraId="55766A54" w14:textId="6A773109" w:rsidR="00611F5E" w:rsidRDefault="00471B15" w:rsidP="00471B15">
      <w:pPr>
        <w:pStyle w:val="Caption"/>
      </w:pPr>
      <w:bookmarkStart w:id="2" w:name="_Ref169408804"/>
      <w:r>
        <w:t xml:space="preserve">Figure </w:t>
      </w:r>
      <w:r>
        <w:fldChar w:fldCharType="begin"/>
      </w:r>
      <w:r>
        <w:instrText xml:space="preserve"> SEQ Figure \* ARABIC </w:instrText>
      </w:r>
      <w:r>
        <w:fldChar w:fldCharType="separate"/>
      </w:r>
      <w:r>
        <w:rPr>
          <w:noProof/>
        </w:rPr>
        <w:t>2</w:t>
      </w:r>
      <w:r>
        <w:fldChar w:fldCharType="end"/>
      </w:r>
      <w:bookmarkEnd w:id="2"/>
      <w:r>
        <w:t xml:space="preserve"> </w:t>
      </w:r>
      <w:r w:rsidRPr="000B41A8">
        <w:t>Import diversity metric by U.S. Balancing Authority, 2016-2023</w:t>
      </w:r>
    </w:p>
    <w:p w14:paraId="5D7E99FD" w14:textId="77777777" w:rsidR="00433099" w:rsidRDefault="00433099" w:rsidP="00433099">
      <w:pPr>
        <w:rPr>
          <w:i/>
        </w:rPr>
      </w:pPr>
    </w:p>
    <w:p w14:paraId="13AD732C" w14:textId="57F48091" w:rsidR="00DD4861" w:rsidRDefault="00DD4861" w:rsidP="00433099">
      <w:pPr>
        <w:pStyle w:val="ListParagraph"/>
        <w:numPr>
          <w:ilvl w:val="0"/>
          <w:numId w:val="7"/>
        </w:numPr>
        <w:rPr>
          <w:i/>
        </w:rPr>
      </w:pPr>
      <w:r>
        <w:rPr>
          <w:i/>
        </w:rPr>
        <w:t xml:space="preserve">Southwest and northern CA </w:t>
      </w:r>
      <w:r w:rsidR="00FA6790">
        <w:rPr>
          <w:i/>
        </w:rPr>
        <w:t>stand out above the rest.</w:t>
      </w:r>
    </w:p>
    <w:p w14:paraId="14CC6EE7" w14:textId="42091D72" w:rsidR="00433099" w:rsidRPr="00433099" w:rsidRDefault="00433099" w:rsidP="00433099">
      <w:pPr>
        <w:pStyle w:val="ListParagraph"/>
        <w:numPr>
          <w:ilvl w:val="0"/>
          <w:numId w:val="7"/>
        </w:numPr>
        <w:rPr>
          <w:i/>
        </w:rPr>
      </w:pPr>
      <w:r w:rsidRPr="00433099">
        <w:rPr>
          <w:i/>
        </w:rPr>
        <w:t>WALC has a high/funky import dependency value because it is getting lots of power to “pass throguh” BA. Impoting lots from AZ and passing it along as exports to CA (probably the big Nuclear plant). Note this example as (a downside?) special case to keep in mind when evaluating BA import diversity metrics for BA’s that “pass through” lots of power for economic reasons.</w:t>
      </w:r>
    </w:p>
    <w:p w14:paraId="01C762E6" w14:textId="77777777" w:rsidR="00433099" w:rsidRPr="00433099" w:rsidRDefault="00433099" w:rsidP="00433099">
      <w:pPr>
        <w:pStyle w:val="ListParagraph"/>
        <w:numPr>
          <w:ilvl w:val="0"/>
          <w:numId w:val="7"/>
        </w:numPr>
        <w:rPr>
          <w:i/>
          <w:iCs/>
        </w:rPr>
      </w:pPr>
      <w:r w:rsidRPr="00433099">
        <w:rPr>
          <w:i/>
          <w:iCs/>
        </w:rPr>
        <w:t xml:space="preserve">AZPS stopped producing nuclear at the end of 2019 in the data, went from an exporter to an importer at this time. It appears maybe Palo Verde was double counted in both AZPS and SRP, and then AZPS stopped including it at the end of 2019, while SRP continud reporting the full Pverde output in its BA. </w:t>
      </w:r>
    </w:p>
    <w:p w14:paraId="3ADA0743" w14:textId="5929AFE6" w:rsidR="00611F5E" w:rsidRPr="00433099" w:rsidRDefault="00433099" w:rsidP="00433099">
      <w:pPr>
        <w:pStyle w:val="ListParagraph"/>
        <w:numPr>
          <w:ilvl w:val="0"/>
          <w:numId w:val="7"/>
        </w:numPr>
        <w:rPr>
          <w:i/>
          <w:iCs/>
        </w:rPr>
      </w:pPr>
      <w:r w:rsidRPr="00433099">
        <w:rPr>
          <w:i/>
          <w:iCs/>
        </w:rPr>
        <w:t>This leads to a caveat with use of Balancing Authority definition and BA-level metrics, that it may not capture the nuances of the imports situation for multiple BA’s that are well integrated, or have firm contractual rights to capacity physically outside its borders.</w:t>
      </w:r>
    </w:p>
    <w:p w14:paraId="59555AA6" w14:textId="77777777" w:rsidR="00611F5E" w:rsidRPr="00433099" w:rsidRDefault="00611F5E">
      <w:pPr>
        <w:rPr>
          <w:i/>
          <w:iCs/>
        </w:rPr>
      </w:pPr>
    </w:p>
    <w:p w14:paraId="3A836CD2" w14:textId="77777777" w:rsidR="00611F5E" w:rsidRDefault="00164B3C">
      <w:pPr>
        <w:shd w:val="clear" w:color="auto" w:fill="FFFFFF"/>
        <w:rPr>
          <w:strike/>
        </w:rPr>
      </w:pPr>
      <w:r>
        <w:rPr>
          <w:strike/>
        </w:rPr>
        <w:t xml:space="preserve">UPDATE TO SHANNON Index fo rreasons provided in footnote 13 of Kruyt 2009 </w:t>
      </w:r>
      <w:r>
        <w:rPr>
          <w:strike/>
          <w:noProof/>
        </w:rPr>
        <w:drawing>
          <wp:inline distT="0" distB="0" distL="0" distR="0" wp14:anchorId="0059C030" wp14:editId="0E2E9BB3">
            <wp:extent cx="1106087" cy="398761"/>
            <wp:effectExtent l="0" t="0" r="0" b="0"/>
            <wp:docPr id="812656711" name="image3.png" descr="A black and white symbol&#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black and white symbol&#10;&#10;Description automatically generated"/>
                    <pic:cNvPicPr preferRelativeResize="0"/>
                  </pic:nvPicPr>
                  <pic:blipFill>
                    <a:blip r:embed="rId12"/>
                    <a:srcRect/>
                    <a:stretch>
                      <a:fillRect/>
                    </a:stretch>
                  </pic:blipFill>
                  <pic:spPr>
                    <a:xfrm>
                      <a:off x="0" y="0"/>
                      <a:ext cx="1106087" cy="398761"/>
                    </a:xfrm>
                    <a:prstGeom prst="rect">
                      <a:avLst/>
                    </a:prstGeom>
                    <a:ln/>
                  </pic:spPr>
                </pic:pic>
              </a:graphicData>
            </a:graphic>
          </wp:inline>
        </w:drawing>
      </w:r>
    </w:p>
    <w:p w14:paraId="5EF277F3" w14:textId="77777777" w:rsidR="00611F5E" w:rsidRDefault="00164B3C">
      <w:pPr>
        <w:shd w:val="clear" w:color="auto" w:fill="FFFFFF"/>
        <w:rPr>
          <w:rFonts w:ascii="Arial" w:eastAsia="Arial" w:hAnsi="Arial" w:cs="Arial"/>
          <w:strike/>
          <w:color w:val="2E2E2E"/>
          <w:sz w:val="21"/>
          <w:szCs w:val="21"/>
        </w:rPr>
      </w:pPr>
      <w:r>
        <w:rPr>
          <w:rFonts w:ascii="Arial" w:eastAsia="Arial" w:hAnsi="Arial" w:cs="Arial"/>
          <w:strike/>
          <w:color w:val="2E2E2E"/>
          <w:sz w:val="21"/>
          <w:szCs w:val="21"/>
        </w:rPr>
        <w:t>Stirling (1999) in his elaborate work on diversityfavours the Shannon index over the HH index, based for 2 reasons. First, the</w:t>
      </w:r>
    </w:p>
    <w:p w14:paraId="16F07FF2"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Shannon index retains rank ordering under variations of logarithm base, whereas</w:t>
      </w:r>
    </w:p>
    <w:p w14:paraId="23691226"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the rank ordering of different systems changes as the exponent of the Simpson</w:t>
      </w:r>
    </w:p>
    <w:p w14:paraId="10EA0E3B"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index changes. As there is no fundamental argument why the exponent should be</w:t>
      </w:r>
    </w:p>
    <w:p w14:paraId="7E30996A"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2, this raises doubts with regard to the ﬁrmness of the results obtained, since by changing an apparently non-related parameter, the outcome will differ. Second,</w:t>
      </w:r>
    </w:p>
    <w:p w14:paraId="297A6940"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lastRenderedPageBreak/>
        <w:t>the Shannon index displays the property of additivity with respect to taxonomy.</w:t>
      </w:r>
    </w:p>
    <w:p w14:paraId="58248BE6"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This means that when classifying options based on several criteria, the index score</w:t>
      </w:r>
    </w:p>
    <w:p w14:paraId="0D17D39E"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for the system classiﬁed according to criterion a, plus the index score for the</w:t>
      </w:r>
    </w:p>
    <w:p w14:paraId="661E1ECD"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system classiﬁed according to criterion b should amount to the same as the index</w:t>
      </w:r>
    </w:p>
    <w:p w14:paraId="2C90867A"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score for the system classiﬁed according to the combined criterion ab. This is</w:t>
      </w:r>
    </w:p>
    <w:p w14:paraId="3F83AE4B"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mathematically represented as f(ab) ¼ f(a)+f(b), with a and b sets of options under</w:t>
      </w:r>
    </w:p>
    <w:p w14:paraId="39C24106"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different classiﬁcations and f the index or function in question</w:t>
      </w:r>
    </w:p>
    <w:p w14:paraId="6C454B7C" w14:textId="77777777" w:rsidR="00611F5E" w:rsidRDefault="00611F5E">
      <w:pPr>
        <w:shd w:val="clear" w:color="auto" w:fill="FFFFFF"/>
        <w:spacing w:after="0" w:line="240" w:lineRule="auto"/>
        <w:rPr>
          <w:rFonts w:ascii="Arial" w:eastAsia="Arial" w:hAnsi="Arial" w:cs="Arial"/>
          <w:color w:val="2E2E2E"/>
          <w:sz w:val="21"/>
          <w:szCs w:val="21"/>
        </w:rPr>
      </w:pPr>
    </w:p>
    <w:p w14:paraId="396DB8C0" w14:textId="77777777" w:rsidR="00611F5E" w:rsidRDefault="00164B3C">
      <w:pPr>
        <w:shd w:val="clear" w:color="auto" w:fill="FFFFFF"/>
        <w:spacing w:after="0" w:line="240" w:lineRule="auto"/>
        <w:rPr>
          <w:rFonts w:ascii="Arial" w:eastAsia="Arial" w:hAnsi="Arial" w:cs="Arial"/>
          <w:strike/>
          <w:color w:val="2E2E2E"/>
          <w:sz w:val="21"/>
          <w:szCs w:val="21"/>
        </w:rPr>
      </w:pPr>
      <w:r>
        <w:rPr>
          <w:rFonts w:ascii="Arial" w:eastAsia="Arial" w:hAnsi="Arial" w:cs="Arial"/>
          <w:strike/>
          <w:color w:val="2E2E2E"/>
          <w:sz w:val="21"/>
          <w:szCs w:val="21"/>
        </w:rPr>
        <w:t>In many applications of these concentration or diversity indices, the market share value (p) cannot be greater than one. In our case, it can in situations where a BA is importing more than it consumes. This can occur if a BA’s imports “pass through” to be consumed by another neighbor, generally when it is a small BA that is well-integrated with its neighbors. When this occurs, the Import Diversity metric goes negative, but in our reporting we truncate the value at 0, since a “negative” diversity metric is difficult to interpret. In contrast, a value of 0 “import diversity’ implies that all of the local demand is satisfied by imports from a single neighbor.</w:t>
      </w:r>
    </w:p>
    <w:p w14:paraId="41557C62" w14:textId="77777777" w:rsidR="00611F5E" w:rsidRDefault="00611F5E">
      <w:pPr>
        <w:rPr>
          <w:i/>
        </w:rPr>
      </w:pPr>
    </w:p>
    <w:p w14:paraId="0791A541" w14:textId="77777777" w:rsidR="00611F5E" w:rsidRDefault="00164B3C">
      <w:pPr>
        <w:jc w:val="center"/>
        <w:rPr>
          <w:rFonts w:ascii="Cambria Math" w:eastAsia="Cambria Math" w:hAnsi="Cambria Math" w:cs="Cambria Math"/>
          <w:strike/>
        </w:rPr>
      </w:pPr>
      <m:oMathPara>
        <m:oMath>
          <m:r>
            <w:rPr>
              <w:rFonts w:ascii="Cambria Math" w:eastAsia="Cambria Math" w:hAnsi="Cambria Math" w:cs="Cambria Math"/>
              <w:strike/>
            </w:rPr>
            <m:t>Import Diversity=</m:t>
          </m:r>
          <m:sSup>
            <m:sSupPr>
              <m:ctrlPr>
                <w:rPr>
                  <w:rFonts w:ascii="Cambria Math" w:eastAsia="Cambria Math" w:hAnsi="Cambria Math" w:cs="Cambria Math"/>
                  <w:strike/>
                </w:rPr>
              </m:ctrlPr>
            </m:sSupPr>
            <m:e>
              <m:nary>
                <m:naryPr>
                  <m:chr m:val="∑"/>
                  <m:ctrlPr>
                    <w:rPr>
                      <w:rFonts w:ascii="Cambria Math" w:eastAsia="Cambria Math" w:hAnsi="Cambria Math" w:cs="Cambria Math"/>
                      <w:strike/>
                    </w:rPr>
                  </m:ctrlPr>
                </m:naryPr>
                <m:sub>
                  <m:r>
                    <w:rPr>
                      <w:rFonts w:ascii="Cambria Math" w:eastAsia="Cambria Math" w:hAnsi="Cambria Math" w:cs="Cambria Math"/>
                      <w:strike/>
                    </w:rPr>
                    <m:t>i</m:t>
                  </m:r>
                </m:sub>
                <m:sup/>
                <m:e/>
              </m:nary>
              <m:r>
                <w:rPr>
                  <w:rFonts w:ascii="Cambria Math" w:eastAsia="Cambria Math" w:hAnsi="Cambria Math" w:cs="Cambria Math"/>
                  <w:strike/>
                </w:rPr>
                <m:t xml:space="preserve"> </m:t>
              </m:r>
              <m:d>
                <m:dPr>
                  <m:ctrlPr>
                    <w:rPr>
                      <w:rFonts w:ascii="Cambria Math" w:eastAsia="Cambria Math" w:hAnsi="Cambria Math" w:cs="Cambria Math"/>
                      <w:strike/>
                    </w:rPr>
                  </m:ctrlPr>
                </m:dPr>
                <m:e>
                  <m:f>
                    <m:fPr>
                      <m:ctrlPr>
                        <w:rPr>
                          <w:rFonts w:ascii="Cambria Math" w:eastAsia="Cambria Math" w:hAnsi="Cambria Math" w:cs="Cambria Math"/>
                          <w:strike/>
                        </w:rPr>
                      </m:ctrlPr>
                    </m:fPr>
                    <m:num>
                      <m:r>
                        <w:rPr>
                          <w:rFonts w:ascii="Cambria Math" w:eastAsia="Cambria Math" w:hAnsi="Cambria Math" w:cs="Cambria Math"/>
                          <w:strike/>
                        </w:rPr>
                        <m:t>Import</m:t>
                      </m:r>
                      <m:sSub>
                        <m:sSubPr>
                          <m:ctrlPr>
                            <w:rPr>
                              <w:rFonts w:ascii="Cambria Math" w:eastAsia="Cambria Math" w:hAnsi="Cambria Math" w:cs="Cambria Math"/>
                              <w:strike/>
                            </w:rPr>
                          </m:ctrlPr>
                        </m:sSubPr>
                        <m:e>
                          <m:r>
                            <w:rPr>
                              <w:rFonts w:ascii="Cambria Math" w:eastAsia="Cambria Math" w:hAnsi="Cambria Math" w:cs="Cambria Math"/>
                              <w:strike/>
                            </w:rPr>
                            <m:t>s</m:t>
                          </m:r>
                        </m:e>
                        <m:sub>
                          <m:r>
                            <w:rPr>
                              <w:rFonts w:ascii="Cambria Math" w:eastAsia="Cambria Math" w:hAnsi="Cambria Math" w:cs="Cambria Math"/>
                              <w:strike/>
                            </w:rPr>
                            <m:t>i</m:t>
                          </m:r>
                        </m:sub>
                      </m:sSub>
                    </m:num>
                    <m:den>
                      <m:r>
                        <w:rPr>
                          <w:rFonts w:ascii="Cambria Math" w:eastAsia="Cambria Math" w:hAnsi="Cambria Math" w:cs="Cambria Math"/>
                          <w:strike/>
                        </w:rPr>
                        <m:t>Demand</m:t>
                      </m:r>
                    </m:den>
                  </m:f>
                </m:e>
              </m:d>
            </m:e>
            <m:sup>
              <m:r>
                <w:rPr>
                  <w:rFonts w:ascii="Cambria Math" w:eastAsia="Cambria Math" w:hAnsi="Cambria Math" w:cs="Cambria Math"/>
                  <w:strike/>
                </w:rPr>
                <m:t>2</m:t>
              </m:r>
            </m:sup>
          </m:sSup>
        </m:oMath>
      </m:oMathPara>
    </w:p>
    <w:p w14:paraId="797D666F" w14:textId="77777777" w:rsidR="00611F5E" w:rsidRDefault="00164B3C">
      <w:pPr>
        <w:rPr>
          <w:strike/>
        </w:rPr>
      </w:pPr>
      <w:r>
        <w:rPr>
          <w:strike/>
        </w:rPr>
        <w:t xml:space="preserve">for each neighboring balancing authority </w:t>
      </w:r>
      <m:oMath>
        <m:r>
          <w:rPr>
            <w:rFonts w:ascii="Cambria Math" w:eastAsia="Cambria Math" w:hAnsi="Cambria Math" w:cs="Cambria Math"/>
            <w:strike/>
          </w:rPr>
          <m:t>i</m:t>
        </m:r>
      </m:oMath>
      <w:r>
        <w:rPr>
          <w:strike/>
        </w:rPr>
        <w:t xml:space="preserve"> importing into the region with total electricity consumption equal to </w:t>
      </w:r>
      <m:oMath>
        <m:r>
          <w:rPr>
            <w:rFonts w:ascii="Cambria Math" w:eastAsia="Cambria Math" w:hAnsi="Cambria Math" w:cs="Cambria Math"/>
            <w:strike/>
          </w:rPr>
          <m:t>Demand</m:t>
        </m:r>
      </m:oMath>
      <w:r>
        <w:rPr>
          <w:strike/>
        </w:rPr>
        <w:t xml:space="preserve"> over the period of interest. </w:t>
      </w:r>
    </w:p>
    <w:p w14:paraId="5ACF9686" w14:textId="77777777" w:rsidR="00611F5E" w:rsidRDefault="00164B3C">
      <w:pPr>
        <w:rPr>
          <w:strike/>
        </w:rPr>
      </w:pPr>
      <w:r>
        <w:rPr>
          <w:strike/>
        </w:rPr>
        <w:t xml:space="preserve">Many studies on energy security utilize a similar diversity (or the inverse for a “concentration” metric) applied to primary sources of energy at the nation-state level. </w:t>
      </w:r>
      <w:r>
        <w:rPr>
          <w:strike/>
          <w:highlight w:val="yellow"/>
        </w:rPr>
        <w:t>(check Kruyt et al. 2009 as possible citation here, and any others)</w:t>
      </w:r>
      <w:r>
        <w:rPr>
          <w:strike/>
        </w:rPr>
        <w:t xml:space="preserve"> Cite Kruyt’s approach in the appendix, and a bunch of their citations that apply diversity to fuel supply. </w:t>
      </w:r>
    </w:p>
    <w:p w14:paraId="68CE8997" w14:textId="77777777" w:rsidR="00611F5E" w:rsidRDefault="00611F5E">
      <w:pPr>
        <w:rPr>
          <w:i/>
          <w:strike/>
        </w:rPr>
      </w:pPr>
    </w:p>
    <w:p w14:paraId="568149CF" w14:textId="77777777" w:rsidR="00611F5E" w:rsidRDefault="00164B3C">
      <w:pPr>
        <w:rPr>
          <w:strike/>
        </w:rPr>
      </w:pPr>
      <w:r>
        <w:rPr>
          <w:strike/>
        </w:rPr>
        <w:t>It doesn’t have the same interpretation when used commonly for market shares, but still gives a relative quantitative comparison of import diversity across BAs.</w:t>
      </w:r>
    </w:p>
    <w:p w14:paraId="38F96FE1" w14:textId="77777777" w:rsidR="00611F5E" w:rsidRDefault="00164B3C">
      <w:pPr>
        <w:rPr>
          <w:i/>
          <w:strike/>
        </w:rPr>
      </w:pPr>
      <w:r>
        <w:rPr>
          <w:i/>
          <w:strike/>
        </w:rPr>
        <w:t>Include some key stats of the HHI distribution so BA’s have something to benchmark their systems agains.</w:t>
      </w:r>
    </w:p>
    <w:p w14:paraId="61F8BF2E" w14:textId="76202D7C" w:rsidR="00CB6C5F" w:rsidRDefault="00CB6C5F"/>
    <w:p w14:paraId="08B3ED2B" w14:textId="77777777" w:rsidR="00611F5E" w:rsidRDefault="00164B3C">
      <w:pPr>
        <w:pStyle w:val="Heading1"/>
      </w:pPr>
      <w:r>
        <w:t>HVDC Interconnectors</w:t>
      </w:r>
    </w:p>
    <w:p w14:paraId="799E357A" w14:textId="77777777" w:rsidR="00611F5E" w:rsidRDefault="00164B3C">
      <w:pPr>
        <w:pStyle w:val="Heading1"/>
      </w:pPr>
      <w:r>
        <w:t>Imports during stressful events</w:t>
      </w:r>
    </w:p>
    <w:p w14:paraId="457685A0" w14:textId="77777777" w:rsidR="00611F5E" w:rsidRDefault="00164B3C">
      <w:pPr>
        <w:pStyle w:val="Heading1"/>
      </w:pPr>
      <w:r>
        <w:t>Other Data characteristics</w:t>
      </w:r>
    </w:p>
    <w:p w14:paraId="6EF13226" w14:textId="77777777" w:rsidR="00611F5E" w:rsidRDefault="00164B3C">
      <w:r>
        <w:t>Hourly Demand and interchange variables can cover 2016-2023</w:t>
      </w:r>
    </w:p>
    <w:p w14:paraId="361DD2A4" w14:textId="77777777" w:rsidR="00611F5E" w:rsidRDefault="00164B3C">
      <w:r>
        <w:t>Generation by fuel type covers 2018-2023</w:t>
      </w:r>
    </w:p>
    <w:p w14:paraId="3126BAB7" w14:textId="77777777" w:rsidR="00611F5E" w:rsidRDefault="00164B3C">
      <w:pPr>
        <w:pStyle w:val="Heading1"/>
      </w:pPr>
      <w:r>
        <w:lastRenderedPageBreak/>
        <w:t>Balancing Authority Shapefile</w:t>
      </w:r>
    </w:p>
    <w:p w14:paraId="35D5CFDB" w14:textId="5271FE06" w:rsidR="00611F5E" w:rsidRDefault="00164B3C">
      <w:r>
        <w:t xml:space="preserve">Balancing area shapefiles were used from Homeland Infrastructure Foundation-Level Data (HIFLD)’s “Control Areas” dataset </w:t>
      </w:r>
      <w:r w:rsidR="005400ED">
        <w:rPr>
          <w:color w:val="000000"/>
        </w:rPr>
        <w:t>CITE</w:t>
      </w:r>
    </w:p>
    <w:p w14:paraId="6693C213" w14:textId="77777777" w:rsidR="00611F5E" w:rsidRDefault="00164B3C">
      <w:pPr>
        <w:pStyle w:val="Heading1"/>
      </w:pPr>
      <w:r>
        <w:t>Literature review and discussion</w:t>
      </w:r>
    </w:p>
    <w:p w14:paraId="4D89319C" w14:textId="77777777" w:rsidR="00611F5E" w:rsidRDefault="00611F5E">
      <w:pPr>
        <w:pBdr>
          <w:top w:val="nil"/>
          <w:left w:val="nil"/>
          <w:bottom w:val="nil"/>
          <w:right w:val="nil"/>
          <w:between w:val="nil"/>
        </w:pBdr>
        <w:spacing w:after="0"/>
        <w:ind w:left="1440"/>
        <w:rPr>
          <w:color w:val="000000"/>
        </w:rPr>
      </w:pPr>
    </w:p>
    <w:p w14:paraId="23411E4B" w14:textId="64D13A90" w:rsidR="00E05440" w:rsidRDefault="00164B3C">
      <w:pPr>
        <w:numPr>
          <w:ilvl w:val="0"/>
          <w:numId w:val="2"/>
        </w:numPr>
        <w:pBdr>
          <w:top w:val="nil"/>
          <w:left w:val="nil"/>
          <w:bottom w:val="nil"/>
          <w:right w:val="nil"/>
          <w:between w:val="nil"/>
        </w:pBdr>
        <w:spacing w:after="0"/>
        <w:rPr>
          <w:color w:val="000000"/>
        </w:rPr>
      </w:pPr>
      <w:r>
        <w:rPr>
          <w:color w:val="000000"/>
        </w:rPr>
        <w:t>From a reliability perspetive, it is important to evaluate how “import dependent” BAs operate during times when demand is highest and/or the available supply and reliability of the grid is stretched near the limit.</w:t>
      </w:r>
    </w:p>
    <w:p w14:paraId="49C08EC3" w14:textId="714238C0" w:rsidR="00E05440" w:rsidRDefault="00E05440">
      <w:pPr>
        <w:rPr>
          <w:color w:val="000000"/>
        </w:rPr>
      </w:pPr>
    </w:p>
    <w:p w14:paraId="26712830" w14:textId="77777777" w:rsidR="004C058C" w:rsidRDefault="004C058C" w:rsidP="00C22B21">
      <w:pPr>
        <w:pStyle w:val="Heading1"/>
        <w:sectPr w:rsidR="004C058C">
          <w:pgSz w:w="12240" w:h="15840"/>
          <w:pgMar w:top="1440" w:right="1440" w:bottom="1440" w:left="1440" w:header="720" w:footer="720" w:gutter="0"/>
          <w:pgNumType w:start="1"/>
          <w:cols w:space="720"/>
        </w:sectPr>
      </w:pPr>
    </w:p>
    <w:p w14:paraId="2122F45C" w14:textId="270B6EB7" w:rsidR="00611F5E" w:rsidRDefault="00C22B21" w:rsidP="00C22B21">
      <w:pPr>
        <w:pStyle w:val="Heading1"/>
      </w:pPr>
      <w:r>
        <w:lastRenderedPageBreak/>
        <w:t>Appendix</w:t>
      </w:r>
    </w:p>
    <w:p w14:paraId="0A97A716" w14:textId="79170AB0" w:rsidR="00055BEF" w:rsidRDefault="00055BEF" w:rsidP="00055BEF">
      <w:pPr>
        <w:pStyle w:val="Caption"/>
        <w:keepNext/>
      </w:pPr>
      <w:r>
        <w:t xml:space="preserve">Table </w:t>
      </w:r>
      <w:r>
        <w:fldChar w:fldCharType="begin"/>
      </w:r>
      <w:r>
        <w:instrText xml:space="preserve"> SEQ Table \* ARABIC </w:instrText>
      </w:r>
      <w:r>
        <w:fldChar w:fldCharType="separate"/>
      </w:r>
      <w:r w:rsidR="00CC2639">
        <w:rPr>
          <w:noProof/>
        </w:rPr>
        <w:t>1</w:t>
      </w:r>
      <w:r>
        <w:fldChar w:fldCharType="end"/>
      </w:r>
      <w:r>
        <w:t xml:space="preserve"> Import </w:t>
      </w:r>
      <w:r w:rsidR="005472CA">
        <w:t xml:space="preserve">reliance (net imports divided by domestic consumption) </w:t>
      </w:r>
      <w:r w:rsidR="00423B94">
        <w:t>for</w:t>
      </w:r>
      <w:r>
        <w:t xml:space="preserve"> USA balancing authorit</w:t>
      </w:r>
      <w:r w:rsidR="000D0D91">
        <w:t>ies</w:t>
      </w:r>
      <w:r w:rsidR="001B35E7">
        <w:t xml:space="preserve"> with</w:t>
      </w:r>
      <w:r w:rsidR="000D0D91">
        <w:t xml:space="preserve"> annual average demand &gt;500 MW</w:t>
      </w:r>
      <w:r>
        <w:t>.</w:t>
      </w:r>
    </w:p>
    <w:tbl>
      <w:tblPr>
        <w:tblW w:w="8460" w:type="dxa"/>
        <w:tblLook w:val="04A0" w:firstRow="1" w:lastRow="0" w:firstColumn="1" w:lastColumn="0" w:noHBand="0" w:noVBand="1"/>
      </w:tblPr>
      <w:tblGrid>
        <w:gridCol w:w="6336"/>
        <w:gridCol w:w="669"/>
        <w:gridCol w:w="663"/>
        <w:gridCol w:w="663"/>
        <w:gridCol w:w="663"/>
        <w:gridCol w:w="663"/>
        <w:gridCol w:w="663"/>
        <w:gridCol w:w="663"/>
        <w:gridCol w:w="663"/>
        <w:gridCol w:w="663"/>
      </w:tblGrid>
      <w:tr w:rsidR="00231C46" w:rsidRPr="006B7189" w14:paraId="3F0FAB74" w14:textId="77777777" w:rsidTr="00231C46">
        <w:trPr>
          <w:trHeight w:val="288"/>
        </w:trPr>
        <w:tc>
          <w:tcPr>
            <w:tcW w:w="6336" w:type="dxa"/>
            <w:tcBorders>
              <w:top w:val="single" w:sz="4" w:space="0" w:color="8ED973"/>
              <w:left w:val="nil"/>
              <w:bottom w:val="single" w:sz="4" w:space="0" w:color="8ED973"/>
              <w:right w:val="nil"/>
            </w:tcBorders>
            <w:shd w:val="clear" w:color="4EA72E" w:fill="4EA72E"/>
            <w:noWrap/>
            <w:vAlign w:val="bottom"/>
            <w:hideMark/>
          </w:tcPr>
          <w:p w14:paraId="01FBEB4B"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Name</w:t>
            </w:r>
          </w:p>
        </w:tc>
        <w:tc>
          <w:tcPr>
            <w:tcW w:w="236" w:type="dxa"/>
            <w:tcBorders>
              <w:top w:val="single" w:sz="4" w:space="0" w:color="8ED973"/>
              <w:left w:val="nil"/>
              <w:bottom w:val="single" w:sz="4" w:space="0" w:color="8ED973"/>
              <w:right w:val="nil"/>
            </w:tcBorders>
            <w:shd w:val="clear" w:color="4EA72E" w:fill="4EA72E"/>
            <w:noWrap/>
            <w:vAlign w:val="bottom"/>
            <w:hideMark/>
          </w:tcPr>
          <w:p w14:paraId="387E5006"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Total</w:t>
            </w:r>
          </w:p>
        </w:tc>
        <w:tc>
          <w:tcPr>
            <w:tcW w:w="236" w:type="dxa"/>
            <w:tcBorders>
              <w:top w:val="single" w:sz="4" w:space="0" w:color="8ED973"/>
              <w:left w:val="nil"/>
              <w:bottom w:val="single" w:sz="4" w:space="0" w:color="8ED973"/>
              <w:right w:val="nil"/>
            </w:tcBorders>
            <w:shd w:val="clear" w:color="4EA72E" w:fill="4EA72E"/>
            <w:noWrap/>
            <w:vAlign w:val="bottom"/>
            <w:hideMark/>
          </w:tcPr>
          <w:p w14:paraId="60D0BD5D"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2016</w:t>
            </w:r>
          </w:p>
        </w:tc>
        <w:tc>
          <w:tcPr>
            <w:tcW w:w="236" w:type="dxa"/>
            <w:tcBorders>
              <w:top w:val="single" w:sz="4" w:space="0" w:color="8ED973"/>
              <w:left w:val="nil"/>
              <w:bottom w:val="single" w:sz="4" w:space="0" w:color="8ED973"/>
              <w:right w:val="nil"/>
            </w:tcBorders>
            <w:shd w:val="clear" w:color="4EA72E" w:fill="4EA72E"/>
            <w:noWrap/>
            <w:vAlign w:val="bottom"/>
            <w:hideMark/>
          </w:tcPr>
          <w:p w14:paraId="42FD78B2"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2017</w:t>
            </w:r>
          </w:p>
        </w:tc>
        <w:tc>
          <w:tcPr>
            <w:tcW w:w="236" w:type="dxa"/>
            <w:tcBorders>
              <w:top w:val="single" w:sz="4" w:space="0" w:color="8ED973"/>
              <w:left w:val="nil"/>
              <w:bottom w:val="single" w:sz="4" w:space="0" w:color="8ED973"/>
              <w:right w:val="nil"/>
            </w:tcBorders>
            <w:shd w:val="clear" w:color="4EA72E" w:fill="4EA72E"/>
            <w:noWrap/>
            <w:vAlign w:val="bottom"/>
            <w:hideMark/>
          </w:tcPr>
          <w:p w14:paraId="110C0B53"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2018</w:t>
            </w:r>
          </w:p>
        </w:tc>
        <w:tc>
          <w:tcPr>
            <w:tcW w:w="236" w:type="dxa"/>
            <w:tcBorders>
              <w:top w:val="single" w:sz="4" w:space="0" w:color="8ED973"/>
              <w:left w:val="nil"/>
              <w:bottom w:val="single" w:sz="4" w:space="0" w:color="8ED973"/>
              <w:right w:val="nil"/>
            </w:tcBorders>
            <w:shd w:val="clear" w:color="4EA72E" w:fill="4EA72E"/>
            <w:noWrap/>
            <w:vAlign w:val="bottom"/>
            <w:hideMark/>
          </w:tcPr>
          <w:p w14:paraId="161B2DA5"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2019</w:t>
            </w:r>
          </w:p>
        </w:tc>
        <w:tc>
          <w:tcPr>
            <w:tcW w:w="236" w:type="dxa"/>
            <w:tcBorders>
              <w:top w:val="single" w:sz="4" w:space="0" w:color="8ED973"/>
              <w:left w:val="nil"/>
              <w:bottom w:val="single" w:sz="4" w:space="0" w:color="8ED973"/>
              <w:right w:val="nil"/>
            </w:tcBorders>
            <w:shd w:val="clear" w:color="4EA72E" w:fill="4EA72E"/>
            <w:noWrap/>
            <w:vAlign w:val="bottom"/>
            <w:hideMark/>
          </w:tcPr>
          <w:p w14:paraId="2BB2D927"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2020</w:t>
            </w:r>
          </w:p>
        </w:tc>
        <w:tc>
          <w:tcPr>
            <w:tcW w:w="236" w:type="dxa"/>
            <w:tcBorders>
              <w:top w:val="single" w:sz="4" w:space="0" w:color="8ED973"/>
              <w:left w:val="nil"/>
              <w:bottom w:val="single" w:sz="4" w:space="0" w:color="8ED973"/>
              <w:right w:val="nil"/>
            </w:tcBorders>
            <w:shd w:val="clear" w:color="4EA72E" w:fill="4EA72E"/>
            <w:noWrap/>
            <w:vAlign w:val="bottom"/>
            <w:hideMark/>
          </w:tcPr>
          <w:p w14:paraId="07416837"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2021</w:t>
            </w:r>
          </w:p>
        </w:tc>
        <w:tc>
          <w:tcPr>
            <w:tcW w:w="236" w:type="dxa"/>
            <w:tcBorders>
              <w:top w:val="single" w:sz="4" w:space="0" w:color="8ED973"/>
              <w:left w:val="nil"/>
              <w:bottom w:val="single" w:sz="4" w:space="0" w:color="8ED973"/>
              <w:right w:val="nil"/>
            </w:tcBorders>
            <w:shd w:val="clear" w:color="4EA72E" w:fill="4EA72E"/>
            <w:noWrap/>
            <w:vAlign w:val="bottom"/>
            <w:hideMark/>
          </w:tcPr>
          <w:p w14:paraId="7347BE8C"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2022</w:t>
            </w:r>
          </w:p>
        </w:tc>
        <w:tc>
          <w:tcPr>
            <w:tcW w:w="236" w:type="dxa"/>
            <w:tcBorders>
              <w:top w:val="single" w:sz="4" w:space="0" w:color="8ED973"/>
              <w:left w:val="nil"/>
              <w:bottom w:val="single" w:sz="4" w:space="0" w:color="8ED973"/>
              <w:right w:val="nil"/>
            </w:tcBorders>
            <w:shd w:val="clear" w:color="4EA72E" w:fill="4EA72E"/>
            <w:noWrap/>
            <w:vAlign w:val="bottom"/>
            <w:hideMark/>
          </w:tcPr>
          <w:p w14:paraId="22660662" w14:textId="77777777" w:rsidR="006B7189" w:rsidRPr="006B7189" w:rsidRDefault="006B7189" w:rsidP="006B7189">
            <w:pPr>
              <w:spacing w:after="0" w:line="240" w:lineRule="auto"/>
              <w:rPr>
                <w:rFonts w:ascii="Aptos Narrow" w:eastAsia="Times New Roman" w:hAnsi="Aptos Narrow" w:cs="Times New Roman"/>
                <w:b/>
                <w:bCs/>
                <w:color w:val="FFFFFF"/>
              </w:rPr>
            </w:pPr>
            <w:r w:rsidRPr="006B7189">
              <w:rPr>
                <w:rFonts w:ascii="Aptos Narrow" w:eastAsia="Times New Roman" w:hAnsi="Aptos Narrow" w:cs="Times New Roman"/>
                <w:b/>
                <w:bCs/>
                <w:color w:val="FFFFFF"/>
              </w:rPr>
              <w:t>2023</w:t>
            </w:r>
          </w:p>
        </w:tc>
      </w:tr>
      <w:tr w:rsidR="00231C46" w:rsidRPr="006B7189" w14:paraId="53FDD6EB"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731506A"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Portland General Electric Company</w:t>
            </w:r>
          </w:p>
        </w:tc>
        <w:tc>
          <w:tcPr>
            <w:tcW w:w="236" w:type="dxa"/>
            <w:tcBorders>
              <w:top w:val="single" w:sz="4" w:space="0" w:color="8ED973"/>
              <w:left w:val="nil"/>
              <w:bottom w:val="single" w:sz="4" w:space="0" w:color="8ED973"/>
              <w:right w:val="nil"/>
            </w:tcBorders>
            <w:shd w:val="clear" w:color="DAF2D0" w:fill="DAF2D0"/>
            <w:noWrap/>
            <w:vAlign w:val="bottom"/>
            <w:hideMark/>
          </w:tcPr>
          <w:p w14:paraId="19E6D31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w:t>
            </w:r>
          </w:p>
        </w:tc>
        <w:tc>
          <w:tcPr>
            <w:tcW w:w="236" w:type="dxa"/>
            <w:tcBorders>
              <w:top w:val="single" w:sz="4" w:space="0" w:color="8ED973"/>
              <w:left w:val="nil"/>
              <w:bottom w:val="single" w:sz="4" w:space="0" w:color="8ED973"/>
              <w:right w:val="nil"/>
            </w:tcBorders>
            <w:shd w:val="clear" w:color="DAF2D0" w:fill="DAF2D0"/>
            <w:noWrap/>
            <w:vAlign w:val="bottom"/>
            <w:hideMark/>
          </w:tcPr>
          <w:p w14:paraId="473CF85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0.71</w:t>
            </w:r>
          </w:p>
        </w:tc>
        <w:tc>
          <w:tcPr>
            <w:tcW w:w="236" w:type="dxa"/>
            <w:tcBorders>
              <w:top w:val="single" w:sz="4" w:space="0" w:color="8ED973"/>
              <w:left w:val="nil"/>
              <w:bottom w:val="single" w:sz="4" w:space="0" w:color="8ED973"/>
              <w:right w:val="nil"/>
            </w:tcBorders>
            <w:shd w:val="clear" w:color="DAF2D0" w:fill="DAF2D0"/>
            <w:noWrap/>
            <w:vAlign w:val="bottom"/>
            <w:hideMark/>
          </w:tcPr>
          <w:p w14:paraId="0910EDE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0.75</w:t>
            </w:r>
          </w:p>
        </w:tc>
        <w:tc>
          <w:tcPr>
            <w:tcW w:w="236" w:type="dxa"/>
            <w:tcBorders>
              <w:top w:val="single" w:sz="4" w:space="0" w:color="8ED973"/>
              <w:left w:val="nil"/>
              <w:bottom w:val="single" w:sz="4" w:space="0" w:color="8ED973"/>
              <w:right w:val="nil"/>
            </w:tcBorders>
            <w:shd w:val="clear" w:color="DAF2D0" w:fill="DAF2D0"/>
            <w:noWrap/>
            <w:vAlign w:val="bottom"/>
            <w:hideMark/>
          </w:tcPr>
          <w:p w14:paraId="6983F39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0.67</w:t>
            </w:r>
          </w:p>
        </w:tc>
        <w:tc>
          <w:tcPr>
            <w:tcW w:w="236" w:type="dxa"/>
            <w:tcBorders>
              <w:top w:val="single" w:sz="4" w:space="0" w:color="8ED973"/>
              <w:left w:val="nil"/>
              <w:bottom w:val="single" w:sz="4" w:space="0" w:color="8ED973"/>
              <w:right w:val="nil"/>
            </w:tcBorders>
            <w:shd w:val="clear" w:color="DAF2D0" w:fill="DAF2D0"/>
            <w:noWrap/>
            <w:vAlign w:val="bottom"/>
            <w:hideMark/>
          </w:tcPr>
          <w:p w14:paraId="0624A99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0.73</w:t>
            </w:r>
          </w:p>
        </w:tc>
        <w:tc>
          <w:tcPr>
            <w:tcW w:w="236" w:type="dxa"/>
            <w:tcBorders>
              <w:top w:val="single" w:sz="4" w:space="0" w:color="8ED973"/>
              <w:left w:val="nil"/>
              <w:bottom w:val="single" w:sz="4" w:space="0" w:color="8ED973"/>
              <w:right w:val="nil"/>
            </w:tcBorders>
            <w:shd w:val="clear" w:color="DAF2D0" w:fill="DAF2D0"/>
            <w:noWrap/>
            <w:vAlign w:val="bottom"/>
            <w:hideMark/>
          </w:tcPr>
          <w:p w14:paraId="478A04F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0.75</w:t>
            </w:r>
          </w:p>
        </w:tc>
        <w:tc>
          <w:tcPr>
            <w:tcW w:w="236" w:type="dxa"/>
            <w:tcBorders>
              <w:top w:val="single" w:sz="4" w:space="0" w:color="8ED973"/>
              <w:left w:val="nil"/>
              <w:bottom w:val="single" w:sz="4" w:space="0" w:color="8ED973"/>
              <w:right w:val="nil"/>
            </w:tcBorders>
            <w:shd w:val="clear" w:color="DAF2D0" w:fill="DAF2D0"/>
            <w:noWrap/>
            <w:vAlign w:val="bottom"/>
            <w:hideMark/>
          </w:tcPr>
          <w:p w14:paraId="14EDDAD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0.71</w:t>
            </w:r>
          </w:p>
        </w:tc>
        <w:tc>
          <w:tcPr>
            <w:tcW w:w="236" w:type="dxa"/>
            <w:tcBorders>
              <w:top w:val="single" w:sz="4" w:space="0" w:color="8ED973"/>
              <w:left w:val="nil"/>
              <w:bottom w:val="single" w:sz="4" w:space="0" w:color="8ED973"/>
              <w:right w:val="nil"/>
            </w:tcBorders>
            <w:shd w:val="clear" w:color="DAF2D0" w:fill="DAF2D0"/>
            <w:noWrap/>
            <w:vAlign w:val="bottom"/>
            <w:hideMark/>
          </w:tcPr>
          <w:p w14:paraId="03F132C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0.75</w:t>
            </w:r>
          </w:p>
        </w:tc>
        <w:tc>
          <w:tcPr>
            <w:tcW w:w="236" w:type="dxa"/>
            <w:tcBorders>
              <w:top w:val="single" w:sz="4" w:space="0" w:color="8ED973"/>
              <w:left w:val="nil"/>
              <w:bottom w:val="single" w:sz="4" w:space="0" w:color="8ED973"/>
              <w:right w:val="nil"/>
            </w:tcBorders>
            <w:shd w:val="clear" w:color="DAF2D0" w:fill="DAF2D0"/>
            <w:noWrap/>
            <w:vAlign w:val="bottom"/>
            <w:hideMark/>
          </w:tcPr>
          <w:p w14:paraId="57362A3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0.65</w:t>
            </w:r>
          </w:p>
        </w:tc>
      </w:tr>
      <w:tr w:rsidR="000D5038" w:rsidRPr="006B7189" w14:paraId="02489797"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4C2AE0E5"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Puget Sound Energy, Inc.</w:t>
            </w:r>
          </w:p>
        </w:tc>
        <w:tc>
          <w:tcPr>
            <w:tcW w:w="236" w:type="dxa"/>
            <w:tcBorders>
              <w:top w:val="single" w:sz="4" w:space="0" w:color="8ED973"/>
              <w:left w:val="nil"/>
              <w:bottom w:val="single" w:sz="4" w:space="0" w:color="8ED973"/>
              <w:right w:val="nil"/>
            </w:tcBorders>
            <w:shd w:val="clear" w:color="auto" w:fill="auto"/>
            <w:noWrap/>
            <w:vAlign w:val="bottom"/>
            <w:hideMark/>
          </w:tcPr>
          <w:p w14:paraId="24027DC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0.57</w:t>
            </w:r>
          </w:p>
        </w:tc>
        <w:tc>
          <w:tcPr>
            <w:tcW w:w="236" w:type="dxa"/>
            <w:tcBorders>
              <w:top w:val="single" w:sz="4" w:space="0" w:color="8ED973"/>
              <w:left w:val="nil"/>
              <w:bottom w:val="single" w:sz="4" w:space="0" w:color="8ED973"/>
              <w:right w:val="nil"/>
            </w:tcBorders>
            <w:shd w:val="clear" w:color="auto" w:fill="auto"/>
            <w:noWrap/>
            <w:vAlign w:val="bottom"/>
            <w:hideMark/>
          </w:tcPr>
          <w:p w14:paraId="0E9FBA7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0.47</w:t>
            </w:r>
          </w:p>
        </w:tc>
        <w:tc>
          <w:tcPr>
            <w:tcW w:w="236" w:type="dxa"/>
            <w:tcBorders>
              <w:top w:val="single" w:sz="4" w:space="0" w:color="8ED973"/>
              <w:left w:val="nil"/>
              <w:bottom w:val="single" w:sz="4" w:space="0" w:color="8ED973"/>
              <w:right w:val="nil"/>
            </w:tcBorders>
            <w:shd w:val="clear" w:color="auto" w:fill="auto"/>
            <w:noWrap/>
            <w:vAlign w:val="bottom"/>
            <w:hideMark/>
          </w:tcPr>
          <w:p w14:paraId="20C1678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0.51</w:t>
            </w:r>
          </w:p>
        </w:tc>
        <w:tc>
          <w:tcPr>
            <w:tcW w:w="236" w:type="dxa"/>
            <w:tcBorders>
              <w:top w:val="single" w:sz="4" w:space="0" w:color="8ED973"/>
              <w:left w:val="nil"/>
              <w:bottom w:val="single" w:sz="4" w:space="0" w:color="8ED973"/>
              <w:right w:val="nil"/>
            </w:tcBorders>
            <w:shd w:val="clear" w:color="auto" w:fill="auto"/>
            <w:noWrap/>
            <w:vAlign w:val="bottom"/>
            <w:hideMark/>
          </w:tcPr>
          <w:p w14:paraId="36ACBED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0.54</w:t>
            </w:r>
          </w:p>
        </w:tc>
        <w:tc>
          <w:tcPr>
            <w:tcW w:w="236" w:type="dxa"/>
            <w:tcBorders>
              <w:top w:val="single" w:sz="4" w:space="0" w:color="8ED973"/>
              <w:left w:val="nil"/>
              <w:bottom w:val="single" w:sz="4" w:space="0" w:color="8ED973"/>
              <w:right w:val="nil"/>
            </w:tcBorders>
            <w:shd w:val="clear" w:color="auto" w:fill="auto"/>
            <w:noWrap/>
            <w:vAlign w:val="bottom"/>
            <w:hideMark/>
          </w:tcPr>
          <w:p w14:paraId="1C231FE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0.44</w:t>
            </w:r>
          </w:p>
        </w:tc>
        <w:tc>
          <w:tcPr>
            <w:tcW w:w="236" w:type="dxa"/>
            <w:tcBorders>
              <w:top w:val="single" w:sz="4" w:space="0" w:color="8ED973"/>
              <w:left w:val="nil"/>
              <w:bottom w:val="single" w:sz="4" w:space="0" w:color="8ED973"/>
              <w:right w:val="nil"/>
            </w:tcBorders>
            <w:shd w:val="clear" w:color="auto" w:fill="auto"/>
            <w:noWrap/>
            <w:vAlign w:val="bottom"/>
            <w:hideMark/>
          </w:tcPr>
          <w:p w14:paraId="0A8C48F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w:t>
            </w:r>
          </w:p>
        </w:tc>
        <w:tc>
          <w:tcPr>
            <w:tcW w:w="236" w:type="dxa"/>
            <w:tcBorders>
              <w:top w:val="single" w:sz="4" w:space="0" w:color="8ED973"/>
              <w:left w:val="nil"/>
              <w:bottom w:val="single" w:sz="4" w:space="0" w:color="8ED973"/>
              <w:right w:val="nil"/>
            </w:tcBorders>
            <w:shd w:val="clear" w:color="auto" w:fill="auto"/>
            <w:noWrap/>
            <w:vAlign w:val="bottom"/>
            <w:hideMark/>
          </w:tcPr>
          <w:p w14:paraId="42D840B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0.73</w:t>
            </w:r>
          </w:p>
        </w:tc>
        <w:tc>
          <w:tcPr>
            <w:tcW w:w="236" w:type="dxa"/>
            <w:tcBorders>
              <w:top w:val="single" w:sz="4" w:space="0" w:color="8ED973"/>
              <w:left w:val="nil"/>
              <w:bottom w:val="single" w:sz="4" w:space="0" w:color="8ED973"/>
              <w:right w:val="nil"/>
            </w:tcBorders>
            <w:shd w:val="clear" w:color="auto" w:fill="auto"/>
            <w:noWrap/>
            <w:vAlign w:val="bottom"/>
            <w:hideMark/>
          </w:tcPr>
          <w:p w14:paraId="7D367DA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0.79</w:t>
            </w:r>
          </w:p>
        </w:tc>
        <w:tc>
          <w:tcPr>
            <w:tcW w:w="236" w:type="dxa"/>
            <w:tcBorders>
              <w:top w:val="single" w:sz="4" w:space="0" w:color="8ED973"/>
              <w:left w:val="nil"/>
              <w:bottom w:val="single" w:sz="4" w:space="0" w:color="8ED973"/>
              <w:right w:val="nil"/>
            </w:tcBorders>
            <w:shd w:val="clear" w:color="auto" w:fill="auto"/>
            <w:noWrap/>
            <w:vAlign w:val="bottom"/>
            <w:hideMark/>
          </w:tcPr>
          <w:p w14:paraId="2E80123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0.68</w:t>
            </w:r>
          </w:p>
        </w:tc>
      </w:tr>
      <w:tr w:rsidR="00231C46" w:rsidRPr="006B7189" w14:paraId="6C4E314B"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5EC1EC6"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City of Tacoma, Department of Public Utilities, Light Division</w:t>
            </w:r>
          </w:p>
        </w:tc>
        <w:tc>
          <w:tcPr>
            <w:tcW w:w="236" w:type="dxa"/>
            <w:tcBorders>
              <w:top w:val="single" w:sz="4" w:space="0" w:color="8ED973"/>
              <w:left w:val="nil"/>
              <w:bottom w:val="single" w:sz="4" w:space="0" w:color="8ED973"/>
              <w:right w:val="nil"/>
            </w:tcBorders>
            <w:shd w:val="clear" w:color="DAF2D0" w:fill="DAF2D0"/>
            <w:noWrap/>
            <w:vAlign w:val="bottom"/>
            <w:hideMark/>
          </w:tcPr>
          <w:p w14:paraId="3E655E2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0.48</w:t>
            </w:r>
          </w:p>
        </w:tc>
        <w:tc>
          <w:tcPr>
            <w:tcW w:w="236" w:type="dxa"/>
            <w:tcBorders>
              <w:top w:val="single" w:sz="4" w:space="0" w:color="8ED973"/>
              <w:left w:val="nil"/>
              <w:bottom w:val="single" w:sz="4" w:space="0" w:color="8ED973"/>
              <w:right w:val="nil"/>
            </w:tcBorders>
            <w:shd w:val="clear" w:color="DAF2D0" w:fill="DAF2D0"/>
            <w:noWrap/>
            <w:vAlign w:val="bottom"/>
            <w:hideMark/>
          </w:tcPr>
          <w:p w14:paraId="51D924C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c>
          <w:tcPr>
            <w:tcW w:w="236" w:type="dxa"/>
            <w:tcBorders>
              <w:top w:val="single" w:sz="4" w:space="0" w:color="8ED973"/>
              <w:left w:val="nil"/>
              <w:bottom w:val="single" w:sz="4" w:space="0" w:color="8ED973"/>
              <w:right w:val="nil"/>
            </w:tcBorders>
            <w:shd w:val="clear" w:color="DAF2D0" w:fill="DAF2D0"/>
            <w:noWrap/>
            <w:vAlign w:val="bottom"/>
            <w:hideMark/>
          </w:tcPr>
          <w:p w14:paraId="1264CBC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0.38</w:t>
            </w:r>
          </w:p>
        </w:tc>
        <w:tc>
          <w:tcPr>
            <w:tcW w:w="236" w:type="dxa"/>
            <w:tcBorders>
              <w:top w:val="single" w:sz="4" w:space="0" w:color="8ED973"/>
              <w:left w:val="nil"/>
              <w:bottom w:val="single" w:sz="4" w:space="0" w:color="8ED973"/>
              <w:right w:val="nil"/>
            </w:tcBorders>
            <w:shd w:val="clear" w:color="DAF2D0" w:fill="DAF2D0"/>
            <w:noWrap/>
            <w:vAlign w:val="bottom"/>
            <w:hideMark/>
          </w:tcPr>
          <w:p w14:paraId="3FE935F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0.51</w:t>
            </w:r>
          </w:p>
        </w:tc>
        <w:tc>
          <w:tcPr>
            <w:tcW w:w="236" w:type="dxa"/>
            <w:tcBorders>
              <w:top w:val="single" w:sz="4" w:space="0" w:color="8ED973"/>
              <w:left w:val="nil"/>
              <w:bottom w:val="single" w:sz="4" w:space="0" w:color="8ED973"/>
              <w:right w:val="nil"/>
            </w:tcBorders>
            <w:shd w:val="clear" w:color="DAF2D0" w:fill="DAF2D0"/>
            <w:noWrap/>
            <w:vAlign w:val="bottom"/>
            <w:hideMark/>
          </w:tcPr>
          <w:p w14:paraId="70C89E9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0.67</w:t>
            </w:r>
          </w:p>
        </w:tc>
        <w:tc>
          <w:tcPr>
            <w:tcW w:w="236" w:type="dxa"/>
            <w:tcBorders>
              <w:top w:val="single" w:sz="4" w:space="0" w:color="8ED973"/>
              <w:left w:val="nil"/>
              <w:bottom w:val="single" w:sz="4" w:space="0" w:color="8ED973"/>
              <w:right w:val="nil"/>
            </w:tcBorders>
            <w:shd w:val="clear" w:color="DAF2D0" w:fill="DAF2D0"/>
            <w:noWrap/>
            <w:vAlign w:val="bottom"/>
            <w:hideMark/>
          </w:tcPr>
          <w:p w14:paraId="5B7A1BB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0.45</w:t>
            </w:r>
          </w:p>
        </w:tc>
        <w:tc>
          <w:tcPr>
            <w:tcW w:w="236" w:type="dxa"/>
            <w:tcBorders>
              <w:top w:val="single" w:sz="4" w:space="0" w:color="8ED973"/>
              <w:left w:val="nil"/>
              <w:bottom w:val="single" w:sz="4" w:space="0" w:color="8ED973"/>
              <w:right w:val="nil"/>
            </w:tcBorders>
            <w:shd w:val="clear" w:color="DAF2D0" w:fill="DAF2D0"/>
            <w:noWrap/>
            <w:vAlign w:val="bottom"/>
            <w:hideMark/>
          </w:tcPr>
          <w:p w14:paraId="76853EB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0.46</w:t>
            </w:r>
          </w:p>
        </w:tc>
        <w:tc>
          <w:tcPr>
            <w:tcW w:w="236" w:type="dxa"/>
            <w:tcBorders>
              <w:top w:val="single" w:sz="4" w:space="0" w:color="8ED973"/>
              <w:left w:val="nil"/>
              <w:bottom w:val="single" w:sz="4" w:space="0" w:color="8ED973"/>
              <w:right w:val="nil"/>
            </w:tcBorders>
            <w:shd w:val="clear" w:color="DAF2D0" w:fill="DAF2D0"/>
            <w:noWrap/>
            <w:vAlign w:val="bottom"/>
            <w:hideMark/>
          </w:tcPr>
          <w:p w14:paraId="70C42ED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0.45</w:t>
            </w:r>
          </w:p>
        </w:tc>
        <w:tc>
          <w:tcPr>
            <w:tcW w:w="236" w:type="dxa"/>
            <w:tcBorders>
              <w:top w:val="single" w:sz="4" w:space="0" w:color="8ED973"/>
              <w:left w:val="nil"/>
              <w:bottom w:val="single" w:sz="4" w:space="0" w:color="8ED973"/>
              <w:right w:val="nil"/>
            </w:tcBorders>
            <w:shd w:val="clear" w:color="DAF2D0" w:fill="DAF2D0"/>
            <w:noWrap/>
            <w:vAlign w:val="bottom"/>
            <w:hideMark/>
          </w:tcPr>
          <w:p w14:paraId="31462D8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0.58</w:t>
            </w:r>
          </w:p>
        </w:tc>
      </w:tr>
      <w:tr w:rsidR="000D5038" w:rsidRPr="006B7189" w14:paraId="5B095F66"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EC5F77F"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El Paso Electric Company</w:t>
            </w:r>
          </w:p>
        </w:tc>
        <w:tc>
          <w:tcPr>
            <w:tcW w:w="236" w:type="dxa"/>
            <w:tcBorders>
              <w:top w:val="single" w:sz="4" w:space="0" w:color="8ED973"/>
              <w:left w:val="nil"/>
              <w:bottom w:val="single" w:sz="4" w:space="0" w:color="8ED973"/>
              <w:right w:val="nil"/>
            </w:tcBorders>
            <w:shd w:val="clear" w:color="auto" w:fill="auto"/>
            <w:noWrap/>
            <w:vAlign w:val="bottom"/>
            <w:hideMark/>
          </w:tcPr>
          <w:p w14:paraId="5BB4705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0.44</w:t>
            </w:r>
          </w:p>
        </w:tc>
        <w:tc>
          <w:tcPr>
            <w:tcW w:w="236" w:type="dxa"/>
            <w:tcBorders>
              <w:top w:val="single" w:sz="4" w:space="0" w:color="8ED973"/>
              <w:left w:val="nil"/>
              <w:bottom w:val="single" w:sz="4" w:space="0" w:color="8ED973"/>
              <w:right w:val="nil"/>
            </w:tcBorders>
            <w:shd w:val="clear" w:color="auto" w:fill="auto"/>
            <w:noWrap/>
            <w:vAlign w:val="bottom"/>
            <w:hideMark/>
          </w:tcPr>
          <w:p w14:paraId="3445C19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0.55</w:t>
            </w:r>
          </w:p>
        </w:tc>
        <w:tc>
          <w:tcPr>
            <w:tcW w:w="236" w:type="dxa"/>
            <w:tcBorders>
              <w:top w:val="single" w:sz="4" w:space="0" w:color="8ED973"/>
              <w:left w:val="nil"/>
              <w:bottom w:val="single" w:sz="4" w:space="0" w:color="8ED973"/>
              <w:right w:val="nil"/>
            </w:tcBorders>
            <w:shd w:val="clear" w:color="auto" w:fill="auto"/>
            <w:noWrap/>
            <w:vAlign w:val="bottom"/>
            <w:hideMark/>
          </w:tcPr>
          <w:p w14:paraId="731FD85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0.52</w:t>
            </w:r>
          </w:p>
        </w:tc>
        <w:tc>
          <w:tcPr>
            <w:tcW w:w="236" w:type="dxa"/>
            <w:tcBorders>
              <w:top w:val="single" w:sz="4" w:space="0" w:color="8ED973"/>
              <w:left w:val="nil"/>
              <w:bottom w:val="single" w:sz="4" w:space="0" w:color="8ED973"/>
              <w:right w:val="nil"/>
            </w:tcBorders>
            <w:shd w:val="clear" w:color="auto" w:fill="auto"/>
            <w:noWrap/>
            <w:vAlign w:val="bottom"/>
            <w:hideMark/>
          </w:tcPr>
          <w:p w14:paraId="27BAE3A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0.39</w:t>
            </w:r>
          </w:p>
        </w:tc>
        <w:tc>
          <w:tcPr>
            <w:tcW w:w="236" w:type="dxa"/>
            <w:tcBorders>
              <w:top w:val="single" w:sz="4" w:space="0" w:color="8ED973"/>
              <w:left w:val="nil"/>
              <w:bottom w:val="single" w:sz="4" w:space="0" w:color="8ED973"/>
              <w:right w:val="nil"/>
            </w:tcBorders>
            <w:shd w:val="clear" w:color="auto" w:fill="auto"/>
            <w:noWrap/>
            <w:vAlign w:val="bottom"/>
            <w:hideMark/>
          </w:tcPr>
          <w:p w14:paraId="47BBA4E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c>
          <w:tcPr>
            <w:tcW w:w="236" w:type="dxa"/>
            <w:tcBorders>
              <w:top w:val="single" w:sz="4" w:space="0" w:color="8ED973"/>
              <w:left w:val="nil"/>
              <w:bottom w:val="single" w:sz="4" w:space="0" w:color="8ED973"/>
              <w:right w:val="nil"/>
            </w:tcBorders>
            <w:shd w:val="clear" w:color="auto" w:fill="auto"/>
            <w:noWrap/>
            <w:vAlign w:val="bottom"/>
            <w:hideMark/>
          </w:tcPr>
          <w:p w14:paraId="04B11C3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0.42</w:t>
            </w:r>
          </w:p>
        </w:tc>
        <w:tc>
          <w:tcPr>
            <w:tcW w:w="236" w:type="dxa"/>
            <w:tcBorders>
              <w:top w:val="single" w:sz="4" w:space="0" w:color="8ED973"/>
              <w:left w:val="nil"/>
              <w:bottom w:val="single" w:sz="4" w:space="0" w:color="8ED973"/>
              <w:right w:val="nil"/>
            </w:tcBorders>
            <w:shd w:val="clear" w:color="auto" w:fill="auto"/>
            <w:noWrap/>
            <w:vAlign w:val="bottom"/>
            <w:hideMark/>
          </w:tcPr>
          <w:p w14:paraId="1994209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0.44</w:t>
            </w:r>
          </w:p>
        </w:tc>
        <w:tc>
          <w:tcPr>
            <w:tcW w:w="236" w:type="dxa"/>
            <w:tcBorders>
              <w:top w:val="single" w:sz="4" w:space="0" w:color="8ED973"/>
              <w:left w:val="nil"/>
              <w:bottom w:val="single" w:sz="4" w:space="0" w:color="8ED973"/>
              <w:right w:val="nil"/>
            </w:tcBorders>
            <w:shd w:val="clear" w:color="auto" w:fill="auto"/>
            <w:noWrap/>
            <w:vAlign w:val="bottom"/>
            <w:hideMark/>
          </w:tcPr>
          <w:p w14:paraId="62B39D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0.46</w:t>
            </w:r>
          </w:p>
        </w:tc>
        <w:tc>
          <w:tcPr>
            <w:tcW w:w="236" w:type="dxa"/>
            <w:tcBorders>
              <w:top w:val="single" w:sz="4" w:space="0" w:color="8ED973"/>
              <w:left w:val="nil"/>
              <w:bottom w:val="single" w:sz="4" w:space="0" w:color="8ED973"/>
              <w:right w:val="nil"/>
            </w:tcBorders>
            <w:shd w:val="clear" w:color="auto" w:fill="auto"/>
            <w:noWrap/>
            <w:vAlign w:val="bottom"/>
            <w:hideMark/>
          </w:tcPr>
          <w:p w14:paraId="1FB76E2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r>
      <w:tr w:rsidR="00231C46" w:rsidRPr="006B7189" w14:paraId="3B6D47F1"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19DC3B8"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Duke Energy Progress West</w:t>
            </w:r>
          </w:p>
        </w:tc>
        <w:tc>
          <w:tcPr>
            <w:tcW w:w="236" w:type="dxa"/>
            <w:tcBorders>
              <w:top w:val="single" w:sz="4" w:space="0" w:color="8ED973"/>
              <w:left w:val="nil"/>
              <w:bottom w:val="single" w:sz="4" w:space="0" w:color="8ED973"/>
              <w:right w:val="nil"/>
            </w:tcBorders>
            <w:shd w:val="clear" w:color="DAF2D0" w:fill="DAF2D0"/>
            <w:noWrap/>
            <w:vAlign w:val="bottom"/>
            <w:hideMark/>
          </w:tcPr>
          <w:p w14:paraId="6C6A206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0.42</w:t>
            </w:r>
          </w:p>
        </w:tc>
        <w:tc>
          <w:tcPr>
            <w:tcW w:w="236" w:type="dxa"/>
            <w:tcBorders>
              <w:top w:val="single" w:sz="4" w:space="0" w:color="8ED973"/>
              <w:left w:val="nil"/>
              <w:bottom w:val="single" w:sz="4" w:space="0" w:color="8ED973"/>
              <w:right w:val="nil"/>
            </w:tcBorders>
            <w:shd w:val="clear" w:color="DAF2D0" w:fill="DAF2D0"/>
            <w:noWrap/>
            <w:vAlign w:val="bottom"/>
            <w:hideMark/>
          </w:tcPr>
          <w:p w14:paraId="3E697F2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0.64</w:t>
            </w:r>
          </w:p>
        </w:tc>
        <w:tc>
          <w:tcPr>
            <w:tcW w:w="236" w:type="dxa"/>
            <w:tcBorders>
              <w:top w:val="single" w:sz="4" w:space="0" w:color="8ED973"/>
              <w:left w:val="nil"/>
              <w:bottom w:val="single" w:sz="4" w:space="0" w:color="8ED973"/>
              <w:right w:val="nil"/>
            </w:tcBorders>
            <w:shd w:val="clear" w:color="DAF2D0" w:fill="DAF2D0"/>
            <w:noWrap/>
            <w:vAlign w:val="bottom"/>
            <w:hideMark/>
          </w:tcPr>
          <w:p w14:paraId="704011D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0.66</w:t>
            </w:r>
          </w:p>
        </w:tc>
        <w:tc>
          <w:tcPr>
            <w:tcW w:w="236" w:type="dxa"/>
            <w:tcBorders>
              <w:top w:val="single" w:sz="4" w:space="0" w:color="8ED973"/>
              <w:left w:val="nil"/>
              <w:bottom w:val="single" w:sz="4" w:space="0" w:color="8ED973"/>
              <w:right w:val="nil"/>
            </w:tcBorders>
            <w:shd w:val="clear" w:color="DAF2D0" w:fill="DAF2D0"/>
            <w:noWrap/>
            <w:vAlign w:val="bottom"/>
            <w:hideMark/>
          </w:tcPr>
          <w:p w14:paraId="64F9966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0.56</w:t>
            </w:r>
          </w:p>
        </w:tc>
        <w:tc>
          <w:tcPr>
            <w:tcW w:w="236" w:type="dxa"/>
            <w:tcBorders>
              <w:top w:val="single" w:sz="4" w:space="0" w:color="8ED973"/>
              <w:left w:val="nil"/>
              <w:bottom w:val="single" w:sz="4" w:space="0" w:color="8ED973"/>
              <w:right w:val="nil"/>
            </w:tcBorders>
            <w:shd w:val="clear" w:color="DAF2D0" w:fill="DAF2D0"/>
            <w:noWrap/>
            <w:vAlign w:val="bottom"/>
            <w:hideMark/>
          </w:tcPr>
          <w:p w14:paraId="560B24D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0.58</w:t>
            </w:r>
          </w:p>
        </w:tc>
        <w:tc>
          <w:tcPr>
            <w:tcW w:w="236" w:type="dxa"/>
            <w:tcBorders>
              <w:top w:val="single" w:sz="4" w:space="0" w:color="8ED973"/>
              <w:left w:val="nil"/>
              <w:bottom w:val="single" w:sz="4" w:space="0" w:color="8ED973"/>
              <w:right w:val="nil"/>
            </w:tcBorders>
            <w:shd w:val="clear" w:color="DAF2D0" w:fill="DAF2D0"/>
            <w:noWrap/>
            <w:vAlign w:val="bottom"/>
            <w:hideMark/>
          </w:tcPr>
          <w:p w14:paraId="0490190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DAF2D0" w:fill="DAF2D0"/>
            <w:noWrap/>
            <w:vAlign w:val="bottom"/>
            <w:hideMark/>
          </w:tcPr>
          <w:p w14:paraId="271CF6B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DAF2D0" w:fill="DAF2D0"/>
            <w:noWrap/>
            <w:vAlign w:val="bottom"/>
            <w:hideMark/>
          </w:tcPr>
          <w:p w14:paraId="1D32784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DAF2D0" w:fill="DAF2D0"/>
            <w:noWrap/>
            <w:vAlign w:val="bottom"/>
            <w:hideMark/>
          </w:tcPr>
          <w:p w14:paraId="343DA19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r>
      <w:tr w:rsidR="000D5038" w:rsidRPr="006B7189" w14:paraId="7F4E7961"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A6DCED3"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Avista Corporation</w:t>
            </w:r>
          </w:p>
        </w:tc>
        <w:tc>
          <w:tcPr>
            <w:tcW w:w="236" w:type="dxa"/>
            <w:tcBorders>
              <w:top w:val="single" w:sz="4" w:space="0" w:color="8ED973"/>
              <w:left w:val="nil"/>
              <w:bottom w:val="single" w:sz="4" w:space="0" w:color="8ED973"/>
              <w:right w:val="nil"/>
            </w:tcBorders>
            <w:shd w:val="clear" w:color="auto" w:fill="auto"/>
            <w:noWrap/>
            <w:vAlign w:val="bottom"/>
            <w:hideMark/>
          </w:tcPr>
          <w:p w14:paraId="11A4728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6CCAAB3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0.43</w:t>
            </w:r>
          </w:p>
        </w:tc>
        <w:tc>
          <w:tcPr>
            <w:tcW w:w="236" w:type="dxa"/>
            <w:tcBorders>
              <w:top w:val="single" w:sz="4" w:space="0" w:color="8ED973"/>
              <w:left w:val="nil"/>
              <w:bottom w:val="single" w:sz="4" w:space="0" w:color="8ED973"/>
              <w:right w:val="nil"/>
            </w:tcBorders>
            <w:shd w:val="clear" w:color="auto" w:fill="auto"/>
            <w:noWrap/>
            <w:vAlign w:val="bottom"/>
            <w:hideMark/>
          </w:tcPr>
          <w:p w14:paraId="3618293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0.46</w:t>
            </w:r>
          </w:p>
        </w:tc>
        <w:tc>
          <w:tcPr>
            <w:tcW w:w="236" w:type="dxa"/>
            <w:tcBorders>
              <w:top w:val="single" w:sz="4" w:space="0" w:color="8ED973"/>
              <w:left w:val="nil"/>
              <w:bottom w:val="single" w:sz="4" w:space="0" w:color="8ED973"/>
              <w:right w:val="nil"/>
            </w:tcBorders>
            <w:shd w:val="clear" w:color="auto" w:fill="auto"/>
            <w:noWrap/>
            <w:vAlign w:val="bottom"/>
            <w:hideMark/>
          </w:tcPr>
          <w:p w14:paraId="57F1E5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76077DC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1871B16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0.35</w:t>
            </w:r>
          </w:p>
        </w:tc>
        <w:tc>
          <w:tcPr>
            <w:tcW w:w="236" w:type="dxa"/>
            <w:tcBorders>
              <w:top w:val="single" w:sz="4" w:space="0" w:color="8ED973"/>
              <w:left w:val="nil"/>
              <w:bottom w:val="single" w:sz="4" w:space="0" w:color="8ED973"/>
              <w:right w:val="nil"/>
            </w:tcBorders>
            <w:shd w:val="clear" w:color="auto" w:fill="auto"/>
            <w:noWrap/>
            <w:vAlign w:val="bottom"/>
            <w:hideMark/>
          </w:tcPr>
          <w:p w14:paraId="5CB0BD5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0.33</w:t>
            </w:r>
          </w:p>
        </w:tc>
        <w:tc>
          <w:tcPr>
            <w:tcW w:w="236" w:type="dxa"/>
            <w:tcBorders>
              <w:top w:val="single" w:sz="4" w:space="0" w:color="8ED973"/>
              <w:left w:val="nil"/>
              <w:bottom w:val="single" w:sz="4" w:space="0" w:color="8ED973"/>
              <w:right w:val="nil"/>
            </w:tcBorders>
            <w:shd w:val="clear" w:color="auto" w:fill="auto"/>
            <w:noWrap/>
            <w:vAlign w:val="bottom"/>
            <w:hideMark/>
          </w:tcPr>
          <w:p w14:paraId="035BF65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c>
          <w:tcPr>
            <w:tcW w:w="236" w:type="dxa"/>
            <w:tcBorders>
              <w:top w:val="single" w:sz="4" w:space="0" w:color="8ED973"/>
              <w:left w:val="nil"/>
              <w:bottom w:val="single" w:sz="4" w:space="0" w:color="8ED973"/>
              <w:right w:val="nil"/>
            </w:tcBorders>
            <w:shd w:val="clear" w:color="auto" w:fill="auto"/>
            <w:noWrap/>
            <w:vAlign w:val="bottom"/>
            <w:hideMark/>
          </w:tcPr>
          <w:p w14:paraId="7A07261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0.38</w:t>
            </w:r>
          </w:p>
        </w:tc>
      </w:tr>
      <w:tr w:rsidR="00231C46" w:rsidRPr="006B7189" w14:paraId="49F1B29D"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09383D7"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Seattle City Light</w:t>
            </w:r>
          </w:p>
        </w:tc>
        <w:tc>
          <w:tcPr>
            <w:tcW w:w="236" w:type="dxa"/>
            <w:tcBorders>
              <w:top w:val="single" w:sz="4" w:space="0" w:color="8ED973"/>
              <w:left w:val="nil"/>
              <w:bottom w:val="single" w:sz="4" w:space="0" w:color="8ED973"/>
              <w:right w:val="nil"/>
            </w:tcBorders>
            <w:shd w:val="clear" w:color="DAF2D0" w:fill="DAF2D0"/>
            <w:noWrap/>
            <w:vAlign w:val="bottom"/>
            <w:hideMark/>
          </w:tcPr>
          <w:p w14:paraId="36357D7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0.39</w:t>
            </w:r>
          </w:p>
        </w:tc>
        <w:tc>
          <w:tcPr>
            <w:tcW w:w="236" w:type="dxa"/>
            <w:tcBorders>
              <w:top w:val="single" w:sz="4" w:space="0" w:color="8ED973"/>
              <w:left w:val="nil"/>
              <w:bottom w:val="single" w:sz="4" w:space="0" w:color="8ED973"/>
              <w:right w:val="nil"/>
            </w:tcBorders>
            <w:shd w:val="clear" w:color="DAF2D0" w:fill="DAF2D0"/>
            <w:noWrap/>
            <w:vAlign w:val="bottom"/>
            <w:hideMark/>
          </w:tcPr>
          <w:p w14:paraId="3D1BE89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0.29</w:t>
            </w:r>
          </w:p>
        </w:tc>
        <w:tc>
          <w:tcPr>
            <w:tcW w:w="236" w:type="dxa"/>
            <w:tcBorders>
              <w:top w:val="single" w:sz="4" w:space="0" w:color="8ED973"/>
              <w:left w:val="nil"/>
              <w:bottom w:val="single" w:sz="4" w:space="0" w:color="8ED973"/>
              <w:right w:val="nil"/>
            </w:tcBorders>
            <w:shd w:val="clear" w:color="DAF2D0" w:fill="DAF2D0"/>
            <w:noWrap/>
            <w:vAlign w:val="bottom"/>
            <w:hideMark/>
          </w:tcPr>
          <w:p w14:paraId="72B6FFC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0.35</w:t>
            </w:r>
          </w:p>
        </w:tc>
        <w:tc>
          <w:tcPr>
            <w:tcW w:w="236" w:type="dxa"/>
            <w:tcBorders>
              <w:top w:val="single" w:sz="4" w:space="0" w:color="8ED973"/>
              <w:left w:val="nil"/>
              <w:bottom w:val="single" w:sz="4" w:space="0" w:color="8ED973"/>
              <w:right w:val="nil"/>
            </w:tcBorders>
            <w:shd w:val="clear" w:color="DAF2D0" w:fill="DAF2D0"/>
            <w:noWrap/>
            <w:vAlign w:val="bottom"/>
            <w:hideMark/>
          </w:tcPr>
          <w:p w14:paraId="717EAEE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0.35</w:t>
            </w:r>
          </w:p>
        </w:tc>
        <w:tc>
          <w:tcPr>
            <w:tcW w:w="236" w:type="dxa"/>
            <w:tcBorders>
              <w:top w:val="single" w:sz="4" w:space="0" w:color="8ED973"/>
              <w:left w:val="nil"/>
              <w:bottom w:val="single" w:sz="4" w:space="0" w:color="8ED973"/>
              <w:right w:val="nil"/>
            </w:tcBorders>
            <w:shd w:val="clear" w:color="DAF2D0" w:fill="DAF2D0"/>
            <w:noWrap/>
            <w:vAlign w:val="bottom"/>
            <w:hideMark/>
          </w:tcPr>
          <w:p w14:paraId="2409F19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0.45</w:t>
            </w:r>
          </w:p>
        </w:tc>
        <w:tc>
          <w:tcPr>
            <w:tcW w:w="236" w:type="dxa"/>
            <w:tcBorders>
              <w:top w:val="single" w:sz="4" w:space="0" w:color="8ED973"/>
              <w:left w:val="nil"/>
              <w:bottom w:val="single" w:sz="4" w:space="0" w:color="8ED973"/>
              <w:right w:val="nil"/>
            </w:tcBorders>
            <w:shd w:val="clear" w:color="DAF2D0" w:fill="DAF2D0"/>
            <w:noWrap/>
            <w:vAlign w:val="bottom"/>
            <w:hideMark/>
          </w:tcPr>
          <w:p w14:paraId="2C864E4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0.37</w:t>
            </w:r>
          </w:p>
        </w:tc>
        <w:tc>
          <w:tcPr>
            <w:tcW w:w="236" w:type="dxa"/>
            <w:tcBorders>
              <w:top w:val="single" w:sz="4" w:space="0" w:color="8ED973"/>
              <w:left w:val="nil"/>
              <w:bottom w:val="single" w:sz="4" w:space="0" w:color="8ED973"/>
              <w:right w:val="nil"/>
            </w:tcBorders>
            <w:shd w:val="clear" w:color="DAF2D0" w:fill="DAF2D0"/>
            <w:noWrap/>
            <w:vAlign w:val="bottom"/>
            <w:hideMark/>
          </w:tcPr>
          <w:p w14:paraId="3775CF8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0.37</w:t>
            </w:r>
          </w:p>
        </w:tc>
        <w:tc>
          <w:tcPr>
            <w:tcW w:w="236" w:type="dxa"/>
            <w:tcBorders>
              <w:top w:val="single" w:sz="4" w:space="0" w:color="8ED973"/>
              <w:left w:val="nil"/>
              <w:bottom w:val="single" w:sz="4" w:space="0" w:color="8ED973"/>
              <w:right w:val="nil"/>
            </w:tcBorders>
            <w:shd w:val="clear" w:color="DAF2D0" w:fill="DAF2D0"/>
            <w:noWrap/>
            <w:vAlign w:val="bottom"/>
            <w:hideMark/>
          </w:tcPr>
          <w:p w14:paraId="3DA6A6A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0.39</w:t>
            </w:r>
          </w:p>
        </w:tc>
        <w:tc>
          <w:tcPr>
            <w:tcW w:w="236" w:type="dxa"/>
            <w:tcBorders>
              <w:top w:val="single" w:sz="4" w:space="0" w:color="8ED973"/>
              <w:left w:val="nil"/>
              <w:bottom w:val="single" w:sz="4" w:space="0" w:color="8ED973"/>
              <w:right w:val="nil"/>
            </w:tcBorders>
            <w:shd w:val="clear" w:color="DAF2D0" w:fill="DAF2D0"/>
            <w:noWrap/>
            <w:vAlign w:val="bottom"/>
            <w:hideMark/>
          </w:tcPr>
          <w:p w14:paraId="3D53911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0.52</w:t>
            </w:r>
          </w:p>
        </w:tc>
      </w:tr>
      <w:tr w:rsidR="000D5038" w:rsidRPr="006B7189" w14:paraId="567848A5"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85DFEA9"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PacifiCorp West</w:t>
            </w:r>
          </w:p>
        </w:tc>
        <w:tc>
          <w:tcPr>
            <w:tcW w:w="236" w:type="dxa"/>
            <w:tcBorders>
              <w:top w:val="single" w:sz="4" w:space="0" w:color="8ED973"/>
              <w:left w:val="nil"/>
              <w:bottom w:val="single" w:sz="4" w:space="0" w:color="8ED973"/>
              <w:right w:val="nil"/>
            </w:tcBorders>
            <w:shd w:val="clear" w:color="auto" w:fill="auto"/>
            <w:noWrap/>
            <w:vAlign w:val="bottom"/>
            <w:hideMark/>
          </w:tcPr>
          <w:p w14:paraId="28FF7A2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0.37</w:t>
            </w:r>
          </w:p>
        </w:tc>
        <w:tc>
          <w:tcPr>
            <w:tcW w:w="236" w:type="dxa"/>
            <w:tcBorders>
              <w:top w:val="single" w:sz="4" w:space="0" w:color="8ED973"/>
              <w:left w:val="nil"/>
              <w:bottom w:val="single" w:sz="4" w:space="0" w:color="8ED973"/>
              <w:right w:val="nil"/>
            </w:tcBorders>
            <w:shd w:val="clear" w:color="auto" w:fill="auto"/>
            <w:noWrap/>
            <w:vAlign w:val="bottom"/>
            <w:hideMark/>
          </w:tcPr>
          <w:p w14:paraId="6BFD0A9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0.14</w:t>
            </w:r>
          </w:p>
        </w:tc>
        <w:tc>
          <w:tcPr>
            <w:tcW w:w="236" w:type="dxa"/>
            <w:tcBorders>
              <w:top w:val="single" w:sz="4" w:space="0" w:color="8ED973"/>
              <w:left w:val="nil"/>
              <w:bottom w:val="single" w:sz="4" w:space="0" w:color="8ED973"/>
              <w:right w:val="nil"/>
            </w:tcBorders>
            <w:shd w:val="clear" w:color="auto" w:fill="auto"/>
            <w:noWrap/>
            <w:vAlign w:val="bottom"/>
            <w:hideMark/>
          </w:tcPr>
          <w:p w14:paraId="658B60E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0.13</w:t>
            </w:r>
          </w:p>
        </w:tc>
        <w:tc>
          <w:tcPr>
            <w:tcW w:w="236" w:type="dxa"/>
            <w:tcBorders>
              <w:top w:val="single" w:sz="4" w:space="0" w:color="8ED973"/>
              <w:left w:val="nil"/>
              <w:bottom w:val="single" w:sz="4" w:space="0" w:color="8ED973"/>
              <w:right w:val="nil"/>
            </w:tcBorders>
            <w:shd w:val="clear" w:color="auto" w:fill="auto"/>
            <w:noWrap/>
            <w:vAlign w:val="bottom"/>
            <w:hideMark/>
          </w:tcPr>
          <w:p w14:paraId="2F122E8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c>
          <w:tcPr>
            <w:tcW w:w="236" w:type="dxa"/>
            <w:tcBorders>
              <w:top w:val="single" w:sz="4" w:space="0" w:color="8ED973"/>
              <w:left w:val="nil"/>
              <w:bottom w:val="single" w:sz="4" w:space="0" w:color="8ED973"/>
              <w:right w:val="nil"/>
            </w:tcBorders>
            <w:shd w:val="clear" w:color="auto" w:fill="auto"/>
            <w:noWrap/>
            <w:vAlign w:val="bottom"/>
            <w:hideMark/>
          </w:tcPr>
          <w:p w14:paraId="678ECC8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c>
          <w:tcPr>
            <w:tcW w:w="236" w:type="dxa"/>
            <w:tcBorders>
              <w:top w:val="single" w:sz="4" w:space="0" w:color="8ED973"/>
              <w:left w:val="nil"/>
              <w:bottom w:val="single" w:sz="4" w:space="0" w:color="8ED973"/>
              <w:right w:val="nil"/>
            </w:tcBorders>
            <w:shd w:val="clear" w:color="auto" w:fill="auto"/>
            <w:noWrap/>
            <w:vAlign w:val="bottom"/>
            <w:hideMark/>
          </w:tcPr>
          <w:p w14:paraId="6C4828D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2753678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0.39</w:t>
            </w:r>
          </w:p>
        </w:tc>
        <w:tc>
          <w:tcPr>
            <w:tcW w:w="236" w:type="dxa"/>
            <w:tcBorders>
              <w:top w:val="single" w:sz="4" w:space="0" w:color="8ED973"/>
              <w:left w:val="nil"/>
              <w:bottom w:val="single" w:sz="4" w:space="0" w:color="8ED973"/>
              <w:right w:val="nil"/>
            </w:tcBorders>
            <w:shd w:val="clear" w:color="auto" w:fill="auto"/>
            <w:noWrap/>
            <w:vAlign w:val="bottom"/>
            <w:hideMark/>
          </w:tcPr>
          <w:p w14:paraId="45B721C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0.61</w:t>
            </w:r>
          </w:p>
        </w:tc>
        <w:tc>
          <w:tcPr>
            <w:tcW w:w="236" w:type="dxa"/>
            <w:tcBorders>
              <w:top w:val="single" w:sz="4" w:space="0" w:color="8ED973"/>
              <w:left w:val="nil"/>
              <w:bottom w:val="single" w:sz="4" w:space="0" w:color="8ED973"/>
              <w:right w:val="nil"/>
            </w:tcBorders>
            <w:shd w:val="clear" w:color="auto" w:fill="auto"/>
            <w:noWrap/>
            <w:vAlign w:val="bottom"/>
            <w:hideMark/>
          </w:tcPr>
          <w:p w14:paraId="1D97753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0.75</w:t>
            </w:r>
          </w:p>
        </w:tc>
      </w:tr>
      <w:tr w:rsidR="00231C46" w:rsidRPr="006B7189" w14:paraId="3507C1F7"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F87CC57"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South Carolina Public Service Authority</w:t>
            </w:r>
          </w:p>
        </w:tc>
        <w:tc>
          <w:tcPr>
            <w:tcW w:w="236" w:type="dxa"/>
            <w:tcBorders>
              <w:top w:val="single" w:sz="4" w:space="0" w:color="8ED973"/>
              <w:left w:val="nil"/>
              <w:bottom w:val="single" w:sz="4" w:space="0" w:color="8ED973"/>
              <w:right w:val="nil"/>
            </w:tcBorders>
            <w:shd w:val="clear" w:color="DAF2D0" w:fill="DAF2D0"/>
            <w:noWrap/>
            <w:vAlign w:val="bottom"/>
            <w:hideMark/>
          </w:tcPr>
          <w:p w14:paraId="77B6FC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0.32</w:t>
            </w:r>
          </w:p>
        </w:tc>
        <w:tc>
          <w:tcPr>
            <w:tcW w:w="236" w:type="dxa"/>
            <w:tcBorders>
              <w:top w:val="single" w:sz="4" w:space="0" w:color="8ED973"/>
              <w:left w:val="nil"/>
              <w:bottom w:val="single" w:sz="4" w:space="0" w:color="8ED973"/>
              <w:right w:val="nil"/>
            </w:tcBorders>
            <w:shd w:val="clear" w:color="DAF2D0" w:fill="DAF2D0"/>
            <w:noWrap/>
            <w:vAlign w:val="bottom"/>
            <w:hideMark/>
          </w:tcPr>
          <w:p w14:paraId="420B0E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c>
          <w:tcPr>
            <w:tcW w:w="236" w:type="dxa"/>
            <w:tcBorders>
              <w:top w:val="single" w:sz="4" w:space="0" w:color="8ED973"/>
              <w:left w:val="nil"/>
              <w:bottom w:val="single" w:sz="4" w:space="0" w:color="8ED973"/>
              <w:right w:val="nil"/>
            </w:tcBorders>
            <w:shd w:val="clear" w:color="DAF2D0" w:fill="DAF2D0"/>
            <w:noWrap/>
            <w:vAlign w:val="bottom"/>
            <w:hideMark/>
          </w:tcPr>
          <w:p w14:paraId="3D41637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0.32</w:t>
            </w:r>
          </w:p>
        </w:tc>
        <w:tc>
          <w:tcPr>
            <w:tcW w:w="236" w:type="dxa"/>
            <w:tcBorders>
              <w:top w:val="single" w:sz="4" w:space="0" w:color="8ED973"/>
              <w:left w:val="nil"/>
              <w:bottom w:val="single" w:sz="4" w:space="0" w:color="8ED973"/>
              <w:right w:val="nil"/>
            </w:tcBorders>
            <w:shd w:val="clear" w:color="DAF2D0" w:fill="DAF2D0"/>
            <w:noWrap/>
            <w:vAlign w:val="bottom"/>
            <w:hideMark/>
          </w:tcPr>
          <w:p w14:paraId="1091C14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DAF2D0" w:fill="DAF2D0"/>
            <w:noWrap/>
            <w:vAlign w:val="bottom"/>
            <w:hideMark/>
          </w:tcPr>
          <w:p w14:paraId="42B0434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0.39</w:t>
            </w:r>
          </w:p>
        </w:tc>
        <w:tc>
          <w:tcPr>
            <w:tcW w:w="236" w:type="dxa"/>
            <w:tcBorders>
              <w:top w:val="single" w:sz="4" w:space="0" w:color="8ED973"/>
              <w:left w:val="nil"/>
              <w:bottom w:val="single" w:sz="4" w:space="0" w:color="8ED973"/>
              <w:right w:val="nil"/>
            </w:tcBorders>
            <w:shd w:val="clear" w:color="DAF2D0" w:fill="DAF2D0"/>
            <w:noWrap/>
            <w:vAlign w:val="bottom"/>
            <w:hideMark/>
          </w:tcPr>
          <w:p w14:paraId="7F11615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0.38</w:t>
            </w:r>
          </w:p>
        </w:tc>
        <w:tc>
          <w:tcPr>
            <w:tcW w:w="236" w:type="dxa"/>
            <w:tcBorders>
              <w:top w:val="single" w:sz="4" w:space="0" w:color="8ED973"/>
              <w:left w:val="nil"/>
              <w:bottom w:val="single" w:sz="4" w:space="0" w:color="8ED973"/>
              <w:right w:val="nil"/>
            </w:tcBorders>
            <w:shd w:val="clear" w:color="DAF2D0" w:fill="DAF2D0"/>
            <w:noWrap/>
            <w:vAlign w:val="bottom"/>
            <w:hideMark/>
          </w:tcPr>
          <w:p w14:paraId="58CF438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0.33</w:t>
            </w:r>
          </w:p>
        </w:tc>
        <w:tc>
          <w:tcPr>
            <w:tcW w:w="236" w:type="dxa"/>
            <w:tcBorders>
              <w:top w:val="single" w:sz="4" w:space="0" w:color="8ED973"/>
              <w:left w:val="nil"/>
              <w:bottom w:val="single" w:sz="4" w:space="0" w:color="8ED973"/>
              <w:right w:val="nil"/>
            </w:tcBorders>
            <w:shd w:val="clear" w:color="DAF2D0" w:fill="DAF2D0"/>
            <w:noWrap/>
            <w:vAlign w:val="bottom"/>
            <w:hideMark/>
          </w:tcPr>
          <w:p w14:paraId="225F846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0.36</w:t>
            </w:r>
          </w:p>
        </w:tc>
        <w:tc>
          <w:tcPr>
            <w:tcW w:w="236" w:type="dxa"/>
            <w:tcBorders>
              <w:top w:val="single" w:sz="4" w:space="0" w:color="8ED973"/>
              <w:left w:val="nil"/>
              <w:bottom w:val="single" w:sz="4" w:space="0" w:color="8ED973"/>
              <w:right w:val="nil"/>
            </w:tcBorders>
            <w:shd w:val="clear" w:color="DAF2D0" w:fill="DAF2D0"/>
            <w:noWrap/>
            <w:vAlign w:val="bottom"/>
            <w:hideMark/>
          </w:tcPr>
          <w:p w14:paraId="4567AA9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w:t>
            </w:r>
          </w:p>
        </w:tc>
      </w:tr>
      <w:tr w:rsidR="000D5038" w:rsidRPr="006B7189" w14:paraId="3075ECDB"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5A8DE2D"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Tucson Electric Power</w:t>
            </w:r>
          </w:p>
        </w:tc>
        <w:tc>
          <w:tcPr>
            <w:tcW w:w="236" w:type="dxa"/>
            <w:tcBorders>
              <w:top w:val="single" w:sz="4" w:space="0" w:color="8ED973"/>
              <w:left w:val="nil"/>
              <w:bottom w:val="single" w:sz="4" w:space="0" w:color="8ED973"/>
              <w:right w:val="nil"/>
            </w:tcBorders>
            <w:shd w:val="clear" w:color="auto" w:fill="auto"/>
            <w:noWrap/>
            <w:vAlign w:val="bottom"/>
            <w:hideMark/>
          </w:tcPr>
          <w:p w14:paraId="3A6015B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w:t>
            </w:r>
          </w:p>
        </w:tc>
        <w:tc>
          <w:tcPr>
            <w:tcW w:w="236" w:type="dxa"/>
            <w:tcBorders>
              <w:top w:val="single" w:sz="4" w:space="0" w:color="8ED973"/>
              <w:left w:val="nil"/>
              <w:bottom w:val="single" w:sz="4" w:space="0" w:color="8ED973"/>
              <w:right w:val="nil"/>
            </w:tcBorders>
            <w:shd w:val="clear" w:color="auto" w:fill="auto"/>
            <w:noWrap/>
            <w:vAlign w:val="bottom"/>
            <w:hideMark/>
          </w:tcPr>
          <w:p w14:paraId="132E4EF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0.38</w:t>
            </w:r>
          </w:p>
        </w:tc>
        <w:tc>
          <w:tcPr>
            <w:tcW w:w="236" w:type="dxa"/>
            <w:tcBorders>
              <w:top w:val="single" w:sz="4" w:space="0" w:color="8ED973"/>
              <w:left w:val="nil"/>
              <w:bottom w:val="single" w:sz="4" w:space="0" w:color="8ED973"/>
              <w:right w:val="nil"/>
            </w:tcBorders>
            <w:shd w:val="clear" w:color="auto" w:fill="auto"/>
            <w:noWrap/>
            <w:vAlign w:val="bottom"/>
            <w:hideMark/>
          </w:tcPr>
          <w:p w14:paraId="7297739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373AC50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c>
          <w:tcPr>
            <w:tcW w:w="236" w:type="dxa"/>
            <w:tcBorders>
              <w:top w:val="single" w:sz="4" w:space="0" w:color="8ED973"/>
              <w:left w:val="nil"/>
              <w:bottom w:val="single" w:sz="4" w:space="0" w:color="8ED973"/>
              <w:right w:val="nil"/>
            </w:tcBorders>
            <w:shd w:val="clear" w:color="auto" w:fill="auto"/>
            <w:noWrap/>
            <w:vAlign w:val="bottom"/>
            <w:hideMark/>
          </w:tcPr>
          <w:p w14:paraId="64A618A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auto" w:fill="auto"/>
            <w:noWrap/>
            <w:vAlign w:val="bottom"/>
            <w:hideMark/>
          </w:tcPr>
          <w:p w14:paraId="530BA5F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0.32</w:t>
            </w:r>
          </w:p>
        </w:tc>
        <w:tc>
          <w:tcPr>
            <w:tcW w:w="236" w:type="dxa"/>
            <w:tcBorders>
              <w:top w:val="single" w:sz="4" w:space="0" w:color="8ED973"/>
              <w:left w:val="nil"/>
              <w:bottom w:val="single" w:sz="4" w:space="0" w:color="8ED973"/>
              <w:right w:val="nil"/>
            </w:tcBorders>
            <w:shd w:val="clear" w:color="auto" w:fill="auto"/>
            <w:noWrap/>
            <w:vAlign w:val="bottom"/>
            <w:hideMark/>
          </w:tcPr>
          <w:p w14:paraId="00EAC78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auto" w:fill="auto"/>
            <w:noWrap/>
            <w:vAlign w:val="bottom"/>
            <w:hideMark/>
          </w:tcPr>
          <w:p w14:paraId="49F554D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w:t>
            </w:r>
          </w:p>
        </w:tc>
        <w:tc>
          <w:tcPr>
            <w:tcW w:w="236" w:type="dxa"/>
            <w:tcBorders>
              <w:top w:val="single" w:sz="4" w:space="0" w:color="8ED973"/>
              <w:left w:val="nil"/>
              <w:bottom w:val="single" w:sz="4" w:space="0" w:color="8ED973"/>
              <w:right w:val="nil"/>
            </w:tcBorders>
            <w:shd w:val="clear" w:color="auto" w:fill="auto"/>
            <w:noWrap/>
            <w:vAlign w:val="bottom"/>
            <w:hideMark/>
          </w:tcPr>
          <w:p w14:paraId="63C5A5C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r>
      <w:tr w:rsidR="00231C46" w:rsidRPr="006B7189" w14:paraId="71F5C344"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70C696C"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Idaho Power Company</w:t>
            </w:r>
          </w:p>
        </w:tc>
        <w:tc>
          <w:tcPr>
            <w:tcW w:w="236" w:type="dxa"/>
            <w:tcBorders>
              <w:top w:val="single" w:sz="4" w:space="0" w:color="8ED973"/>
              <w:left w:val="nil"/>
              <w:bottom w:val="single" w:sz="4" w:space="0" w:color="8ED973"/>
              <w:right w:val="nil"/>
            </w:tcBorders>
            <w:shd w:val="clear" w:color="DAF2D0" w:fill="DAF2D0"/>
            <w:noWrap/>
            <w:vAlign w:val="bottom"/>
            <w:hideMark/>
          </w:tcPr>
          <w:p w14:paraId="7235223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0.29</w:t>
            </w:r>
          </w:p>
        </w:tc>
        <w:tc>
          <w:tcPr>
            <w:tcW w:w="236" w:type="dxa"/>
            <w:tcBorders>
              <w:top w:val="single" w:sz="4" w:space="0" w:color="8ED973"/>
              <w:left w:val="nil"/>
              <w:bottom w:val="single" w:sz="4" w:space="0" w:color="8ED973"/>
              <w:right w:val="nil"/>
            </w:tcBorders>
            <w:shd w:val="clear" w:color="DAF2D0" w:fill="DAF2D0"/>
            <w:noWrap/>
            <w:vAlign w:val="bottom"/>
            <w:hideMark/>
          </w:tcPr>
          <w:p w14:paraId="7B6F350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0.32</w:t>
            </w:r>
          </w:p>
        </w:tc>
        <w:tc>
          <w:tcPr>
            <w:tcW w:w="236" w:type="dxa"/>
            <w:tcBorders>
              <w:top w:val="single" w:sz="4" w:space="0" w:color="8ED973"/>
              <w:left w:val="nil"/>
              <w:bottom w:val="single" w:sz="4" w:space="0" w:color="8ED973"/>
              <w:right w:val="nil"/>
            </w:tcBorders>
            <w:shd w:val="clear" w:color="DAF2D0" w:fill="DAF2D0"/>
            <w:noWrap/>
            <w:vAlign w:val="bottom"/>
            <w:hideMark/>
          </w:tcPr>
          <w:p w14:paraId="7451661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c>
          <w:tcPr>
            <w:tcW w:w="236" w:type="dxa"/>
            <w:tcBorders>
              <w:top w:val="single" w:sz="4" w:space="0" w:color="8ED973"/>
              <w:left w:val="nil"/>
              <w:bottom w:val="single" w:sz="4" w:space="0" w:color="8ED973"/>
              <w:right w:val="nil"/>
            </w:tcBorders>
            <w:shd w:val="clear" w:color="DAF2D0" w:fill="DAF2D0"/>
            <w:noWrap/>
            <w:vAlign w:val="bottom"/>
            <w:hideMark/>
          </w:tcPr>
          <w:p w14:paraId="71C57A0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0.23</w:t>
            </w:r>
          </w:p>
        </w:tc>
        <w:tc>
          <w:tcPr>
            <w:tcW w:w="236" w:type="dxa"/>
            <w:tcBorders>
              <w:top w:val="single" w:sz="4" w:space="0" w:color="8ED973"/>
              <w:left w:val="nil"/>
              <w:bottom w:val="single" w:sz="4" w:space="0" w:color="8ED973"/>
              <w:right w:val="nil"/>
            </w:tcBorders>
            <w:shd w:val="clear" w:color="DAF2D0" w:fill="DAF2D0"/>
            <w:noWrap/>
            <w:vAlign w:val="bottom"/>
            <w:hideMark/>
          </w:tcPr>
          <w:p w14:paraId="3FE684D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c>
          <w:tcPr>
            <w:tcW w:w="236" w:type="dxa"/>
            <w:tcBorders>
              <w:top w:val="single" w:sz="4" w:space="0" w:color="8ED973"/>
              <w:left w:val="nil"/>
              <w:bottom w:val="single" w:sz="4" w:space="0" w:color="8ED973"/>
              <w:right w:val="nil"/>
            </w:tcBorders>
            <w:shd w:val="clear" w:color="DAF2D0" w:fill="DAF2D0"/>
            <w:noWrap/>
            <w:vAlign w:val="bottom"/>
            <w:hideMark/>
          </w:tcPr>
          <w:p w14:paraId="09838F3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c>
          <w:tcPr>
            <w:tcW w:w="236" w:type="dxa"/>
            <w:tcBorders>
              <w:top w:val="single" w:sz="4" w:space="0" w:color="8ED973"/>
              <w:left w:val="nil"/>
              <w:bottom w:val="single" w:sz="4" w:space="0" w:color="8ED973"/>
              <w:right w:val="nil"/>
            </w:tcBorders>
            <w:shd w:val="clear" w:color="DAF2D0" w:fill="DAF2D0"/>
            <w:noWrap/>
            <w:vAlign w:val="bottom"/>
            <w:hideMark/>
          </w:tcPr>
          <w:p w14:paraId="1719F9A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0.34</w:t>
            </w:r>
          </w:p>
        </w:tc>
        <w:tc>
          <w:tcPr>
            <w:tcW w:w="236" w:type="dxa"/>
            <w:tcBorders>
              <w:top w:val="single" w:sz="4" w:space="0" w:color="8ED973"/>
              <w:left w:val="nil"/>
              <w:bottom w:val="single" w:sz="4" w:space="0" w:color="8ED973"/>
              <w:right w:val="nil"/>
            </w:tcBorders>
            <w:shd w:val="clear" w:color="DAF2D0" w:fill="DAF2D0"/>
            <w:noWrap/>
            <w:vAlign w:val="bottom"/>
            <w:hideMark/>
          </w:tcPr>
          <w:p w14:paraId="5A8BA99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DAF2D0" w:fill="DAF2D0"/>
            <w:noWrap/>
            <w:vAlign w:val="bottom"/>
            <w:hideMark/>
          </w:tcPr>
          <w:p w14:paraId="3AF55CC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r>
      <w:tr w:rsidR="000D5038" w:rsidRPr="006B7189" w14:paraId="09DE35F8"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C50FAA4"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Balancing Authority of Northern California</w:t>
            </w:r>
          </w:p>
        </w:tc>
        <w:tc>
          <w:tcPr>
            <w:tcW w:w="236" w:type="dxa"/>
            <w:tcBorders>
              <w:top w:val="single" w:sz="4" w:space="0" w:color="8ED973"/>
              <w:left w:val="nil"/>
              <w:bottom w:val="single" w:sz="4" w:space="0" w:color="8ED973"/>
              <w:right w:val="nil"/>
            </w:tcBorders>
            <w:shd w:val="clear" w:color="auto" w:fill="auto"/>
            <w:noWrap/>
            <w:vAlign w:val="bottom"/>
            <w:hideMark/>
          </w:tcPr>
          <w:p w14:paraId="49AC57F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73B8933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0AF3E2E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0.23</w:t>
            </w:r>
          </w:p>
        </w:tc>
        <w:tc>
          <w:tcPr>
            <w:tcW w:w="236" w:type="dxa"/>
            <w:tcBorders>
              <w:top w:val="single" w:sz="4" w:space="0" w:color="8ED973"/>
              <w:left w:val="nil"/>
              <w:bottom w:val="single" w:sz="4" w:space="0" w:color="8ED973"/>
              <w:right w:val="nil"/>
            </w:tcBorders>
            <w:shd w:val="clear" w:color="auto" w:fill="auto"/>
            <w:noWrap/>
            <w:vAlign w:val="bottom"/>
            <w:hideMark/>
          </w:tcPr>
          <w:p w14:paraId="49543D3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auto" w:fill="auto"/>
            <w:noWrap/>
            <w:vAlign w:val="bottom"/>
            <w:hideMark/>
          </w:tcPr>
          <w:p w14:paraId="3FBE230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auto" w:fill="auto"/>
            <w:noWrap/>
            <w:vAlign w:val="bottom"/>
            <w:hideMark/>
          </w:tcPr>
          <w:p w14:paraId="7C52A38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auto" w:fill="auto"/>
            <w:noWrap/>
            <w:vAlign w:val="bottom"/>
            <w:hideMark/>
          </w:tcPr>
          <w:p w14:paraId="09583FA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198F63D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c>
          <w:tcPr>
            <w:tcW w:w="236" w:type="dxa"/>
            <w:tcBorders>
              <w:top w:val="single" w:sz="4" w:space="0" w:color="8ED973"/>
              <w:left w:val="nil"/>
              <w:bottom w:val="single" w:sz="4" w:space="0" w:color="8ED973"/>
              <w:right w:val="nil"/>
            </w:tcBorders>
            <w:shd w:val="clear" w:color="auto" w:fill="auto"/>
            <w:noWrap/>
            <w:vAlign w:val="bottom"/>
            <w:hideMark/>
          </w:tcPr>
          <w:p w14:paraId="2CF68F2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r>
      <w:tr w:rsidR="00231C46" w:rsidRPr="006B7189" w14:paraId="7065329A"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CC90F1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California Independent System Operator</w:t>
            </w:r>
          </w:p>
        </w:tc>
        <w:tc>
          <w:tcPr>
            <w:tcW w:w="236" w:type="dxa"/>
            <w:tcBorders>
              <w:top w:val="single" w:sz="4" w:space="0" w:color="8ED973"/>
              <w:left w:val="nil"/>
              <w:bottom w:val="single" w:sz="4" w:space="0" w:color="8ED973"/>
              <w:right w:val="nil"/>
            </w:tcBorders>
            <w:shd w:val="clear" w:color="DAF2D0" w:fill="DAF2D0"/>
            <w:noWrap/>
            <w:vAlign w:val="bottom"/>
            <w:hideMark/>
          </w:tcPr>
          <w:p w14:paraId="3853937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c>
          <w:tcPr>
            <w:tcW w:w="236" w:type="dxa"/>
            <w:tcBorders>
              <w:top w:val="single" w:sz="4" w:space="0" w:color="8ED973"/>
              <w:left w:val="nil"/>
              <w:bottom w:val="single" w:sz="4" w:space="0" w:color="8ED973"/>
              <w:right w:val="nil"/>
            </w:tcBorders>
            <w:shd w:val="clear" w:color="DAF2D0" w:fill="DAF2D0"/>
            <w:noWrap/>
            <w:vAlign w:val="bottom"/>
            <w:hideMark/>
          </w:tcPr>
          <w:p w14:paraId="794DB82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DAF2D0" w:fill="DAF2D0"/>
            <w:noWrap/>
            <w:vAlign w:val="bottom"/>
            <w:hideMark/>
          </w:tcPr>
          <w:p w14:paraId="359E0A7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DAF2D0" w:fill="DAF2D0"/>
            <w:noWrap/>
            <w:vAlign w:val="bottom"/>
            <w:hideMark/>
          </w:tcPr>
          <w:p w14:paraId="0B04DC9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DAF2D0" w:fill="DAF2D0"/>
            <w:noWrap/>
            <w:vAlign w:val="bottom"/>
            <w:hideMark/>
          </w:tcPr>
          <w:p w14:paraId="548F406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DAF2D0" w:fill="DAF2D0"/>
            <w:noWrap/>
            <w:vAlign w:val="bottom"/>
            <w:hideMark/>
          </w:tcPr>
          <w:p w14:paraId="16A6AE6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c>
          <w:tcPr>
            <w:tcW w:w="236" w:type="dxa"/>
            <w:tcBorders>
              <w:top w:val="single" w:sz="4" w:space="0" w:color="8ED973"/>
              <w:left w:val="nil"/>
              <w:bottom w:val="single" w:sz="4" w:space="0" w:color="8ED973"/>
              <w:right w:val="nil"/>
            </w:tcBorders>
            <w:shd w:val="clear" w:color="DAF2D0" w:fill="DAF2D0"/>
            <w:noWrap/>
            <w:vAlign w:val="bottom"/>
            <w:hideMark/>
          </w:tcPr>
          <w:p w14:paraId="137E3A8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DAF2D0" w:fill="DAF2D0"/>
            <w:noWrap/>
            <w:vAlign w:val="bottom"/>
            <w:hideMark/>
          </w:tcPr>
          <w:p w14:paraId="6C97357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c>
          <w:tcPr>
            <w:tcW w:w="236" w:type="dxa"/>
            <w:tcBorders>
              <w:top w:val="single" w:sz="4" w:space="0" w:color="8ED973"/>
              <w:left w:val="nil"/>
              <w:bottom w:val="single" w:sz="4" w:space="0" w:color="8ED973"/>
              <w:right w:val="nil"/>
            </w:tcBorders>
            <w:shd w:val="clear" w:color="DAF2D0" w:fill="DAF2D0"/>
            <w:noWrap/>
            <w:vAlign w:val="bottom"/>
            <w:hideMark/>
          </w:tcPr>
          <w:p w14:paraId="7FEADE7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0.14</w:t>
            </w:r>
          </w:p>
        </w:tc>
      </w:tr>
      <w:tr w:rsidR="000D5038" w:rsidRPr="006B7189" w14:paraId="45EE424A"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55320C6"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Duke Energy Florida, Inc.</w:t>
            </w:r>
          </w:p>
        </w:tc>
        <w:tc>
          <w:tcPr>
            <w:tcW w:w="236" w:type="dxa"/>
            <w:tcBorders>
              <w:top w:val="single" w:sz="4" w:space="0" w:color="8ED973"/>
              <w:left w:val="nil"/>
              <w:bottom w:val="single" w:sz="4" w:space="0" w:color="8ED973"/>
              <w:right w:val="nil"/>
            </w:tcBorders>
            <w:shd w:val="clear" w:color="auto" w:fill="auto"/>
            <w:noWrap/>
            <w:vAlign w:val="bottom"/>
            <w:hideMark/>
          </w:tcPr>
          <w:p w14:paraId="111D3C4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c>
          <w:tcPr>
            <w:tcW w:w="236" w:type="dxa"/>
            <w:tcBorders>
              <w:top w:val="single" w:sz="4" w:space="0" w:color="8ED973"/>
              <w:left w:val="nil"/>
              <w:bottom w:val="single" w:sz="4" w:space="0" w:color="8ED973"/>
              <w:right w:val="nil"/>
            </w:tcBorders>
            <w:shd w:val="clear" w:color="auto" w:fill="auto"/>
            <w:noWrap/>
            <w:vAlign w:val="bottom"/>
            <w:hideMark/>
          </w:tcPr>
          <w:p w14:paraId="299D218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auto" w:fill="auto"/>
            <w:noWrap/>
            <w:vAlign w:val="bottom"/>
            <w:hideMark/>
          </w:tcPr>
          <w:p w14:paraId="0C1B9C9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auto" w:fill="auto"/>
            <w:noWrap/>
            <w:vAlign w:val="bottom"/>
            <w:hideMark/>
          </w:tcPr>
          <w:p w14:paraId="1A54472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0.26</w:t>
            </w:r>
          </w:p>
        </w:tc>
        <w:tc>
          <w:tcPr>
            <w:tcW w:w="236" w:type="dxa"/>
            <w:tcBorders>
              <w:top w:val="single" w:sz="4" w:space="0" w:color="8ED973"/>
              <w:left w:val="nil"/>
              <w:bottom w:val="single" w:sz="4" w:space="0" w:color="8ED973"/>
              <w:right w:val="nil"/>
            </w:tcBorders>
            <w:shd w:val="clear" w:color="auto" w:fill="auto"/>
            <w:noWrap/>
            <w:vAlign w:val="bottom"/>
            <w:hideMark/>
          </w:tcPr>
          <w:p w14:paraId="2E3B1A6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2C71D7B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266C39B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0.23</w:t>
            </w:r>
          </w:p>
        </w:tc>
        <w:tc>
          <w:tcPr>
            <w:tcW w:w="236" w:type="dxa"/>
            <w:tcBorders>
              <w:top w:val="single" w:sz="4" w:space="0" w:color="8ED973"/>
              <w:left w:val="nil"/>
              <w:bottom w:val="single" w:sz="4" w:space="0" w:color="8ED973"/>
              <w:right w:val="nil"/>
            </w:tcBorders>
            <w:shd w:val="clear" w:color="auto" w:fill="auto"/>
            <w:noWrap/>
            <w:vAlign w:val="bottom"/>
            <w:hideMark/>
          </w:tcPr>
          <w:p w14:paraId="20EF76A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w:t>
            </w:r>
          </w:p>
        </w:tc>
        <w:tc>
          <w:tcPr>
            <w:tcW w:w="236" w:type="dxa"/>
            <w:tcBorders>
              <w:top w:val="single" w:sz="4" w:space="0" w:color="8ED973"/>
              <w:left w:val="nil"/>
              <w:bottom w:val="single" w:sz="4" w:space="0" w:color="8ED973"/>
              <w:right w:val="nil"/>
            </w:tcBorders>
            <w:shd w:val="clear" w:color="auto" w:fill="auto"/>
            <w:noWrap/>
            <w:vAlign w:val="bottom"/>
            <w:hideMark/>
          </w:tcPr>
          <w:p w14:paraId="1DA7B59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r>
      <w:tr w:rsidR="00231C46" w:rsidRPr="006B7189" w14:paraId="0C3CAC09"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6071E1F4"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JEA</w:t>
            </w:r>
          </w:p>
        </w:tc>
        <w:tc>
          <w:tcPr>
            <w:tcW w:w="236" w:type="dxa"/>
            <w:tcBorders>
              <w:top w:val="single" w:sz="4" w:space="0" w:color="8ED973"/>
              <w:left w:val="nil"/>
              <w:bottom w:val="single" w:sz="4" w:space="0" w:color="8ED973"/>
              <w:right w:val="nil"/>
            </w:tcBorders>
            <w:shd w:val="clear" w:color="DAF2D0" w:fill="DAF2D0"/>
            <w:noWrap/>
            <w:vAlign w:val="bottom"/>
            <w:hideMark/>
          </w:tcPr>
          <w:p w14:paraId="0BF63C0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w:t>
            </w:r>
          </w:p>
        </w:tc>
        <w:tc>
          <w:tcPr>
            <w:tcW w:w="236" w:type="dxa"/>
            <w:tcBorders>
              <w:top w:val="single" w:sz="4" w:space="0" w:color="8ED973"/>
              <w:left w:val="nil"/>
              <w:bottom w:val="single" w:sz="4" w:space="0" w:color="8ED973"/>
              <w:right w:val="nil"/>
            </w:tcBorders>
            <w:shd w:val="clear" w:color="DAF2D0" w:fill="DAF2D0"/>
            <w:noWrap/>
            <w:vAlign w:val="bottom"/>
            <w:hideMark/>
          </w:tcPr>
          <w:p w14:paraId="006907E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5861B17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36E2F09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c>
          <w:tcPr>
            <w:tcW w:w="236" w:type="dxa"/>
            <w:tcBorders>
              <w:top w:val="single" w:sz="4" w:space="0" w:color="8ED973"/>
              <w:left w:val="nil"/>
              <w:bottom w:val="single" w:sz="4" w:space="0" w:color="8ED973"/>
              <w:right w:val="nil"/>
            </w:tcBorders>
            <w:shd w:val="clear" w:color="DAF2D0" w:fill="DAF2D0"/>
            <w:noWrap/>
            <w:vAlign w:val="bottom"/>
            <w:hideMark/>
          </w:tcPr>
          <w:p w14:paraId="3B33989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0.33</w:t>
            </w:r>
          </w:p>
        </w:tc>
        <w:tc>
          <w:tcPr>
            <w:tcW w:w="236" w:type="dxa"/>
            <w:tcBorders>
              <w:top w:val="single" w:sz="4" w:space="0" w:color="8ED973"/>
              <w:left w:val="nil"/>
              <w:bottom w:val="single" w:sz="4" w:space="0" w:color="8ED973"/>
              <w:right w:val="nil"/>
            </w:tcBorders>
            <w:shd w:val="clear" w:color="DAF2D0" w:fill="DAF2D0"/>
            <w:noWrap/>
            <w:vAlign w:val="bottom"/>
            <w:hideMark/>
          </w:tcPr>
          <w:p w14:paraId="4572596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0.15</w:t>
            </w:r>
          </w:p>
        </w:tc>
        <w:tc>
          <w:tcPr>
            <w:tcW w:w="236" w:type="dxa"/>
            <w:tcBorders>
              <w:top w:val="single" w:sz="4" w:space="0" w:color="8ED973"/>
              <w:left w:val="nil"/>
              <w:bottom w:val="single" w:sz="4" w:space="0" w:color="8ED973"/>
              <w:right w:val="nil"/>
            </w:tcBorders>
            <w:shd w:val="clear" w:color="DAF2D0" w:fill="DAF2D0"/>
            <w:noWrap/>
            <w:vAlign w:val="bottom"/>
            <w:hideMark/>
          </w:tcPr>
          <w:p w14:paraId="4EDCE89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DAF2D0" w:fill="DAF2D0"/>
            <w:noWrap/>
            <w:vAlign w:val="bottom"/>
            <w:hideMark/>
          </w:tcPr>
          <w:p w14:paraId="0BD39B5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0.28</w:t>
            </w:r>
          </w:p>
        </w:tc>
        <w:tc>
          <w:tcPr>
            <w:tcW w:w="236" w:type="dxa"/>
            <w:tcBorders>
              <w:top w:val="single" w:sz="4" w:space="0" w:color="8ED973"/>
              <w:left w:val="nil"/>
              <w:bottom w:val="single" w:sz="4" w:space="0" w:color="8ED973"/>
              <w:right w:val="nil"/>
            </w:tcBorders>
            <w:shd w:val="clear" w:color="DAF2D0" w:fill="DAF2D0"/>
            <w:noWrap/>
            <w:vAlign w:val="bottom"/>
            <w:hideMark/>
          </w:tcPr>
          <w:p w14:paraId="4FFBDC3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0.31</w:t>
            </w:r>
          </w:p>
        </w:tc>
      </w:tr>
      <w:tr w:rsidR="000D5038" w:rsidRPr="006B7189" w14:paraId="77A876E0"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EA09EA1"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Los Angeles Department of Water and Power</w:t>
            </w:r>
          </w:p>
        </w:tc>
        <w:tc>
          <w:tcPr>
            <w:tcW w:w="236" w:type="dxa"/>
            <w:tcBorders>
              <w:top w:val="single" w:sz="4" w:space="0" w:color="8ED973"/>
              <w:left w:val="nil"/>
              <w:bottom w:val="single" w:sz="4" w:space="0" w:color="8ED973"/>
              <w:right w:val="nil"/>
            </w:tcBorders>
            <w:shd w:val="clear" w:color="auto" w:fill="auto"/>
            <w:noWrap/>
            <w:vAlign w:val="bottom"/>
            <w:hideMark/>
          </w:tcPr>
          <w:p w14:paraId="42F2334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auto" w:fill="auto"/>
            <w:noWrap/>
            <w:vAlign w:val="bottom"/>
            <w:hideMark/>
          </w:tcPr>
          <w:p w14:paraId="60A6B5E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auto" w:fill="auto"/>
            <w:noWrap/>
            <w:vAlign w:val="bottom"/>
            <w:hideMark/>
          </w:tcPr>
          <w:p w14:paraId="769D9A8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0.15</w:t>
            </w:r>
          </w:p>
        </w:tc>
        <w:tc>
          <w:tcPr>
            <w:tcW w:w="236" w:type="dxa"/>
            <w:tcBorders>
              <w:top w:val="single" w:sz="4" w:space="0" w:color="8ED973"/>
              <w:left w:val="nil"/>
              <w:bottom w:val="single" w:sz="4" w:space="0" w:color="8ED973"/>
              <w:right w:val="nil"/>
            </w:tcBorders>
            <w:shd w:val="clear" w:color="auto" w:fill="auto"/>
            <w:noWrap/>
            <w:vAlign w:val="bottom"/>
            <w:hideMark/>
          </w:tcPr>
          <w:p w14:paraId="173E736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auto" w:fill="auto"/>
            <w:noWrap/>
            <w:vAlign w:val="bottom"/>
            <w:hideMark/>
          </w:tcPr>
          <w:p w14:paraId="51DD229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0.15</w:t>
            </w:r>
          </w:p>
        </w:tc>
        <w:tc>
          <w:tcPr>
            <w:tcW w:w="236" w:type="dxa"/>
            <w:tcBorders>
              <w:top w:val="single" w:sz="4" w:space="0" w:color="8ED973"/>
              <w:left w:val="nil"/>
              <w:bottom w:val="single" w:sz="4" w:space="0" w:color="8ED973"/>
              <w:right w:val="nil"/>
            </w:tcBorders>
            <w:shd w:val="clear" w:color="auto" w:fill="auto"/>
            <w:noWrap/>
            <w:vAlign w:val="bottom"/>
            <w:hideMark/>
          </w:tcPr>
          <w:p w14:paraId="2B849FD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auto" w:fill="auto"/>
            <w:noWrap/>
            <w:vAlign w:val="bottom"/>
            <w:hideMark/>
          </w:tcPr>
          <w:p w14:paraId="19F5FD8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auto" w:fill="auto"/>
            <w:noWrap/>
            <w:vAlign w:val="bottom"/>
            <w:hideMark/>
          </w:tcPr>
          <w:p w14:paraId="0D0B59B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0.25</w:t>
            </w:r>
          </w:p>
        </w:tc>
        <w:tc>
          <w:tcPr>
            <w:tcW w:w="236" w:type="dxa"/>
            <w:tcBorders>
              <w:top w:val="single" w:sz="4" w:space="0" w:color="8ED973"/>
              <w:left w:val="nil"/>
              <w:bottom w:val="single" w:sz="4" w:space="0" w:color="8ED973"/>
              <w:right w:val="nil"/>
            </w:tcBorders>
            <w:shd w:val="clear" w:color="auto" w:fill="auto"/>
            <w:noWrap/>
            <w:vAlign w:val="bottom"/>
            <w:hideMark/>
          </w:tcPr>
          <w:p w14:paraId="077D942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0.27</w:t>
            </w:r>
          </w:p>
        </w:tc>
      </w:tr>
      <w:tr w:rsidR="00231C46" w:rsidRPr="006B7189" w14:paraId="1594DED2"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4E554C2"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Western Area Power Administration - Desert Southwest Region</w:t>
            </w:r>
          </w:p>
        </w:tc>
        <w:tc>
          <w:tcPr>
            <w:tcW w:w="236" w:type="dxa"/>
            <w:tcBorders>
              <w:top w:val="single" w:sz="4" w:space="0" w:color="8ED973"/>
              <w:left w:val="nil"/>
              <w:bottom w:val="single" w:sz="4" w:space="0" w:color="8ED973"/>
              <w:right w:val="nil"/>
            </w:tcBorders>
            <w:shd w:val="clear" w:color="DAF2D0" w:fill="DAF2D0"/>
            <w:noWrap/>
            <w:vAlign w:val="bottom"/>
            <w:hideMark/>
          </w:tcPr>
          <w:p w14:paraId="3CF140D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0.18</w:t>
            </w:r>
          </w:p>
        </w:tc>
        <w:tc>
          <w:tcPr>
            <w:tcW w:w="236" w:type="dxa"/>
            <w:tcBorders>
              <w:top w:val="single" w:sz="4" w:space="0" w:color="8ED973"/>
              <w:left w:val="nil"/>
              <w:bottom w:val="single" w:sz="4" w:space="0" w:color="8ED973"/>
              <w:right w:val="nil"/>
            </w:tcBorders>
            <w:shd w:val="clear" w:color="DAF2D0" w:fill="DAF2D0"/>
            <w:noWrap/>
            <w:vAlign w:val="bottom"/>
            <w:hideMark/>
          </w:tcPr>
          <w:p w14:paraId="0E50371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c>
          <w:tcPr>
            <w:tcW w:w="236" w:type="dxa"/>
            <w:tcBorders>
              <w:top w:val="single" w:sz="4" w:space="0" w:color="8ED973"/>
              <w:left w:val="nil"/>
              <w:bottom w:val="single" w:sz="4" w:space="0" w:color="8ED973"/>
              <w:right w:val="nil"/>
            </w:tcBorders>
            <w:shd w:val="clear" w:color="DAF2D0" w:fill="DAF2D0"/>
            <w:noWrap/>
            <w:vAlign w:val="bottom"/>
            <w:hideMark/>
          </w:tcPr>
          <w:p w14:paraId="365E4AC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0.34</w:t>
            </w:r>
          </w:p>
        </w:tc>
        <w:tc>
          <w:tcPr>
            <w:tcW w:w="236" w:type="dxa"/>
            <w:tcBorders>
              <w:top w:val="single" w:sz="4" w:space="0" w:color="8ED973"/>
              <w:left w:val="nil"/>
              <w:bottom w:val="single" w:sz="4" w:space="0" w:color="8ED973"/>
              <w:right w:val="nil"/>
            </w:tcBorders>
            <w:shd w:val="clear" w:color="DAF2D0" w:fill="DAF2D0"/>
            <w:noWrap/>
            <w:vAlign w:val="bottom"/>
            <w:hideMark/>
          </w:tcPr>
          <w:p w14:paraId="5A6814A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w:t>
            </w:r>
          </w:p>
        </w:tc>
        <w:tc>
          <w:tcPr>
            <w:tcW w:w="236" w:type="dxa"/>
            <w:tcBorders>
              <w:top w:val="single" w:sz="4" w:space="0" w:color="8ED973"/>
              <w:left w:val="nil"/>
              <w:bottom w:val="single" w:sz="4" w:space="0" w:color="8ED973"/>
              <w:right w:val="nil"/>
            </w:tcBorders>
            <w:shd w:val="clear" w:color="DAF2D0" w:fill="DAF2D0"/>
            <w:noWrap/>
            <w:vAlign w:val="bottom"/>
            <w:hideMark/>
          </w:tcPr>
          <w:p w14:paraId="65EC37E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DAF2D0" w:fill="DAF2D0"/>
            <w:noWrap/>
            <w:vAlign w:val="bottom"/>
            <w:hideMark/>
          </w:tcPr>
          <w:p w14:paraId="3228B95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w:t>
            </w:r>
          </w:p>
        </w:tc>
        <w:tc>
          <w:tcPr>
            <w:tcW w:w="236" w:type="dxa"/>
            <w:tcBorders>
              <w:top w:val="single" w:sz="4" w:space="0" w:color="8ED973"/>
              <w:left w:val="nil"/>
              <w:bottom w:val="single" w:sz="4" w:space="0" w:color="8ED973"/>
              <w:right w:val="nil"/>
            </w:tcBorders>
            <w:shd w:val="clear" w:color="DAF2D0" w:fill="DAF2D0"/>
            <w:noWrap/>
            <w:vAlign w:val="bottom"/>
            <w:hideMark/>
          </w:tcPr>
          <w:p w14:paraId="5F59EE3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DAF2D0" w:fill="DAF2D0"/>
            <w:noWrap/>
            <w:vAlign w:val="bottom"/>
            <w:hideMark/>
          </w:tcPr>
          <w:p w14:paraId="181521C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0.13</w:t>
            </w:r>
          </w:p>
        </w:tc>
        <w:tc>
          <w:tcPr>
            <w:tcW w:w="236" w:type="dxa"/>
            <w:tcBorders>
              <w:top w:val="single" w:sz="4" w:space="0" w:color="8ED973"/>
              <w:left w:val="nil"/>
              <w:bottom w:val="single" w:sz="4" w:space="0" w:color="8ED973"/>
              <w:right w:val="nil"/>
            </w:tcBorders>
            <w:shd w:val="clear" w:color="DAF2D0" w:fill="DAF2D0"/>
            <w:noWrap/>
            <w:vAlign w:val="bottom"/>
            <w:hideMark/>
          </w:tcPr>
          <w:p w14:paraId="7DBEA38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0.11</w:t>
            </w:r>
          </w:p>
        </w:tc>
      </w:tr>
      <w:tr w:rsidR="000D5038" w:rsidRPr="006B7189" w14:paraId="08ED2436"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B34D12B"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ISO New England</w:t>
            </w:r>
          </w:p>
        </w:tc>
        <w:tc>
          <w:tcPr>
            <w:tcW w:w="236" w:type="dxa"/>
            <w:tcBorders>
              <w:top w:val="single" w:sz="4" w:space="0" w:color="8ED973"/>
              <w:left w:val="nil"/>
              <w:bottom w:val="single" w:sz="4" w:space="0" w:color="8ED973"/>
              <w:right w:val="nil"/>
            </w:tcBorders>
            <w:shd w:val="clear" w:color="auto" w:fill="auto"/>
            <w:noWrap/>
            <w:vAlign w:val="bottom"/>
            <w:hideMark/>
          </w:tcPr>
          <w:p w14:paraId="04491EE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auto" w:fill="auto"/>
            <w:noWrap/>
            <w:vAlign w:val="bottom"/>
            <w:hideMark/>
          </w:tcPr>
          <w:p w14:paraId="0433A4A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auto" w:fill="auto"/>
            <w:noWrap/>
            <w:vAlign w:val="bottom"/>
            <w:hideMark/>
          </w:tcPr>
          <w:p w14:paraId="4C3FF2C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auto" w:fill="auto"/>
            <w:noWrap/>
            <w:vAlign w:val="bottom"/>
            <w:hideMark/>
          </w:tcPr>
          <w:p w14:paraId="4C52B0C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auto" w:fill="auto"/>
            <w:noWrap/>
            <w:vAlign w:val="bottom"/>
            <w:hideMark/>
          </w:tcPr>
          <w:p w14:paraId="1B54003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auto" w:fill="auto"/>
            <w:noWrap/>
            <w:vAlign w:val="bottom"/>
            <w:hideMark/>
          </w:tcPr>
          <w:p w14:paraId="0098C32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w:t>
            </w:r>
          </w:p>
        </w:tc>
        <w:tc>
          <w:tcPr>
            <w:tcW w:w="236" w:type="dxa"/>
            <w:tcBorders>
              <w:top w:val="single" w:sz="4" w:space="0" w:color="8ED973"/>
              <w:left w:val="nil"/>
              <w:bottom w:val="single" w:sz="4" w:space="0" w:color="8ED973"/>
              <w:right w:val="nil"/>
            </w:tcBorders>
            <w:shd w:val="clear" w:color="auto" w:fill="auto"/>
            <w:noWrap/>
            <w:vAlign w:val="bottom"/>
            <w:hideMark/>
          </w:tcPr>
          <w:p w14:paraId="7F83771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auto" w:fill="auto"/>
            <w:noWrap/>
            <w:vAlign w:val="bottom"/>
            <w:hideMark/>
          </w:tcPr>
          <w:p w14:paraId="717CE24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0.14</w:t>
            </w:r>
          </w:p>
        </w:tc>
        <w:tc>
          <w:tcPr>
            <w:tcW w:w="236" w:type="dxa"/>
            <w:tcBorders>
              <w:top w:val="single" w:sz="4" w:space="0" w:color="8ED973"/>
              <w:left w:val="nil"/>
              <w:bottom w:val="single" w:sz="4" w:space="0" w:color="8ED973"/>
              <w:right w:val="nil"/>
            </w:tcBorders>
            <w:shd w:val="clear" w:color="auto" w:fill="auto"/>
            <w:noWrap/>
            <w:vAlign w:val="bottom"/>
            <w:hideMark/>
          </w:tcPr>
          <w:p w14:paraId="5F02C93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0.14</w:t>
            </w:r>
          </w:p>
        </w:tc>
      </w:tr>
      <w:tr w:rsidR="00231C46" w:rsidRPr="006B7189" w14:paraId="64C33856"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C92E311"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Nevada Power Company</w:t>
            </w:r>
          </w:p>
        </w:tc>
        <w:tc>
          <w:tcPr>
            <w:tcW w:w="236" w:type="dxa"/>
            <w:tcBorders>
              <w:top w:val="single" w:sz="4" w:space="0" w:color="8ED973"/>
              <w:left w:val="nil"/>
              <w:bottom w:val="single" w:sz="4" w:space="0" w:color="8ED973"/>
              <w:right w:val="nil"/>
            </w:tcBorders>
            <w:shd w:val="clear" w:color="DAF2D0" w:fill="DAF2D0"/>
            <w:noWrap/>
            <w:vAlign w:val="bottom"/>
            <w:hideMark/>
          </w:tcPr>
          <w:p w14:paraId="7A1DC68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63565AE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02EAF1F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0.22</w:t>
            </w:r>
          </w:p>
        </w:tc>
        <w:tc>
          <w:tcPr>
            <w:tcW w:w="236" w:type="dxa"/>
            <w:tcBorders>
              <w:top w:val="single" w:sz="4" w:space="0" w:color="8ED973"/>
              <w:left w:val="nil"/>
              <w:bottom w:val="single" w:sz="4" w:space="0" w:color="8ED973"/>
              <w:right w:val="nil"/>
            </w:tcBorders>
            <w:shd w:val="clear" w:color="DAF2D0" w:fill="DAF2D0"/>
            <w:noWrap/>
            <w:vAlign w:val="bottom"/>
            <w:hideMark/>
          </w:tcPr>
          <w:p w14:paraId="0A516F9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w:t>
            </w:r>
          </w:p>
        </w:tc>
        <w:tc>
          <w:tcPr>
            <w:tcW w:w="236" w:type="dxa"/>
            <w:tcBorders>
              <w:top w:val="single" w:sz="4" w:space="0" w:color="8ED973"/>
              <w:left w:val="nil"/>
              <w:bottom w:val="single" w:sz="4" w:space="0" w:color="8ED973"/>
              <w:right w:val="nil"/>
            </w:tcBorders>
            <w:shd w:val="clear" w:color="DAF2D0" w:fill="DAF2D0"/>
            <w:noWrap/>
            <w:vAlign w:val="bottom"/>
            <w:hideMark/>
          </w:tcPr>
          <w:p w14:paraId="7132CC0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44CAD12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33C77A6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06AF66B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1204FF4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0.15</w:t>
            </w:r>
          </w:p>
        </w:tc>
      </w:tr>
      <w:tr w:rsidR="000D5038" w:rsidRPr="006B7189" w14:paraId="3D777647"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305535C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Arizona Public Service Company</w:t>
            </w:r>
          </w:p>
        </w:tc>
        <w:tc>
          <w:tcPr>
            <w:tcW w:w="236" w:type="dxa"/>
            <w:tcBorders>
              <w:top w:val="single" w:sz="4" w:space="0" w:color="8ED973"/>
              <w:left w:val="nil"/>
              <w:bottom w:val="single" w:sz="4" w:space="0" w:color="8ED973"/>
              <w:right w:val="nil"/>
            </w:tcBorders>
            <w:shd w:val="clear" w:color="auto" w:fill="auto"/>
            <w:noWrap/>
            <w:vAlign w:val="bottom"/>
            <w:hideMark/>
          </w:tcPr>
          <w:p w14:paraId="4FFBDFE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auto" w:fill="auto"/>
            <w:noWrap/>
            <w:vAlign w:val="bottom"/>
            <w:hideMark/>
          </w:tcPr>
          <w:p w14:paraId="0CC9F3B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3A96A56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4054C4B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0F0BD8A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4836AA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0.24</w:t>
            </w:r>
          </w:p>
        </w:tc>
        <w:tc>
          <w:tcPr>
            <w:tcW w:w="236" w:type="dxa"/>
            <w:tcBorders>
              <w:top w:val="single" w:sz="4" w:space="0" w:color="8ED973"/>
              <w:left w:val="nil"/>
              <w:bottom w:val="single" w:sz="4" w:space="0" w:color="8ED973"/>
              <w:right w:val="nil"/>
            </w:tcBorders>
            <w:shd w:val="clear" w:color="auto" w:fill="auto"/>
            <w:noWrap/>
            <w:vAlign w:val="bottom"/>
            <w:hideMark/>
          </w:tcPr>
          <w:p w14:paraId="509EE59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0.37</w:t>
            </w:r>
          </w:p>
        </w:tc>
        <w:tc>
          <w:tcPr>
            <w:tcW w:w="236" w:type="dxa"/>
            <w:tcBorders>
              <w:top w:val="single" w:sz="4" w:space="0" w:color="8ED973"/>
              <w:left w:val="nil"/>
              <w:bottom w:val="single" w:sz="4" w:space="0" w:color="8ED973"/>
              <w:right w:val="nil"/>
            </w:tcBorders>
            <w:shd w:val="clear" w:color="auto" w:fill="auto"/>
            <w:noWrap/>
            <w:vAlign w:val="bottom"/>
            <w:hideMark/>
          </w:tcPr>
          <w:p w14:paraId="7ADB1E7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0.34</w:t>
            </w:r>
          </w:p>
        </w:tc>
        <w:tc>
          <w:tcPr>
            <w:tcW w:w="236" w:type="dxa"/>
            <w:tcBorders>
              <w:top w:val="single" w:sz="4" w:space="0" w:color="8ED973"/>
              <w:left w:val="nil"/>
              <w:bottom w:val="single" w:sz="4" w:space="0" w:color="8ED973"/>
              <w:right w:val="nil"/>
            </w:tcBorders>
            <w:shd w:val="clear" w:color="auto" w:fill="auto"/>
            <w:noWrap/>
            <w:vAlign w:val="bottom"/>
            <w:hideMark/>
          </w:tcPr>
          <w:p w14:paraId="432D573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0.4</w:t>
            </w:r>
          </w:p>
        </w:tc>
      </w:tr>
      <w:tr w:rsidR="00231C46" w:rsidRPr="006B7189" w14:paraId="2EA4690E"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B015C75"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New York Independent System Operator</w:t>
            </w:r>
          </w:p>
        </w:tc>
        <w:tc>
          <w:tcPr>
            <w:tcW w:w="236" w:type="dxa"/>
            <w:tcBorders>
              <w:top w:val="single" w:sz="4" w:space="0" w:color="8ED973"/>
              <w:left w:val="nil"/>
              <w:bottom w:val="single" w:sz="4" w:space="0" w:color="8ED973"/>
              <w:right w:val="nil"/>
            </w:tcBorders>
            <w:shd w:val="clear" w:color="DAF2D0" w:fill="DAF2D0"/>
            <w:noWrap/>
            <w:vAlign w:val="bottom"/>
            <w:hideMark/>
          </w:tcPr>
          <w:p w14:paraId="6E44C61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DAF2D0" w:fill="DAF2D0"/>
            <w:noWrap/>
            <w:vAlign w:val="bottom"/>
            <w:hideMark/>
          </w:tcPr>
          <w:p w14:paraId="5F70A5D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DAF2D0" w:fill="DAF2D0"/>
            <w:noWrap/>
            <w:vAlign w:val="bottom"/>
            <w:hideMark/>
          </w:tcPr>
          <w:p w14:paraId="7F9807F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0.18</w:t>
            </w:r>
          </w:p>
        </w:tc>
        <w:tc>
          <w:tcPr>
            <w:tcW w:w="236" w:type="dxa"/>
            <w:tcBorders>
              <w:top w:val="single" w:sz="4" w:space="0" w:color="8ED973"/>
              <w:left w:val="nil"/>
              <w:bottom w:val="single" w:sz="4" w:space="0" w:color="8ED973"/>
              <w:right w:val="nil"/>
            </w:tcBorders>
            <w:shd w:val="clear" w:color="DAF2D0" w:fill="DAF2D0"/>
            <w:noWrap/>
            <w:vAlign w:val="bottom"/>
            <w:hideMark/>
          </w:tcPr>
          <w:p w14:paraId="06778D0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0.17</w:t>
            </w:r>
          </w:p>
        </w:tc>
        <w:tc>
          <w:tcPr>
            <w:tcW w:w="236" w:type="dxa"/>
            <w:tcBorders>
              <w:top w:val="single" w:sz="4" w:space="0" w:color="8ED973"/>
              <w:left w:val="nil"/>
              <w:bottom w:val="single" w:sz="4" w:space="0" w:color="8ED973"/>
              <w:right w:val="nil"/>
            </w:tcBorders>
            <w:shd w:val="clear" w:color="DAF2D0" w:fill="DAF2D0"/>
            <w:noWrap/>
            <w:vAlign w:val="bottom"/>
            <w:hideMark/>
          </w:tcPr>
          <w:p w14:paraId="3369A21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c>
          <w:tcPr>
            <w:tcW w:w="236" w:type="dxa"/>
            <w:tcBorders>
              <w:top w:val="single" w:sz="4" w:space="0" w:color="8ED973"/>
              <w:left w:val="nil"/>
              <w:bottom w:val="single" w:sz="4" w:space="0" w:color="8ED973"/>
              <w:right w:val="nil"/>
            </w:tcBorders>
            <w:shd w:val="clear" w:color="DAF2D0" w:fill="DAF2D0"/>
            <w:noWrap/>
            <w:vAlign w:val="bottom"/>
            <w:hideMark/>
          </w:tcPr>
          <w:p w14:paraId="767C9C8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0.14</w:t>
            </w:r>
          </w:p>
        </w:tc>
        <w:tc>
          <w:tcPr>
            <w:tcW w:w="236" w:type="dxa"/>
            <w:tcBorders>
              <w:top w:val="single" w:sz="4" w:space="0" w:color="8ED973"/>
              <w:left w:val="nil"/>
              <w:bottom w:val="single" w:sz="4" w:space="0" w:color="8ED973"/>
              <w:right w:val="nil"/>
            </w:tcBorders>
            <w:shd w:val="clear" w:color="DAF2D0" w:fill="DAF2D0"/>
            <w:noWrap/>
            <w:vAlign w:val="bottom"/>
            <w:hideMark/>
          </w:tcPr>
          <w:p w14:paraId="258CF1A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0.18</w:t>
            </w:r>
          </w:p>
        </w:tc>
        <w:tc>
          <w:tcPr>
            <w:tcW w:w="236" w:type="dxa"/>
            <w:tcBorders>
              <w:top w:val="single" w:sz="4" w:space="0" w:color="8ED973"/>
              <w:left w:val="nil"/>
              <w:bottom w:val="single" w:sz="4" w:space="0" w:color="8ED973"/>
              <w:right w:val="nil"/>
            </w:tcBorders>
            <w:shd w:val="clear" w:color="DAF2D0" w:fill="DAF2D0"/>
            <w:noWrap/>
            <w:vAlign w:val="bottom"/>
            <w:hideMark/>
          </w:tcPr>
          <w:p w14:paraId="2B1E959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0.19</w:t>
            </w:r>
          </w:p>
        </w:tc>
        <w:tc>
          <w:tcPr>
            <w:tcW w:w="236" w:type="dxa"/>
            <w:tcBorders>
              <w:top w:val="single" w:sz="4" w:space="0" w:color="8ED973"/>
              <w:left w:val="nil"/>
              <w:bottom w:val="single" w:sz="4" w:space="0" w:color="8ED973"/>
              <w:right w:val="nil"/>
            </w:tcBorders>
            <w:shd w:val="clear" w:color="DAF2D0" w:fill="DAF2D0"/>
            <w:noWrap/>
            <w:vAlign w:val="bottom"/>
            <w:hideMark/>
          </w:tcPr>
          <w:p w14:paraId="4F5C9A9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0.16</w:t>
            </w:r>
          </w:p>
        </w:tc>
      </w:tr>
      <w:tr w:rsidR="000D5038" w:rsidRPr="006B7189" w14:paraId="4D90065C"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45F06C3"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Public Service Company of Colorado</w:t>
            </w:r>
          </w:p>
        </w:tc>
        <w:tc>
          <w:tcPr>
            <w:tcW w:w="236" w:type="dxa"/>
            <w:tcBorders>
              <w:top w:val="single" w:sz="4" w:space="0" w:color="8ED973"/>
              <w:left w:val="nil"/>
              <w:bottom w:val="single" w:sz="4" w:space="0" w:color="8ED973"/>
              <w:right w:val="nil"/>
            </w:tcBorders>
            <w:shd w:val="clear" w:color="auto" w:fill="auto"/>
            <w:noWrap/>
            <w:vAlign w:val="bottom"/>
            <w:hideMark/>
          </w:tcPr>
          <w:p w14:paraId="7C936E6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auto" w:fill="auto"/>
            <w:noWrap/>
            <w:vAlign w:val="bottom"/>
            <w:hideMark/>
          </w:tcPr>
          <w:p w14:paraId="3EFE961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0.12</w:t>
            </w:r>
          </w:p>
        </w:tc>
        <w:tc>
          <w:tcPr>
            <w:tcW w:w="236" w:type="dxa"/>
            <w:tcBorders>
              <w:top w:val="single" w:sz="4" w:space="0" w:color="8ED973"/>
              <w:left w:val="nil"/>
              <w:bottom w:val="single" w:sz="4" w:space="0" w:color="8ED973"/>
              <w:right w:val="nil"/>
            </w:tcBorders>
            <w:shd w:val="clear" w:color="auto" w:fill="auto"/>
            <w:noWrap/>
            <w:vAlign w:val="bottom"/>
            <w:hideMark/>
          </w:tcPr>
          <w:p w14:paraId="47CFFC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0.11</w:t>
            </w:r>
          </w:p>
        </w:tc>
        <w:tc>
          <w:tcPr>
            <w:tcW w:w="236" w:type="dxa"/>
            <w:tcBorders>
              <w:top w:val="single" w:sz="4" w:space="0" w:color="8ED973"/>
              <w:left w:val="nil"/>
              <w:bottom w:val="single" w:sz="4" w:space="0" w:color="8ED973"/>
              <w:right w:val="nil"/>
            </w:tcBorders>
            <w:shd w:val="clear" w:color="auto" w:fill="auto"/>
            <w:noWrap/>
            <w:vAlign w:val="bottom"/>
            <w:hideMark/>
          </w:tcPr>
          <w:p w14:paraId="111FD47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auto" w:fill="auto"/>
            <w:noWrap/>
            <w:vAlign w:val="bottom"/>
            <w:hideMark/>
          </w:tcPr>
          <w:p w14:paraId="0D2607F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auto" w:fill="auto"/>
            <w:noWrap/>
            <w:vAlign w:val="bottom"/>
            <w:hideMark/>
          </w:tcPr>
          <w:p w14:paraId="070B329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auto" w:fill="auto"/>
            <w:noWrap/>
            <w:vAlign w:val="bottom"/>
            <w:hideMark/>
          </w:tcPr>
          <w:p w14:paraId="53A0B1B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56CF3BD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67373F9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231C46" w:rsidRPr="006B7189" w14:paraId="0C04B880"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950C43A"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Associated Electric Cooperative, Inc.</w:t>
            </w:r>
          </w:p>
        </w:tc>
        <w:tc>
          <w:tcPr>
            <w:tcW w:w="236" w:type="dxa"/>
            <w:tcBorders>
              <w:top w:val="single" w:sz="4" w:space="0" w:color="8ED973"/>
              <w:left w:val="nil"/>
              <w:bottom w:val="single" w:sz="4" w:space="0" w:color="8ED973"/>
              <w:right w:val="nil"/>
            </w:tcBorders>
            <w:shd w:val="clear" w:color="DAF2D0" w:fill="DAF2D0"/>
            <w:noWrap/>
            <w:vAlign w:val="bottom"/>
            <w:hideMark/>
          </w:tcPr>
          <w:p w14:paraId="1A849F8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6CE8588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89826A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700EB95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DAF2D0" w:fill="DAF2D0"/>
            <w:noWrap/>
            <w:vAlign w:val="bottom"/>
            <w:hideMark/>
          </w:tcPr>
          <w:p w14:paraId="7FE92A0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DAF2D0" w:fill="DAF2D0"/>
            <w:noWrap/>
            <w:vAlign w:val="bottom"/>
            <w:hideMark/>
          </w:tcPr>
          <w:p w14:paraId="2EFF20D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0C9BDC8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0.09</w:t>
            </w:r>
          </w:p>
        </w:tc>
        <w:tc>
          <w:tcPr>
            <w:tcW w:w="236" w:type="dxa"/>
            <w:tcBorders>
              <w:top w:val="single" w:sz="4" w:space="0" w:color="8ED973"/>
              <w:left w:val="nil"/>
              <w:bottom w:val="single" w:sz="4" w:space="0" w:color="8ED973"/>
              <w:right w:val="nil"/>
            </w:tcBorders>
            <w:shd w:val="clear" w:color="DAF2D0" w:fill="DAF2D0"/>
            <w:noWrap/>
            <w:vAlign w:val="bottom"/>
            <w:hideMark/>
          </w:tcPr>
          <w:p w14:paraId="5267192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DAF2D0" w:fill="DAF2D0"/>
            <w:noWrap/>
            <w:vAlign w:val="bottom"/>
            <w:hideMark/>
          </w:tcPr>
          <w:p w14:paraId="583BDFC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0.11</w:t>
            </w:r>
          </w:p>
        </w:tc>
      </w:tr>
      <w:tr w:rsidR="000D5038" w:rsidRPr="006B7189" w14:paraId="5DD80071"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2C26CCDC"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Midcontinent Independent System Operator, Inc.</w:t>
            </w:r>
          </w:p>
        </w:tc>
        <w:tc>
          <w:tcPr>
            <w:tcW w:w="236" w:type="dxa"/>
            <w:tcBorders>
              <w:top w:val="single" w:sz="4" w:space="0" w:color="8ED973"/>
              <w:left w:val="nil"/>
              <w:bottom w:val="single" w:sz="4" w:space="0" w:color="8ED973"/>
              <w:right w:val="nil"/>
            </w:tcBorders>
            <w:shd w:val="clear" w:color="auto" w:fill="auto"/>
            <w:noWrap/>
            <w:vAlign w:val="bottom"/>
            <w:hideMark/>
          </w:tcPr>
          <w:p w14:paraId="678DDCE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auto" w:fill="auto"/>
            <w:noWrap/>
            <w:vAlign w:val="bottom"/>
            <w:hideMark/>
          </w:tcPr>
          <w:p w14:paraId="4860609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auto" w:fill="auto"/>
            <w:noWrap/>
            <w:vAlign w:val="bottom"/>
            <w:hideMark/>
          </w:tcPr>
          <w:p w14:paraId="3467209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auto" w:fill="auto"/>
            <w:noWrap/>
            <w:vAlign w:val="bottom"/>
            <w:hideMark/>
          </w:tcPr>
          <w:p w14:paraId="7359BAC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auto" w:fill="auto"/>
            <w:noWrap/>
            <w:vAlign w:val="bottom"/>
            <w:hideMark/>
          </w:tcPr>
          <w:p w14:paraId="545F95D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auto" w:fill="auto"/>
            <w:noWrap/>
            <w:vAlign w:val="bottom"/>
            <w:hideMark/>
          </w:tcPr>
          <w:p w14:paraId="720578B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0.09</w:t>
            </w:r>
          </w:p>
        </w:tc>
        <w:tc>
          <w:tcPr>
            <w:tcW w:w="236" w:type="dxa"/>
            <w:tcBorders>
              <w:top w:val="single" w:sz="4" w:space="0" w:color="8ED973"/>
              <w:left w:val="nil"/>
              <w:bottom w:val="single" w:sz="4" w:space="0" w:color="8ED973"/>
              <w:right w:val="nil"/>
            </w:tcBorders>
            <w:shd w:val="clear" w:color="auto" w:fill="auto"/>
            <w:noWrap/>
            <w:vAlign w:val="bottom"/>
            <w:hideMark/>
          </w:tcPr>
          <w:p w14:paraId="56F58D4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auto" w:fill="auto"/>
            <w:noWrap/>
            <w:vAlign w:val="bottom"/>
            <w:hideMark/>
          </w:tcPr>
          <w:p w14:paraId="2539B3A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31AD3BB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r>
      <w:tr w:rsidR="00231C46" w:rsidRPr="006B7189" w14:paraId="27A0B251"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4295D4A7"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PacifiCorp East</w:t>
            </w:r>
          </w:p>
        </w:tc>
        <w:tc>
          <w:tcPr>
            <w:tcW w:w="236" w:type="dxa"/>
            <w:tcBorders>
              <w:top w:val="single" w:sz="4" w:space="0" w:color="8ED973"/>
              <w:left w:val="nil"/>
              <w:bottom w:val="single" w:sz="4" w:space="0" w:color="8ED973"/>
              <w:right w:val="nil"/>
            </w:tcBorders>
            <w:shd w:val="clear" w:color="DAF2D0" w:fill="DAF2D0"/>
            <w:noWrap/>
            <w:vAlign w:val="bottom"/>
            <w:hideMark/>
          </w:tcPr>
          <w:p w14:paraId="090BF03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DAF2D0" w:fill="DAF2D0"/>
            <w:noWrap/>
            <w:vAlign w:val="bottom"/>
            <w:hideMark/>
          </w:tcPr>
          <w:p w14:paraId="2A0A8CB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DAF2D0" w:fill="DAF2D0"/>
            <w:noWrap/>
            <w:vAlign w:val="bottom"/>
            <w:hideMark/>
          </w:tcPr>
          <w:p w14:paraId="71C577E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3F9521C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DAF2D0" w:fill="DAF2D0"/>
            <w:noWrap/>
            <w:vAlign w:val="bottom"/>
            <w:hideMark/>
          </w:tcPr>
          <w:p w14:paraId="573D686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69DABEC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07D5110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13FB6A1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F2132A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r>
      <w:tr w:rsidR="000D5038" w:rsidRPr="006B7189" w14:paraId="4093BFB7"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AE5A71D"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lastRenderedPageBreak/>
              <w:t>Public Service Company of New Mexico</w:t>
            </w:r>
          </w:p>
        </w:tc>
        <w:tc>
          <w:tcPr>
            <w:tcW w:w="236" w:type="dxa"/>
            <w:tcBorders>
              <w:top w:val="single" w:sz="4" w:space="0" w:color="8ED973"/>
              <w:left w:val="nil"/>
              <w:bottom w:val="single" w:sz="4" w:space="0" w:color="8ED973"/>
              <w:right w:val="nil"/>
            </w:tcBorders>
            <w:shd w:val="clear" w:color="auto" w:fill="auto"/>
            <w:noWrap/>
            <w:vAlign w:val="bottom"/>
            <w:hideMark/>
          </w:tcPr>
          <w:p w14:paraId="3748EDA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03D1417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0DC9FF8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195C8A7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0.09</w:t>
            </w:r>
          </w:p>
        </w:tc>
        <w:tc>
          <w:tcPr>
            <w:tcW w:w="236" w:type="dxa"/>
            <w:tcBorders>
              <w:top w:val="single" w:sz="4" w:space="0" w:color="8ED973"/>
              <w:left w:val="nil"/>
              <w:bottom w:val="single" w:sz="4" w:space="0" w:color="8ED973"/>
              <w:right w:val="nil"/>
            </w:tcBorders>
            <w:shd w:val="clear" w:color="auto" w:fill="auto"/>
            <w:noWrap/>
            <w:vAlign w:val="bottom"/>
            <w:hideMark/>
          </w:tcPr>
          <w:p w14:paraId="0E39392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auto" w:fill="auto"/>
            <w:noWrap/>
            <w:vAlign w:val="bottom"/>
            <w:hideMark/>
          </w:tcPr>
          <w:p w14:paraId="44521D9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1D45882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0F848A9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6AC5C7E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r>
      <w:tr w:rsidR="00231C46" w:rsidRPr="006B7189" w14:paraId="4903135E"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7F2EA99E"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PowerSouth Energy Cooperative</w:t>
            </w:r>
          </w:p>
        </w:tc>
        <w:tc>
          <w:tcPr>
            <w:tcW w:w="236" w:type="dxa"/>
            <w:tcBorders>
              <w:top w:val="single" w:sz="4" w:space="0" w:color="8ED973"/>
              <w:left w:val="nil"/>
              <w:bottom w:val="single" w:sz="4" w:space="0" w:color="8ED973"/>
              <w:right w:val="nil"/>
            </w:tcBorders>
            <w:shd w:val="clear" w:color="DAF2D0" w:fill="DAF2D0"/>
            <w:noWrap/>
            <w:vAlign w:val="bottom"/>
            <w:hideMark/>
          </w:tcPr>
          <w:p w14:paraId="3C2DFFF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DAF2D0" w:fill="DAF2D0"/>
            <w:noWrap/>
            <w:vAlign w:val="bottom"/>
            <w:hideMark/>
          </w:tcPr>
          <w:p w14:paraId="4BC0AFF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3A2B9AC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35DCB9E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6FD499F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4A22E09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370F98B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0.08</w:t>
            </w:r>
          </w:p>
        </w:tc>
        <w:tc>
          <w:tcPr>
            <w:tcW w:w="236" w:type="dxa"/>
            <w:tcBorders>
              <w:top w:val="single" w:sz="4" w:space="0" w:color="8ED973"/>
              <w:left w:val="nil"/>
              <w:bottom w:val="single" w:sz="4" w:space="0" w:color="8ED973"/>
              <w:right w:val="nil"/>
            </w:tcBorders>
            <w:shd w:val="clear" w:color="DAF2D0" w:fill="DAF2D0"/>
            <w:noWrap/>
            <w:vAlign w:val="bottom"/>
            <w:hideMark/>
          </w:tcPr>
          <w:p w14:paraId="6C62685D" w14:textId="77777777" w:rsidR="006B7189" w:rsidRPr="006B7189" w:rsidRDefault="006B7189" w:rsidP="006B7189">
            <w:pPr>
              <w:spacing w:after="0" w:line="240" w:lineRule="auto"/>
              <w:jc w:val="right"/>
              <w:rPr>
                <w:rFonts w:ascii="Aptos Narrow" w:eastAsia="Times New Roman" w:hAnsi="Aptos Narrow" w:cs="Times New Roman"/>
                <w:color w:val="000000"/>
              </w:rPr>
            </w:pPr>
          </w:p>
        </w:tc>
        <w:tc>
          <w:tcPr>
            <w:tcW w:w="236" w:type="dxa"/>
            <w:tcBorders>
              <w:top w:val="single" w:sz="4" w:space="0" w:color="8ED973"/>
              <w:left w:val="nil"/>
              <w:bottom w:val="single" w:sz="4" w:space="0" w:color="8ED973"/>
              <w:right w:val="nil"/>
            </w:tcBorders>
            <w:shd w:val="clear" w:color="DAF2D0" w:fill="DAF2D0"/>
            <w:noWrap/>
            <w:vAlign w:val="bottom"/>
            <w:hideMark/>
          </w:tcPr>
          <w:p w14:paraId="164AA75B" w14:textId="77777777" w:rsidR="006B7189" w:rsidRPr="006B7189" w:rsidRDefault="006B7189" w:rsidP="006B7189">
            <w:pPr>
              <w:spacing w:after="0" w:line="240" w:lineRule="auto"/>
              <w:rPr>
                <w:rFonts w:ascii="Times New Roman" w:eastAsia="Times New Roman" w:hAnsi="Times New Roman" w:cs="Times New Roman"/>
                <w:sz w:val="20"/>
                <w:szCs w:val="20"/>
              </w:rPr>
            </w:pPr>
          </w:p>
        </w:tc>
      </w:tr>
      <w:tr w:rsidR="000D5038" w:rsidRPr="006B7189" w14:paraId="132DC0AA"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160AD7AA"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Florida Municipal Power Pool</w:t>
            </w:r>
          </w:p>
        </w:tc>
        <w:tc>
          <w:tcPr>
            <w:tcW w:w="236" w:type="dxa"/>
            <w:tcBorders>
              <w:top w:val="single" w:sz="4" w:space="0" w:color="8ED973"/>
              <w:left w:val="nil"/>
              <w:bottom w:val="single" w:sz="4" w:space="0" w:color="8ED973"/>
              <w:right w:val="nil"/>
            </w:tcBorders>
            <w:shd w:val="clear" w:color="auto" w:fill="auto"/>
            <w:noWrap/>
            <w:vAlign w:val="bottom"/>
            <w:hideMark/>
          </w:tcPr>
          <w:p w14:paraId="3900586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5D4CDB8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688EE85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auto" w:fill="auto"/>
            <w:noWrap/>
            <w:vAlign w:val="bottom"/>
            <w:hideMark/>
          </w:tcPr>
          <w:p w14:paraId="4D75309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23D5236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42BB585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2838F77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2C7A85B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7368B67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r>
      <w:tr w:rsidR="00231C46" w:rsidRPr="006B7189" w14:paraId="3E90C858"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D44F8EC"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Louisville Gas and Electric Company and Kentucky Utilities Company</w:t>
            </w:r>
          </w:p>
        </w:tc>
        <w:tc>
          <w:tcPr>
            <w:tcW w:w="236" w:type="dxa"/>
            <w:tcBorders>
              <w:top w:val="single" w:sz="4" w:space="0" w:color="8ED973"/>
              <w:left w:val="nil"/>
              <w:bottom w:val="single" w:sz="4" w:space="0" w:color="8ED973"/>
              <w:right w:val="nil"/>
            </w:tcBorders>
            <w:shd w:val="clear" w:color="DAF2D0" w:fill="DAF2D0"/>
            <w:noWrap/>
            <w:vAlign w:val="bottom"/>
            <w:hideMark/>
          </w:tcPr>
          <w:p w14:paraId="3A0E544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DAF2D0" w:fill="DAF2D0"/>
            <w:noWrap/>
            <w:vAlign w:val="bottom"/>
            <w:hideMark/>
          </w:tcPr>
          <w:p w14:paraId="52C4A3E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5CD19D6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70905E3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6D7C6AF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59200B5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3D60472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0.07</w:t>
            </w:r>
          </w:p>
        </w:tc>
        <w:tc>
          <w:tcPr>
            <w:tcW w:w="236" w:type="dxa"/>
            <w:tcBorders>
              <w:top w:val="single" w:sz="4" w:space="0" w:color="8ED973"/>
              <w:left w:val="nil"/>
              <w:bottom w:val="single" w:sz="4" w:space="0" w:color="8ED973"/>
              <w:right w:val="nil"/>
            </w:tcBorders>
            <w:shd w:val="clear" w:color="DAF2D0" w:fill="DAF2D0"/>
            <w:noWrap/>
            <w:vAlign w:val="bottom"/>
            <w:hideMark/>
          </w:tcPr>
          <w:p w14:paraId="3196534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0.09</w:t>
            </w:r>
          </w:p>
        </w:tc>
        <w:tc>
          <w:tcPr>
            <w:tcW w:w="236" w:type="dxa"/>
            <w:tcBorders>
              <w:top w:val="single" w:sz="4" w:space="0" w:color="8ED973"/>
              <w:left w:val="nil"/>
              <w:bottom w:val="single" w:sz="4" w:space="0" w:color="8ED973"/>
              <w:right w:val="nil"/>
            </w:tcBorders>
            <w:shd w:val="clear" w:color="DAF2D0" w:fill="DAF2D0"/>
            <w:noWrap/>
            <w:vAlign w:val="bottom"/>
            <w:hideMark/>
          </w:tcPr>
          <w:p w14:paraId="6F056F6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0.12</w:t>
            </w:r>
          </w:p>
        </w:tc>
      </w:tr>
      <w:tr w:rsidR="000D5038" w:rsidRPr="006B7189" w14:paraId="01479A8E"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362BBB3"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Duke Energy Progress East</w:t>
            </w:r>
          </w:p>
        </w:tc>
        <w:tc>
          <w:tcPr>
            <w:tcW w:w="236" w:type="dxa"/>
            <w:tcBorders>
              <w:top w:val="single" w:sz="4" w:space="0" w:color="8ED973"/>
              <w:left w:val="nil"/>
              <w:bottom w:val="single" w:sz="4" w:space="0" w:color="8ED973"/>
              <w:right w:val="nil"/>
            </w:tcBorders>
            <w:shd w:val="clear" w:color="auto" w:fill="auto"/>
            <w:noWrap/>
            <w:vAlign w:val="bottom"/>
            <w:hideMark/>
          </w:tcPr>
          <w:p w14:paraId="0DC792C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3C5794F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06FAC76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5DC0CE6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48BB154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4C2CA9D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687CCE3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1700BCE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125C7D8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r>
      <w:tr w:rsidR="00231C46" w:rsidRPr="006B7189" w14:paraId="3B1EB222"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300E126"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Duke Energy Carolinas</w:t>
            </w:r>
          </w:p>
        </w:tc>
        <w:tc>
          <w:tcPr>
            <w:tcW w:w="236" w:type="dxa"/>
            <w:tcBorders>
              <w:top w:val="single" w:sz="4" w:space="0" w:color="8ED973"/>
              <w:left w:val="nil"/>
              <w:bottom w:val="single" w:sz="4" w:space="0" w:color="8ED973"/>
              <w:right w:val="nil"/>
            </w:tcBorders>
            <w:shd w:val="clear" w:color="DAF2D0" w:fill="DAF2D0"/>
            <w:noWrap/>
            <w:vAlign w:val="bottom"/>
            <w:hideMark/>
          </w:tcPr>
          <w:p w14:paraId="43CA450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41C7C55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7E9C8C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4EC8935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7FCA80D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16BED14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316FDB7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2B4397C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5B21CF6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r>
      <w:tr w:rsidR="000D5038" w:rsidRPr="006B7189" w14:paraId="359C1EAC"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23A484AA"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Florida Power &amp; Light Co.</w:t>
            </w:r>
          </w:p>
        </w:tc>
        <w:tc>
          <w:tcPr>
            <w:tcW w:w="236" w:type="dxa"/>
            <w:tcBorders>
              <w:top w:val="single" w:sz="4" w:space="0" w:color="8ED973"/>
              <w:left w:val="nil"/>
              <w:bottom w:val="single" w:sz="4" w:space="0" w:color="8ED973"/>
              <w:right w:val="nil"/>
            </w:tcBorders>
            <w:shd w:val="clear" w:color="auto" w:fill="auto"/>
            <w:noWrap/>
            <w:vAlign w:val="bottom"/>
            <w:hideMark/>
          </w:tcPr>
          <w:p w14:paraId="79823E1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14947AA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0.05</w:t>
            </w:r>
          </w:p>
        </w:tc>
        <w:tc>
          <w:tcPr>
            <w:tcW w:w="236" w:type="dxa"/>
            <w:tcBorders>
              <w:top w:val="single" w:sz="4" w:space="0" w:color="8ED973"/>
              <w:left w:val="nil"/>
              <w:bottom w:val="single" w:sz="4" w:space="0" w:color="8ED973"/>
              <w:right w:val="nil"/>
            </w:tcBorders>
            <w:shd w:val="clear" w:color="auto" w:fill="auto"/>
            <w:noWrap/>
            <w:vAlign w:val="bottom"/>
            <w:hideMark/>
          </w:tcPr>
          <w:p w14:paraId="1F3330F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09EA3FB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7A9AE3A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231BB8B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798AD9F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ED7BDA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592A3A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231C46" w:rsidRPr="006B7189" w14:paraId="6063CB3A"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41517564"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Public Utility District No. 2 of Grant County, Washington</w:t>
            </w:r>
          </w:p>
        </w:tc>
        <w:tc>
          <w:tcPr>
            <w:tcW w:w="236" w:type="dxa"/>
            <w:tcBorders>
              <w:top w:val="single" w:sz="4" w:space="0" w:color="8ED973"/>
              <w:left w:val="nil"/>
              <w:bottom w:val="single" w:sz="4" w:space="0" w:color="8ED973"/>
              <w:right w:val="nil"/>
            </w:tcBorders>
            <w:shd w:val="clear" w:color="DAF2D0" w:fill="DAF2D0"/>
            <w:noWrap/>
            <w:vAlign w:val="bottom"/>
            <w:hideMark/>
          </w:tcPr>
          <w:p w14:paraId="6D114D0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4BC5CFC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7EBFE57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2D31BF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17E39D0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120C036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71EAD1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587D4BA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59CB1EA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r>
      <w:tr w:rsidR="000D5038" w:rsidRPr="006B7189" w14:paraId="1134910F"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F7852C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Tennessee Valley Authority</w:t>
            </w:r>
          </w:p>
        </w:tc>
        <w:tc>
          <w:tcPr>
            <w:tcW w:w="236" w:type="dxa"/>
            <w:tcBorders>
              <w:top w:val="single" w:sz="4" w:space="0" w:color="8ED973"/>
              <w:left w:val="nil"/>
              <w:bottom w:val="single" w:sz="4" w:space="0" w:color="8ED973"/>
              <w:right w:val="nil"/>
            </w:tcBorders>
            <w:shd w:val="clear" w:color="auto" w:fill="auto"/>
            <w:noWrap/>
            <w:vAlign w:val="bottom"/>
            <w:hideMark/>
          </w:tcPr>
          <w:p w14:paraId="760B720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302368E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597CAD2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1F0B8A5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18C6BE9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1B89726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02F7B0D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auto" w:fill="auto"/>
            <w:noWrap/>
            <w:vAlign w:val="bottom"/>
            <w:hideMark/>
          </w:tcPr>
          <w:p w14:paraId="7347070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auto" w:fill="auto"/>
            <w:noWrap/>
            <w:vAlign w:val="bottom"/>
            <w:hideMark/>
          </w:tcPr>
          <w:p w14:paraId="06E4C3B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r>
      <w:tr w:rsidR="00231C46" w:rsidRPr="006B7189" w14:paraId="164D6447"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8AD969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NorthWestern Corporation</w:t>
            </w:r>
          </w:p>
        </w:tc>
        <w:tc>
          <w:tcPr>
            <w:tcW w:w="236" w:type="dxa"/>
            <w:tcBorders>
              <w:top w:val="single" w:sz="4" w:space="0" w:color="8ED973"/>
              <w:left w:val="nil"/>
              <w:bottom w:val="single" w:sz="4" w:space="0" w:color="8ED973"/>
              <w:right w:val="nil"/>
            </w:tcBorders>
            <w:shd w:val="clear" w:color="DAF2D0" w:fill="DAF2D0"/>
            <w:noWrap/>
            <w:vAlign w:val="bottom"/>
            <w:hideMark/>
          </w:tcPr>
          <w:p w14:paraId="2675C8F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0FAA62A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169659E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2103111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0DB2641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0FB7631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0960FF7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69351BB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35764BF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0D5038" w:rsidRPr="006B7189" w14:paraId="51C1E714"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320CC2F2"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Dominion Energy South Carolina, Inc.</w:t>
            </w:r>
          </w:p>
        </w:tc>
        <w:tc>
          <w:tcPr>
            <w:tcW w:w="236" w:type="dxa"/>
            <w:tcBorders>
              <w:top w:val="single" w:sz="4" w:space="0" w:color="8ED973"/>
              <w:left w:val="nil"/>
              <w:bottom w:val="single" w:sz="4" w:space="0" w:color="8ED973"/>
              <w:right w:val="nil"/>
            </w:tcBorders>
            <w:shd w:val="clear" w:color="auto" w:fill="auto"/>
            <w:noWrap/>
            <w:vAlign w:val="bottom"/>
            <w:hideMark/>
          </w:tcPr>
          <w:p w14:paraId="2E9F9ED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3C9EAC8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2E4C7C0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473EBDA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4CFDC65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3EAE02C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34ADF8C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auto" w:fill="auto"/>
            <w:noWrap/>
            <w:vAlign w:val="bottom"/>
            <w:hideMark/>
          </w:tcPr>
          <w:p w14:paraId="112D5AF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406539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r>
      <w:tr w:rsidR="00231C46" w:rsidRPr="006B7189" w14:paraId="64D3FD2B"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6CAC395"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Salt River Project Agricultural Improvement and Power District</w:t>
            </w:r>
          </w:p>
        </w:tc>
        <w:tc>
          <w:tcPr>
            <w:tcW w:w="236" w:type="dxa"/>
            <w:tcBorders>
              <w:top w:val="single" w:sz="4" w:space="0" w:color="8ED973"/>
              <w:left w:val="nil"/>
              <w:bottom w:val="single" w:sz="4" w:space="0" w:color="8ED973"/>
              <w:right w:val="nil"/>
            </w:tcBorders>
            <w:shd w:val="clear" w:color="DAF2D0" w:fill="DAF2D0"/>
            <w:noWrap/>
            <w:vAlign w:val="bottom"/>
            <w:hideMark/>
          </w:tcPr>
          <w:p w14:paraId="7BBDF26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41088FD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0.06</w:t>
            </w:r>
          </w:p>
        </w:tc>
        <w:tc>
          <w:tcPr>
            <w:tcW w:w="236" w:type="dxa"/>
            <w:tcBorders>
              <w:top w:val="single" w:sz="4" w:space="0" w:color="8ED973"/>
              <w:left w:val="nil"/>
              <w:bottom w:val="single" w:sz="4" w:space="0" w:color="8ED973"/>
              <w:right w:val="nil"/>
            </w:tcBorders>
            <w:shd w:val="clear" w:color="DAF2D0" w:fill="DAF2D0"/>
            <w:noWrap/>
            <w:vAlign w:val="bottom"/>
            <w:hideMark/>
          </w:tcPr>
          <w:p w14:paraId="0082F6D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0.04</w:t>
            </w:r>
          </w:p>
        </w:tc>
        <w:tc>
          <w:tcPr>
            <w:tcW w:w="236" w:type="dxa"/>
            <w:tcBorders>
              <w:top w:val="single" w:sz="4" w:space="0" w:color="8ED973"/>
              <w:left w:val="nil"/>
              <w:bottom w:val="single" w:sz="4" w:space="0" w:color="8ED973"/>
              <w:right w:val="nil"/>
            </w:tcBorders>
            <w:shd w:val="clear" w:color="DAF2D0" w:fill="DAF2D0"/>
            <w:noWrap/>
            <w:vAlign w:val="bottom"/>
            <w:hideMark/>
          </w:tcPr>
          <w:p w14:paraId="3B4521E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0.03</w:t>
            </w:r>
          </w:p>
        </w:tc>
        <w:tc>
          <w:tcPr>
            <w:tcW w:w="236" w:type="dxa"/>
            <w:tcBorders>
              <w:top w:val="single" w:sz="4" w:space="0" w:color="8ED973"/>
              <w:left w:val="nil"/>
              <w:bottom w:val="single" w:sz="4" w:space="0" w:color="8ED973"/>
              <w:right w:val="nil"/>
            </w:tcBorders>
            <w:shd w:val="clear" w:color="DAF2D0" w:fill="DAF2D0"/>
            <w:noWrap/>
            <w:vAlign w:val="bottom"/>
            <w:hideMark/>
          </w:tcPr>
          <w:p w14:paraId="6632557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340489A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2D22591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19C167E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2BBBF5D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0D5038" w:rsidRPr="006B7189" w14:paraId="74A7700B"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33A44B5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Southwest Power Pool</w:t>
            </w:r>
          </w:p>
        </w:tc>
        <w:tc>
          <w:tcPr>
            <w:tcW w:w="236" w:type="dxa"/>
            <w:tcBorders>
              <w:top w:val="single" w:sz="4" w:space="0" w:color="8ED973"/>
              <w:left w:val="nil"/>
              <w:bottom w:val="single" w:sz="4" w:space="0" w:color="8ED973"/>
              <w:right w:val="nil"/>
            </w:tcBorders>
            <w:shd w:val="clear" w:color="auto" w:fill="auto"/>
            <w:noWrap/>
            <w:vAlign w:val="bottom"/>
            <w:hideMark/>
          </w:tcPr>
          <w:p w14:paraId="40EA1D1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706B042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48BFFB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9DF34A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22F3C496"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7CC960C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54923AD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08E7F27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454EA1F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r>
      <w:tr w:rsidR="00231C46" w:rsidRPr="006B7189" w14:paraId="1401BCC6"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6823980"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Tampa Electric Company</w:t>
            </w:r>
          </w:p>
        </w:tc>
        <w:tc>
          <w:tcPr>
            <w:tcW w:w="236" w:type="dxa"/>
            <w:tcBorders>
              <w:top w:val="single" w:sz="4" w:space="0" w:color="8ED973"/>
              <w:left w:val="nil"/>
              <w:bottom w:val="single" w:sz="4" w:space="0" w:color="8ED973"/>
              <w:right w:val="nil"/>
            </w:tcBorders>
            <w:shd w:val="clear" w:color="DAF2D0" w:fill="DAF2D0"/>
            <w:noWrap/>
            <w:vAlign w:val="bottom"/>
            <w:hideMark/>
          </w:tcPr>
          <w:p w14:paraId="5CE4C5B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4F8275C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5AEDC4E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6EA8FD0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63FF1D0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4D0A682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34A26E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6EC39FD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61D719B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r>
      <w:tr w:rsidR="000D5038" w:rsidRPr="006B7189" w14:paraId="7CE3E937"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21B3BC1E"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Bonneville Power Administration</w:t>
            </w:r>
          </w:p>
        </w:tc>
        <w:tc>
          <w:tcPr>
            <w:tcW w:w="236" w:type="dxa"/>
            <w:tcBorders>
              <w:top w:val="single" w:sz="4" w:space="0" w:color="8ED973"/>
              <w:left w:val="nil"/>
              <w:bottom w:val="single" w:sz="4" w:space="0" w:color="8ED973"/>
              <w:right w:val="nil"/>
            </w:tcBorders>
            <w:shd w:val="clear" w:color="auto" w:fill="auto"/>
            <w:noWrap/>
            <w:vAlign w:val="bottom"/>
            <w:hideMark/>
          </w:tcPr>
          <w:p w14:paraId="0744899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6B60272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62CAB1D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515B1F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7C592C4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040511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186471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276134F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73A914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231C46" w:rsidRPr="006B7189" w14:paraId="5DE02143"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4E76EB6D"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Electric Reliability Council of Texas, Inc.</w:t>
            </w:r>
          </w:p>
        </w:tc>
        <w:tc>
          <w:tcPr>
            <w:tcW w:w="236" w:type="dxa"/>
            <w:tcBorders>
              <w:top w:val="single" w:sz="4" w:space="0" w:color="8ED973"/>
              <w:left w:val="nil"/>
              <w:bottom w:val="single" w:sz="4" w:space="0" w:color="8ED973"/>
              <w:right w:val="nil"/>
            </w:tcBorders>
            <w:shd w:val="clear" w:color="DAF2D0" w:fill="DAF2D0"/>
            <w:noWrap/>
            <w:vAlign w:val="bottom"/>
            <w:hideMark/>
          </w:tcPr>
          <w:p w14:paraId="4332859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043BFFA0"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0CCA43B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46948BD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4BC6629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14C13BB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541D5EF5"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05D0B7AC"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3322ECB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0D5038" w:rsidRPr="006B7189" w14:paraId="7F5FAB1B"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A69000C"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PJM Interconnection, LLC</w:t>
            </w:r>
          </w:p>
        </w:tc>
        <w:tc>
          <w:tcPr>
            <w:tcW w:w="236" w:type="dxa"/>
            <w:tcBorders>
              <w:top w:val="single" w:sz="4" w:space="0" w:color="8ED973"/>
              <w:left w:val="nil"/>
              <w:bottom w:val="single" w:sz="4" w:space="0" w:color="8ED973"/>
              <w:right w:val="nil"/>
            </w:tcBorders>
            <w:shd w:val="clear" w:color="auto" w:fill="auto"/>
            <w:noWrap/>
            <w:vAlign w:val="bottom"/>
            <w:hideMark/>
          </w:tcPr>
          <w:p w14:paraId="2933BE1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4110BB1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auto" w:fill="auto"/>
            <w:noWrap/>
            <w:vAlign w:val="bottom"/>
            <w:hideMark/>
          </w:tcPr>
          <w:p w14:paraId="39E664C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56B5170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7C42827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E93541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50EAA63"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6EAB673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40A46F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231C46" w:rsidRPr="006B7189" w14:paraId="4D7F1F80" w14:textId="77777777" w:rsidTr="00231C46">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43417E8"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Southern Company Services, Inc. - Trans</w:t>
            </w:r>
          </w:p>
        </w:tc>
        <w:tc>
          <w:tcPr>
            <w:tcW w:w="236" w:type="dxa"/>
            <w:tcBorders>
              <w:top w:val="single" w:sz="4" w:space="0" w:color="8ED973"/>
              <w:left w:val="nil"/>
              <w:bottom w:val="single" w:sz="4" w:space="0" w:color="8ED973"/>
              <w:right w:val="nil"/>
            </w:tcBorders>
            <w:shd w:val="clear" w:color="DAF2D0" w:fill="DAF2D0"/>
            <w:noWrap/>
            <w:vAlign w:val="bottom"/>
            <w:hideMark/>
          </w:tcPr>
          <w:p w14:paraId="2D85E4B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04A50F1D"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4B4186F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2BE31A0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0.01</w:t>
            </w:r>
          </w:p>
        </w:tc>
        <w:tc>
          <w:tcPr>
            <w:tcW w:w="236" w:type="dxa"/>
            <w:tcBorders>
              <w:top w:val="single" w:sz="4" w:space="0" w:color="8ED973"/>
              <w:left w:val="nil"/>
              <w:bottom w:val="single" w:sz="4" w:space="0" w:color="8ED973"/>
              <w:right w:val="nil"/>
            </w:tcBorders>
            <w:shd w:val="clear" w:color="DAF2D0" w:fill="DAF2D0"/>
            <w:noWrap/>
            <w:vAlign w:val="bottom"/>
            <w:hideMark/>
          </w:tcPr>
          <w:p w14:paraId="426B55A4"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0.02</w:t>
            </w:r>
          </w:p>
        </w:tc>
        <w:tc>
          <w:tcPr>
            <w:tcW w:w="236" w:type="dxa"/>
            <w:tcBorders>
              <w:top w:val="single" w:sz="4" w:space="0" w:color="8ED973"/>
              <w:left w:val="nil"/>
              <w:bottom w:val="single" w:sz="4" w:space="0" w:color="8ED973"/>
              <w:right w:val="nil"/>
            </w:tcBorders>
            <w:shd w:val="clear" w:color="DAF2D0" w:fill="DAF2D0"/>
            <w:noWrap/>
            <w:vAlign w:val="bottom"/>
            <w:hideMark/>
          </w:tcPr>
          <w:p w14:paraId="2AC1442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53606242"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33A672DE"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DAF2D0" w:fill="DAF2D0"/>
            <w:noWrap/>
            <w:vAlign w:val="bottom"/>
            <w:hideMark/>
          </w:tcPr>
          <w:p w14:paraId="13916FE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r w:rsidR="000D5038" w:rsidRPr="006B7189" w14:paraId="403FB96C" w14:textId="77777777" w:rsidTr="00231C46">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20E853E2" w14:textId="77777777" w:rsidR="006B7189" w:rsidRPr="006B7189" w:rsidRDefault="006B7189" w:rsidP="006B7189">
            <w:pPr>
              <w:spacing w:after="0" w:line="240" w:lineRule="auto"/>
              <w:rPr>
                <w:rFonts w:ascii="Aptos Narrow" w:eastAsia="Times New Roman" w:hAnsi="Aptos Narrow" w:cs="Times New Roman"/>
                <w:color w:val="000000"/>
              </w:rPr>
            </w:pPr>
            <w:r w:rsidRPr="006B7189">
              <w:rPr>
                <w:rFonts w:ascii="Aptos Narrow" w:eastAsia="Times New Roman" w:hAnsi="Aptos Narrow" w:cs="Times New Roman"/>
                <w:color w:val="000000"/>
              </w:rPr>
              <w:t>Western Area Power Administration - Rocky Mountain Region</w:t>
            </w:r>
          </w:p>
        </w:tc>
        <w:tc>
          <w:tcPr>
            <w:tcW w:w="236" w:type="dxa"/>
            <w:tcBorders>
              <w:top w:val="single" w:sz="4" w:space="0" w:color="8ED973"/>
              <w:left w:val="nil"/>
              <w:bottom w:val="single" w:sz="4" w:space="0" w:color="8ED973"/>
              <w:right w:val="nil"/>
            </w:tcBorders>
            <w:shd w:val="clear" w:color="auto" w:fill="auto"/>
            <w:noWrap/>
            <w:vAlign w:val="bottom"/>
            <w:hideMark/>
          </w:tcPr>
          <w:p w14:paraId="0BE6CB8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301B16B8"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1A43636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2649B9CB"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756963E1"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6729A559"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43B935DA"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3353C2F7"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c>
          <w:tcPr>
            <w:tcW w:w="236" w:type="dxa"/>
            <w:tcBorders>
              <w:top w:val="single" w:sz="4" w:space="0" w:color="8ED973"/>
              <w:left w:val="nil"/>
              <w:bottom w:val="single" w:sz="4" w:space="0" w:color="8ED973"/>
              <w:right w:val="nil"/>
            </w:tcBorders>
            <w:shd w:val="clear" w:color="auto" w:fill="auto"/>
            <w:noWrap/>
            <w:vAlign w:val="bottom"/>
            <w:hideMark/>
          </w:tcPr>
          <w:p w14:paraId="2F6B3E3F" w14:textId="77777777" w:rsidR="006B7189" w:rsidRPr="006B7189" w:rsidRDefault="006B7189" w:rsidP="006B7189">
            <w:pPr>
              <w:spacing w:after="0" w:line="240" w:lineRule="auto"/>
              <w:jc w:val="right"/>
              <w:rPr>
                <w:rFonts w:ascii="Aptos Narrow" w:eastAsia="Times New Roman" w:hAnsi="Aptos Narrow" w:cs="Times New Roman"/>
                <w:color w:val="000000"/>
              </w:rPr>
            </w:pPr>
            <w:r w:rsidRPr="006B7189">
              <w:rPr>
                <w:rFonts w:ascii="Aptos Narrow" w:eastAsia="Times New Roman" w:hAnsi="Aptos Narrow" w:cs="Times New Roman"/>
                <w:color w:val="000000"/>
              </w:rPr>
              <w:t>0</w:t>
            </w:r>
          </w:p>
        </w:tc>
      </w:tr>
    </w:tbl>
    <w:p w14:paraId="2D9BC250" w14:textId="77777777" w:rsidR="00CD404A" w:rsidRDefault="00CD404A">
      <w:pPr>
        <w:pStyle w:val="Heading1"/>
      </w:pPr>
    </w:p>
    <w:p w14:paraId="2B3CE519" w14:textId="77777777" w:rsidR="00F9434B" w:rsidRDefault="00F9434B" w:rsidP="00F9434B"/>
    <w:p w14:paraId="24B76D50" w14:textId="77777777" w:rsidR="00F9434B" w:rsidRDefault="00F9434B" w:rsidP="00F9434B"/>
    <w:p w14:paraId="312CB3FE" w14:textId="77777777" w:rsidR="00F9434B" w:rsidRDefault="00F9434B" w:rsidP="00F9434B"/>
    <w:p w14:paraId="34AE35A8" w14:textId="77777777" w:rsidR="00F9434B" w:rsidRDefault="00F9434B" w:rsidP="00F9434B"/>
    <w:p w14:paraId="20105B9A" w14:textId="77777777" w:rsidR="00F9434B" w:rsidRDefault="00F9434B" w:rsidP="00F9434B"/>
    <w:p w14:paraId="6EBA9BBA" w14:textId="77777777" w:rsidR="00F9434B" w:rsidRDefault="00F9434B" w:rsidP="00F9434B"/>
    <w:p w14:paraId="42D0128B" w14:textId="66D195CF" w:rsidR="00CC2639" w:rsidRDefault="00CC2639" w:rsidP="00CC2639">
      <w:pPr>
        <w:pStyle w:val="Caption"/>
        <w:keepNext/>
      </w:pPr>
      <w:r>
        <w:lastRenderedPageBreak/>
        <w:t xml:space="preserve">Table </w:t>
      </w:r>
      <w:r>
        <w:fldChar w:fldCharType="begin"/>
      </w:r>
      <w:r>
        <w:instrText xml:space="preserve"> SEQ Table \* ARABIC </w:instrText>
      </w:r>
      <w:r>
        <w:fldChar w:fldCharType="separate"/>
      </w:r>
      <w:r>
        <w:rPr>
          <w:noProof/>
        </w:rPr>
        <w:t>2</w:t>
      </w:r>
      <w:r>
        <w:fldChar w:fldCharType="end"/>
      </w:r>
      <w:r>
        <w:t xml:space="preserve"> Import diversity (measured by Shannon Diversity Index) by USA balancing authorities with annual average demand &gt;500 MW.</w:t>
      </w:r>
    </w:p>
    <w:tbl>
      <w:tblPr>
        <w:tblW w:w="12309" w:type="dxa"/>
        <w:tblLook w:val="04A0" w:firstRow="1" w:lastRow="0" w:firstColumn="1" w:lastColumn="0" w:noHBand="0" w:noVBand="1"/>
      </w:tblPr>
      <w:tblGrid>
        <w:gridCol w:w="6336"/>
        <w:gridCol w:w="669"/>
        <w:gridCol w:w="663"/>
        <w:gridCol w:w="663"/>
        <w:gridCol w:w="663"/>
        <w:gridCol w:w="663"/>
        <w:gridCol w:w="663"/>
        <w:gridCol w:w="663"/>
        <w:gridCol w:w="663"/>
        <w:gridCol w:w="663"/>
      </w:tblGrid>
      <w:tr w:rsidR="00231C46" w:rsidRPr="00231C46" w14:paraId="512C63DB" w14:textId="77777777" w:rsidTr="00CC2639">
        <w:trPr>
          <w:trHeight w:val="288"/>
        </w:trPr>
        <w:tc>
          <w:tcPr>
            <w:tcW w:w="6336" w:type="dxa"/>
            <w:tcBorders>
              <w:top w:val="single" w:sz="4" w:space="0" w:color="8ED973"/>
              <w:left w:val="nil"/>
              <w:bottom w:val="single" w:sz="4" w:space="0" w:color="8ED973"/>
              <w:right w:val="nil"/>
            </w:tcBorders>
            <w:shd w:val="clear" w:color="4EA72E" w:fill="4EA72E"/>
            <w:noWrap/>
            <w:vAlign w:val="bottom"/>
            <w:hideMark/>
          </w:tcPr>
          <w:p w14:paraId="649C1844"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Name</w:t>
            </w:r>
          </w:p>
        </w:tc>
        <w:tc>
          <w:tcPr>
            <w:tcW w:w="669" w:type="dxa"/>
            <w:tcBorders>
              <w:top w:val="single" w:sz="4" w:space="0" w:color="8ED973"/>
              <w:left w:val="nil"/>
              <w:bottom w:val="single" w:sz="4" w:space="0" w:color="8ED973"/>
              <w:right w:val="nil"/>
            </w:tcBorders>
            <w:shd w:val="clear" w:color="4EA72E" w:fill="4EA72E"/>
            <w:noWrap/>
            <w:vAlign w:val="bottom"/>
            <w:hideMark/>
          </w:tcPr>
          <w:p w14:paraId="535BC34A"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Total</w:t>
            </w:r>
          </w:p>
        </w:tc>
        <w:tc>
          <w:tcPr>
            <w:tcW w:w="663" w:type="dxa"/>
            <w:tcBorders>
              <w:top w:val="single" w:sz="4" w:space="0" w:color="8ED973"/>
              <w:left w:val="nil"/>
              <w:bottom w:val="single" w:sz="4" w:space="0" w:color="8ED973"/>
              <w:right w:val="nil"/>
            </w:tcBorders>
            <w:shd w:val="clear" w:color="4EA72E" w:fill="4EA72E"/>
            <w:noWrap/>
            <w:vAlign w:val="bottom"/>
            <w:hideMark/>
          </w:tcPr>
          <w:p w14:paraId="025FDEE1"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2016</w:t>
            </w:r>
          </w:p>
        </w:tc>
        <w:tc>
          <w:tcPr>
            <w:tcW w:w="663" w:type="dxa"/>
            <w:tcBorders>
              <w:top w:val="single" w:sz="4" w:space="0" w:color="8ED973"/>
              <w:left w:val="nil"/>
              <w:bottom w:val="single" w:sz="4" w:space="0" w:color="8ED973"/>
              <w:right w:val="nil"/>
            </w:tcBorders>
            <w:shd w:val="clear" w:color="4EA72E" w:fill="4EA72E"/>
            <w:noWrap/>
            <w:vAlign w:val="bottom"/>
            <w:hideMark/>
          </w:tcPr>
          <w:p w14:paraId="32F60DEB"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2017</w:t>
            </w:r>
          </w:p>
        </w:tc>
        <w:tc>
          <w:tcPr>
            <w:tcW w:w="663" w:type="dxa"/>
            <w:tcBorders>
              <w:top w:val="single" w:sz="4" w:space="0" w:color="8ED973"/>
              <w:left w:val="nil"/>
              <w:bottom w:val="single" w:sz="4" w:space="0" w:color="8ED973"/>
              <w:right w:val="nil"/>
            </w:tcBorders>
            <w:shd w:val="clear" w:color="4EA72E" w:fill="4EA72E"/>
            <w:noWrap/>
            <w:vAlign w:val="bottom"/>
            <w:hideMark/>
          </w:tcPr>
          <w:p w14:paraId="2480C259"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2018</w:t>
            </w:r>
          </w:p>
        </w:tc>
        <w:tc>
          <w:tcPr>
            <w:tcW w:w="663" w:type="dxa"/>
            <w:tcBorders>
              <w:top w:val="single" w:sz="4" w:space="0" w:color="8ED973"/>
              <w:left w:val="nil"/>
              <w:bottom w:val="single" w:sz="4" w:space="0" w:color="8ED973"/>
              <w:right w:val="nil"/>
            </w:tcBorders>
            <w:shd w:val="clear" w:color="4EA72E" w:fill="4EA72E"/>
            <w:noWrap/>
            <w:vAlign w:val="bottom"/>
            <w:hideMark/>
          </w:tcPr>
          <w:p w14:paraId="7AAC8FDE"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2019</w:t>
            </w:r>
          </w:p>
        </w:tc>
        <w:tc>
          <w:tcPr>
            <w:tcW w:w="663" w:type="dxa"/>
            <w:tcBorders>
              <w:top w:val="single" w:sz="4" w:space="0" w:color="8ED973"/>
              <w:left w:val="nil"/>
              <w:bottom w:val="single" w:sz="4" w:space="0" w:color="8ED973"/>
              <w:right w:val="nil"/>
            </w:tcBorders>
            <w:shd w:val="clear" w:color="4EA72E" w:fill="4EA72E"/>
            <w:noWrap/>
            <w:vAlign w:val="bottom"/>
            <w:hideMark/>
          </w:tcPr>
          <w:p w14:paraId="4918390D"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2020</w:t>
            </w:r>
          </w:p>
        </w:tc>
        <w:tc>
          <w:tcPr>
            <w:tcW w:w="663" w:type="dxa"/>
            <w:tcBorders>
              <w:top w:val="single" w:sz="4" w:space="0" w:color="8ED973"/>
              <w:left w:val="nil"/>
              <w:bottom w:val="single" w:sz="4" w:space="0" w:color="8ED973"/>
              <w:right w:val="nil"/>
            </w:tcBorders>
            <w:shd w:val="clear" w:color="4EA72E" w:fill="4EA72E"/>
            <w:noWrap/>
            <w:vAlign w:val="bottom"/>
            <w:hideMark/>
          </w:tcPr>
          <w:p w14:paraId="415175E0"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2021</w:t>
            </w:r>
          </w:p>
        </w:tc>
        <w:tc>
          <w:tcPr>
            <w:tcW w:w="663" w:type="dxa"/>
            <w:tcBorders>
              <w:top w:val="single" w:sz="4" w:space="0" w:color="8ED973"/>
              <w:left w:val="nil"/>
              <w:bottom w:val="single" w:sz="4" w:space="0" w:color="8ED973"/>
              <w:right w:val="nil"/>
            </w:tcBorders>
            <w:shd w:val="clear" w:color="4EA72E" w:fill="4EA72E"/>
            <w:noWrap/>
            <w:vAlign w:val="bottom"/>
            <w:hideMark/>
          </w:tcPr>
          <w:p w14:paraId="6D23D728"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2022</w:t>
            </w:r>
          </w:p>
        </w:tc>
        <w:tc>
          <w:tcPr>
            <w:tcW w:w="663" w:type="dxa"/>
            <w:tcBorders>
              <w:top w:val="single" w:sz="4" w:space="0" w:color="8ED973"/>
              <w:left w:val="nil"/>
              <w:bottom w:val="single" w:sz="4" w:space="0" w:color="8ED973"/>
              <w:right w:val="nil"/>
            </w:tcBorders>
            <w:shd w:val="clear" w:color="4EA72E" w:fill="4EA72E"/>
            <w:noWrap/>
            <w:vAlign w:val="bottom"/>
            <w:hideMark/>
          </w:tcPr>
          <w:p w14:paraId="13020FFF" w14:textId="77777777" w:rsidR="00231C46" w:rsidRPr="00231C46" w:rsidRDefault="00231C46" w:rsidP="00231C46">
            <w:pPr>
              <w:spacing w:after="0" w:line="240" w:lineRule="auto"/>
              <w:rPr>
                <w:rFonts w:ascii="Aptos Narrow" w:eastAsia="Times New Roman" w:hAnsi="Aptos Narrow" w:cs="Times New Roman"/>
                <w:b/>
                <w:bCs/>
                <w:color w:val="FFFFFF"/>
              </w:rPr>
            </w:pPr>
            <w:r w:rsidRPr="00231C46">
              <w:rPr>
                <w:rFonts w:ascii="Aptos Narrow" w:eastAsia="Times New Roman" w:hAnsi="Aptos Narrow" w:cs="Times New Roman"/>
                <w:b/>
                <w:bCs/>
                <w:color w:val="FFFFFF"/>
              </w:rPr>
              <w:t>2023</w:t>
            </w:r>
          </w:p>
        </w:tc>
      </w:tr>
      <w:tr w:rsidR="00231C46" w:rsidRPr="00231C46" w14:paraId="320AB619"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EFFA792"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Western Area Power Administration - Desert Southwest Region</w:t>
            </w:r>
          </w:p>
        </w:tc>
        <w:tc>
          <w:tcPr>
            <w:tcW w:w="669" w:type="dxa"/>
            <w:tcBorders>
              <w:top w:val="single" w:sz="4" w:space="0" w:color="8ED973"/>
              <w:left w:val="nil"/>
              <w:bottom w:val="single" w:sz="4" w:space="0" w:color="8ED973"/>
              <w:right w:val="nil"/>
            </w:tcBorders>
            <w:shd w:val="clear" w:color="DAF2D0" w:fill="DAF2D0"/>
            <w:noWrap/>
            <w:vAlign w:val="bottom"/>
            <w:hideMark/>
          </w:tcPr>
          <w:p w14:paraId="20CC4BC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1.53</w:t>
            </w:r>
          </w:p>
        </w:tc>
        <w:tc>
          <w:tcPr>
            <w:tcW w:w="663" w:type="dxa"/>
            <w:tcBorders>
              <w:top w:val="single" w:sz="4" w:space="0" w:color="8ED973"/>
              <w:left w:val="nil"/>
              <w:bottom w:val="single" w:sz="4" w:space="0" w:color="8ED973"/>
              <w:right w:val="nil"/>
            </w:tcBorders>
            <w:shd w:val="clear" w:color="DAF2D0" w:fill="DAF2D0"/>
            <w:noWrap/>
            <w:vAlign w:val="bottom"/>
            <w:hideMark/>
          </w:tcPr>
          <w:p w14:paraId="5884E76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1.39</w:t>
            </w:r>
          </w:p>
        </w:tc>
        <w:tc>
          <w:tcPr>
            <w:tcW w:w="663" w:type="dxa"/>
            <w:tcBorders>
              <w:top w:val="single" w:sz="4" w:space="0" w:color="8ED973"/>
              <w:left w:val="nil"/>
              <w:bottom w:val="single" w:sz="4" w:space="0" w:color="8ED973"/>
              <w:right w:val="nil"/>
            </w:tcBorders>
            <w:shd w:val="clear" w:color="DAF2D0" w:fill="DAF2D0"/>
            <w:noWrap/>
            <w:vAlign w:val="bottom"/>
            <w:hideMark/>
          </w:tcPr>
          <w:p w14:paraId="7DAEB59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1.44</w:t>
            </w:r>
          </w:p>
        </w:tc>
        <w:tc>
          <w:tcPr>
            <w:tcW w:w="663" w:type="dxa"/>
            <w:tcBorders>
              <w:top w:val="single" w:sz="4" w:space="0" w:color="8ED973"/>
              <w:left w:val="nil"/>
              <w:bottom w:val="single" w:sz="4" w:space="0" w:color="8ED973"/>
              <w:right w:val="nil"/>
            </w:tcBorders>
            <w:shd w:val="clear" w:color="DAF2D0" w:fill="DAF2D0"/>
            <w:noWrap/>
            <w:vAlign w:val="bottom"/>
            <w:hideMark/>
          </w:tcPr>
          <w:p w14:paraId="3278FA6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1.3</w:t>
            </w:r>
          </w:p>
        </w:tc>
        <w:tc>
          <w:tcPr>
            <w:tcW w:w="663" w:type="dxa"/>
            <w:tcBorders>
              <w:top w:val="single" w:sz="4" w:space="0" w:color="8ED973"/>
              <w:left w:val="nil"/>
              <w:bottom w:val="single" w:sz="4" w:space="0" w:color="8ED973"/>
              <w:right w:val="nil"/>
            </w:tcBorders>
            <w:shd w:val="clear" w:color="DAF2D0" w:fill="DAF2D0"/>
            <w:noWrap/>
            <w:vAlign w:val="bottom"/>
            <w:hideMark/>
          </w:tcPr>
          <w:p w14:paraId="662C3DF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1.25</w:t>
            </w:r>
          </w:p>
        </w:tc>
        <w:tc>
          <w:tcPr>
            <w:tcW w:w="663" w:type="dxa"/>
            <w:tcBorders>
              <w:top w:val="single" w:sz="4" w:space="0" w:color="8ED973"/>
              <w:left w:val="nil"/>
              <w:bottom w:val="single" w:sz="4" w:space="0" w:color="8ED973"/>
              <w:right w:val="nil"/>
            </w:tcBorders>
            <w:shd w:val="clear" w:color="DAF2D0" w:fill="DAF2D0"/>
            <w:noWrap/>
            <w:vAlign w:val="bottom"/>
            <w:hideMark/>
          </w:tcPr>
          <w:p w14:paraId="4A528ED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1.38</w:t>
            </w:r>
          </w:p>
        </w:tc>
        <w:tc>
          <w:tcPr>
            <w:tcW w:w="663" w:type="dxa"/>
            <w:tcBorders>
              <w:top w:val="single" w:sz="4" w:space="0" w:color="8ED973"/>
              <w:left w:val="nil"/>
              <w:bottom w:val="single" w:sz="4" w:space="0" w:color="8ED973"/>
              <w:right w:val="nil"/>
            </w:tcBorders>
            <w:shd w:val="clear" w:color="DAF2D0" w:fill="DAF2D0"/>
            <w:noWrap/>
            <w:vAlign w:val="bottom"/>
            <w:hideMark/>
          </w:tcPr>
          <w:p w14:paraId="5C3F957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1.22</w:t>
            </w:r>
          </w:p>
        </w:tc>
        <w:tc>
          <w:tcPr>
            <w:tcW w:w="663" w:type="dxa"/>
            <w:tcBorders>
              <w:top w:val="single" w:sz="4" w:space="0" w:color="8ED973"/>
              <w:left w:val="nil"/>
              <w:bottom w:val="single" w:sz="4" w:space="0" w:color="8ED973"/>
              <w:right w:val="nil"/>
            </w:tcBorders>
            <w:shd w:val="clear" w:color="DAF2D0" w:fill="DAF2D0"/>
            <w:noWrap/>
            <w:vAlign w:val="bottom"/>
            <w:hideMark/>
          </w:tcPr>
          <w:p w14:paraId="0E55E6A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1.28</w:t>
            </w:r>
          </w:p>
        </w:tc>
        <w:tc>
          <w:tcPr>
            <w:tcW w:w="663" w:type="dxa"/>
            <w:tcBorders>
              <w:top w:val="single" w:sz="4" w:space="0" w:color="8ED973"/>
              <w:left w:val="nil"/>
              <w:bottom w:val="single" w:sz="4" w:space="0" w:color="8ED973"/>
              <w:right w:val="nil"/>
            </w:tcBorders>
            <w:shd w:val="clear" w:color="DAF2D0" w:fill="DAF2D0"/>
            <w:noWrap/>
            <w:vAlign w:val="bottom"/>
            <w:hideMark/>
          </w:tcPr>
          <w:p w14:paraId="107D4D4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1.58</w:t>
            </w:r>
          </w:p>
        </w:tc>
      </w:tr>
      <w:tr w:rsidR="00231C46" w:rsidRPr="00231C46" w14:paraId="2AF0E9D5"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FF8A8FC"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Bonneville Power Administration</w:t>
            </w:r>
          </w:p>
        </w:tc>
        <w:tc>
          <w:tcPr>
            <w:tcW w:w="669" w:type="dxa"/>
            <w:tcBorders>
              <w:top w:val="single" w:sz="4" w:space="0" w:color="8ED973"/>
              <w:left w:val="nil"/>
              <w:bottom w:val="single" w:sz="4" w:space="0" w:color="8ED973"/>
              <w:right w:val="nil"/>
            </w:tcBorders>
            <w:shd w:val="clear" w:color="auto" w:fill="auto"/>
            <w:noWrap/>
            <w:vAlign w:val="bottom"/>
            <w:hideMark/>
          </w:tcPr>
          <w:p w14:paraId="6177A57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1.19</w:t>
            </w:r>
          </w:p>
        </w:tc>
        <w:tc>
          <w:tcPr>
            <w:tcW w:w="663" w:type="dxa"/>
            <w:tcBorders>
              <w:top w:val="single" w:sz="4" w:space="0" w:color="8ED973"/>
              <w:left w:val="nil"/>
              <w:bottom w:val="single" w:sz="4" w:space="0" w:color="8ED973"/>
              <w:right w:val="nil"/>
            </w:tcBorders>
            <w:shd w:val="clear" w:color="auto" w:fill="auto"/>
            <w:noWrap/>
            <w:vAlign w:val="bottom"/>
            <w:hideMark/>
          </w:tcPr>
          <w:p w14:paraId="4613788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1.09</w:t>
            </w:r>
          </w:p>
        </w:tc>
        <w:tc>
          <w:tcPr>
            <w:tcW w:w="663" w:type="dxa"/>
            <w:tcBorders>
              <w:top w:val="single" w:sz="4" w:space="0" w:color="8ED973"/>
              <w:left w:val="nil"/>
              <w:bottom w:val="single" w:sz="4" w:space="0" w:color="8ED973"/>
              <w:right w:val="nil"/>
            </w:tcBorders>
            <w:shd w:val="clear" w:color="auto" w:fill="auto"/>
            <w:noWrap/>
            <w:vAlign w:val="bottom"/>
            <w:hideMark/>
          </w:tcPr>
          <w:p w14:paraId="7402E87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1.15</w:t>
            </w:r>
          </w:p>
        </w:tc>
        <w:tc>
          <w:tcPr>
            <w:tcW w:w="663" w:type="dxa"/>
            <w:tcBorders>
              <w:top w:val="single" w:sz="4" w:space="0" w:color="8ED973"/>
              <w:left w:val="nil"/>
              <w:bottom w:val="single" w:sz="4" w:space="0" w:color="8ED973"/>
              <w:right w:val="nil"/>
            </w:tcBorders>
            <w:shd w:val="clear" w:color="auto" w:fill="auto"/>
            <w:noWrap/>
            <w:vAlign w:val="bottom"/>
            <w:hideMark/>
          </w:tcPr>
          <w:p w14:paraId="2E9E1EB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1.06</w:t>
            </w:r>
          </w:p>
        </w:tc>
        <w:tc>
          <w:tcPr>
            <w:tcW w:w="663" w:type="dxa"/>
            <w:tcBorders>
              <w:top w:val="single" w:sz="4" w:space="0" w:color="8ED973"/>
              <w:left w:val="nil"/>
              <w:bottom w:val="single" w:sz="4" w:space="0" w:color="8ED973"/>
              <w:right w:val="nil"/>
            </w:tcBorders>
            <w:shd w:val="clear" w:color="auto" w:fill="auto"/>
            <w:noWrap/>
            <w:vAlign w:val="bottom"/>
            <w:hideMark/>
          </w:tcPr>
          <w:p w14:paraId="030E00F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1.07</w:t>
            </w:r>
          </w:p>
        </w:tc>
        <w:tc>
          <w:tcPr>
            <w:tcW w:w="663" w:type="dxa"/>
            <w:tcBorders>
              <w:top w:val="single" w:sz="4" w:space="0" w:color="8ED973"/>
              <w:left w:val="nil"/>
              <w:bottom w:val="single" w:sz="4" w:space="0" w:color="8ED973"/>
              <w:right w:val="nil"/>
            </w:tcBorders>
            <w:shd w:val="clear" w:color="auto" w:fill="auto"/>
            <w:noWrap/>
            <w:vAlign w:val="bottom"/>
            <w:hideMark/>
          </w:tcPr>
          <w:p w14:paraId="4B47E86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w:t>
            </w:r>
          </w:p>
        </w:tc>
        <w:tc>
          <w:tcPr>
            <w:tcW w:w="663" w:type="dxa"/>
            <w:tcBorders>
              <w:top w:val="single" w:sz="4" w:space="0" w:color="8ED973"/>
              <w:left w:val="nil"/>
              <w:bottom w:val="single" w:sz="4" w:space="0" w:color="8ED973"/>
              <w:right w:val="nil"/>
            </w:tcBorders>
            <w:shd w:val="clear" w:color="auto" w:fill="auto"/>
            <w:noWrap/>
            <w:vAlign w:val="bottom"/>
            <w:hideMark/>
          </w:tcPr>
          <w:p w14:paraId="20ACC8F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1.14</w:t>
            </w:r>
          </w:p>
        </w:tc>
        <w:tc>
          <w:tcPr>
            <w:tcW w:w="663" w:type="dxa"/>
            <w:tcBorders>
              <w:top w:val="single" w:sz="4" w:space="0" w:color="8ED973"/>
              <w:left w:val="nil"/>
              <w:bottom w:val="single" w:sz="4" w:space="0" w:color="8ED973"/>
              <w:right w:val="nil"/>
            </w:tcBorders>
            <w:shd w:val="clear" w:color="auto" w:fill="auto"/>
            <w:noWrap/>
            <w:vAlign w:val="bottom"/>
            <w:hideMark/>
          </w:tcPr>
          <w:p w14:paraId="1FA65FA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1.23</w:t>
            </w:r>
          </w:p>
        </w:tc>
        <w:tc>
          <w:tcPr>
            <w:tcW w:w="663" w:type="dxa"/>
            <w:tcBorders>
              <w:top w:val="single" w:sz="4" w:space="0" w:color="8ED973"/>
              <w:left w:val="nil"/>
              <w:bottom w:val="single" w:sz="4" w:space="0" w:color="8ED973"/>
              <w:right w:val="nil"/>
            </w:tcBorders>
            <w:shd w:val="clear" w:color="auto" w:fill="auto"/>
            <w:noWrap/>
            <w:vAlign w:val="bottom"/>
            <w:hideMark/>
          </w:tcPr>
          <w:p w14:paraId="4CB0852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1.21</w:t>
            </w:r>
          </w:p>
        </w:tc>
      </w:tr>
      <w:tr w:rsidR="00231C46" w:rsidRPr="00231C46" w14:paraId="204B73FD"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774760D9"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Los Angeles Department of Water and Power</w:t>
            </w:r>
          </w:p>
        </w:tc>
        <w:tc>
          <w:tcPr>
            <w:tcW w:w="669" w:type="dxa"/>
            <w:tcBorders>
              <w:top w:val="single" w:sz="4" w:space="0" w:color="8ED973"/>
              <w:left w:val="nil"/>
              <w:bottom w:val="single" w:sz="4" w:space="0" w:color="8ED973"/>
              <w:right w:val="nil"/>
            </w:tcBorders>
            <w:shd w:val="clear" w:color="DAF2D0" w:fill="DAF2D0"/>
            <w:noWrap/>
            <w:vAlign w:val="bottom"/>
            <w:hideMark/>
          </w:tcPr>
          <w:p w14:paraId="085B682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1.19</w:t>
            </w:r>
          </w:p>
        </w:tc>
        <w:tc>
          <w:tcPr>
            <w:tcW w:w="663" w:type="dxa"/>
            <w:tcBorders>
              <w:top w:val="single" w:sz="4" w:space="0" w:color="8ED973"/>
              <w:left w:val="nil"/>
              <w:bottom w:val="single" w:sz="4" w:space="0" w:color="8ED973"/>
              <w:right w:val="nil"/>
            </w:tcBorders>
            <w:shd w:val="clear" w:color="DAF2D0" w:fill="DAF2D0"/>
            <w:noWrap/>
            <w:vAlign w:val="bottom"/>
            <w:hideMark/>
          </w:tcPr>
          <w:p w14:paraId="35B8969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0.04</w:t>
            </w:r>
          </w:p>
        </w:tc>
        <w:tc>
          <w:tcPr>
            <w:tcW w:w="663" w:type="dxa"/>
            <w:tcBorders>
              <w:top w:val="single" w:sz="4" w:space="0" w:color="8ED973"/>
              <w:left w:val="nil"/>
              <w:bottom w:val="single" w:sz="4" w:space="0" w:color="8ED973"/>
              <w:right w:val="nil"/>
            </w:tcBorders>
            <w:shd w:val="clear" w:color="DAF2D0" w:fill="DAF2D0"/>
            <w:noWrap/>
            <w:vAlign w:val="bottom"/>
            <w:hideMark/>
          </w:tcPr>
          <w:p w14:paraId="0575C53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1.19</w:t>
            </w:r>
          </w:p>
        </w:tc>
        <w:tc>
          <w:tcPr>
            <w:tcW w:w="663" w:type="dxa"/>
            <w:tcBorders>
              <w:top w:val="single" w:sz="4" w:space="0" w:color="8ED973"/>
              <w:left w:val="nil"/>
              <w:bottom w:val="single" w:sz="4" w:space="0" w:color="8ED973"/>
              <w:right w:val="nil"/>
            </w:tcBorders>
            <w:shd w:val="clear" w:color="DAF2D0" w:fill="DAF2D0"/>
            <w:noWrap/>
            <w:vAlign w:val="bottom"/>
            <w:hideMark/>
          </w:tcPr>
          <w:p w14:paraId="121BCF3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1.21</w:t>
            </w:r>
          </w:p>
        </w:tc>
        <w:tc>
          <w:tcPr>
            <w:tcW w:w="663" w:type="dxa"/>
            <w:tcBorders>
              <w:top w:val="single" w:sz="4" w:space="0" w:color="8ED973"/>
              <w:left w:val="nil"/>
              <w:bottom w:val="single" w:sz="4" w:space="0" w:color="8ED973"/>
              <w:right w:val="nil"/>
            </w:tcBorders>
            <w:shd w:val="clear" w:color="DAF2D0" w:fill="DAF2D0"/>
            <w:noWrap/>
            <w:vAlign w:val="bottom"/>
            <w:hideMark/>
          </w:tcPr>
          <w:p w14:paraId="4FE80FB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1.21</w:t>
            </w:r>
          </w:p>
        </w:tc>
        <w:tc>
          <w:tcPr>
            <w:tcW w:w="663" w:type="dxa"/>
            <w:tcBorders>
              <w:top w:val="single" w:sz="4" w:space="0" w:color="8ED973"/>
              <w:left w:val="nil"/>
              <w:bottom w:val="single" w:sz="4" w:space="0" w:color="8ED973"/>
              <w:right w:val="nil"/>
            </w:tcBorders>
            <w:shd w:val="clear" w:color="DAF2D0" w:fill="DAF2D0"/>
            <w:noWrap/>
            <w:vAlign w:val="bottom"/>
            <w:hideMark/>
          </w:tcPr>
          <w:p w14:paraId="14B0EBC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1.07</w:t>
            </w:r>
          </w:p>
        </w:tc>
        <w:tc>
          <w:tcPr>
            <w:tcW w:w="663" w:type="dxa"/>
            <w:tcBorders>
              <w:top w:val="single" w:sz="4" w:space="0" w:color="8ED973"/>
              <w:left w:val="nil"/>
              <w:bottom w:val="single" w:sz="4" w:space="0" w:color="8ED973"/>
              <w:right w:val="nil"/>
            </w:tcBorders>
            <w:shd w:val="clear" w:color="DAF2D0" w:fill="DAF2D0"/>
            <w:noWrap/>
            <w:vAlign w:val="bottom"/>
            <w:hideMark/>
          </w:tcPr>
          <w:p w14:paraId="6251FF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1.19</w:t>
            </w:r>
          </w:p>
        </w:tc>
        <w:tc>
          <w:tcPr>
            <w:tcW w:w="663" w:type="dxa"/>
            <w:tcBorders>
              <w:top w:val="single" w:sz="4" w:space="0" w:color="8ED973"/>
              <w:left w:val="nil"/>
              <w:bottom w:val="single" w:sz="4" w:space="0" w:color="8ED973"/>
              <w:right w:val="nil"/>
            </w:tcBorders>
            <w:shd w:val="clear" w:color="DAF2D0" w:fill="DAF2D0"/>
            <w:noWrap/>
            <w:vAlign w:val="bottom"/>
            <w:hideMark/>
          </w:tcPr>
          <w:p w14:paraId="7EC45D1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1.25</w:t>
            </w:r>
          </w:p>
        </w:tc>
        <w:tc>
          <w:tcPr>
            <w:tcW w:w="663" w:type="dxa"/>
            <w:tcBorders>
              <w:top w:val="single" w:sz="4" w:space="0" w:color="8ED973"/>
              <w:left w:val="nil"/>
              <w:bottom w:val="single" w:sz="4" w:space="0" w:color="8ED973"/>
              <w:right w:val="nil"/>
            </w:tcBorders>
            <w:shd w:val="clear" w:color="DAF2D0" w:fill="DAF2D0"/>
            <w:noWrap/>
            <w:vAlign w:val="bottom"/>
            <w:hideMark/>
          </w:tcPr>
          <w:p w14:paraId="4E3347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1.29</w:t>
            </w:r>
          </w:p>
        </w:tc>
      </w:tr>
      <w:tr w:rsidR="00231C46" w:rsidRPr="00231C46" w14:paraId="66EA2BE3"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9AD6D02"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PacifiCorp West</w:t>
            </w:r>
          </w:p>
        </w:tc>
        <w:tc>
          <w:tcPr>
            <w:tcW w:w="669" w:type="dxa"/>
            <w:tcBorders>
              <w:top w:val="single" w:sz="4" w:space="0" w:color="8ED973"/>
              <w:left w:val="nil"/>
              <w:bottom w:val="single" w:sz="4" w:space="0" w:color="8ED973"/>
              <w:right w:val="nil"/>
            </w:tcBorders>
            <w:shd w:val="clear" w:color="auto" w:fill="auto"/>
            <w:noWrap/>
            <w:vAlign w:val="bottom"/>
            <w:hideMark/>
          </w:tcPr>
          <w:p w14:paraId="5D3B8CC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w:t>
            </w:r>
          </w:p>
        </w:tc>
        <w:tc>
          <w:tcPr>
            <w:tcW w:w="663" w:type="dxa"/>
            <w:tcBorders>
              <w:top w:val="single" w:sz="4" w:space="0" w:color="8ED973"/>
              <w:left w:val="nil"/>
              <w:bottom w:val="single" w:sz="4" w:space="0" w:color="8ED973"/>
              <w:right w:val="nil"/>
            </w:tcBorders>
            <w:shd w:val="clear" w:color="auto" w:fill="auto"/>
            <w:noWrap/>
            <w:vAlign w:val="bottom"/>
            <w:hideMark/>
          </w:tcPr>
          <w:p w14:paraId="5094070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0.85</w:t>
            </w:r>
          </w:p>
        </w:tc>
        <w:tc>
          <w:tcPr>
            <w:tcW w:w="663" w:type="dxa"/>
            <w:tcBorders>
              <w:top w:val="single" w:sz="4" w:space="0" w:color="8ED973"/>
              <w:left w:val="nil"/>
              <w:bottom w:val="single" w:sz="4" w:space="0" w:color="8ED973"/>
              <w:right w:val="nil"/>
            </w:tcBorders>
            <w:shd w:val="clear" w:color="auto" w:fill="auto"/>
            <w:noWrap/>
            <w:vAlign w:val="bottom"/>
            <w:hideMark/>
          </w:tcPr>
          <w:p w14:paraId="59DE90D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0.92</w:t>
            </w:r>
          </w:p>
        </w:tc>
        <w:tc>
          <w:tcPr>
            <w:tcW w:w="663" w:type="dxa"/>
            <w:tcBorders>
              <w:top w:val="single" w:sz="4" w:space="0" w:color="8ED973"/>
              <w:left w:val="nil"/>
              <w:bottom w:val="single" w:sz="4" w:space="0" w:color="8ED973"/>
              <w:right w:val="nil"/>
            </w:tcBorders>
            <w:shd w:val="clear" w:color="auto" w:fill="auto"/>
            <w:noWrap/>
            <w:vAlign w:val="bottom"/>
            <w:hideMark/>
          </w:tcPr>
          <w:p w14:paraId="4A67D7F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0.85</w:t>
            </w:r>
          </w:p>
        </w:tc>
        <w:tc>
          <w:tcPr>
            <w:tcW w:w="663" w:type="dxa"/>
            <w:tcBorders>
              <w:top w:val="single" w:sz="4" w:space="0" w:color="8ED973"/>
              <w:left w:val="nil"/>
              <w:bottom w:val="single" w:sz="4" w:space="0" w:color="8ED973"/>
              <w:right w:val="nil"/>
            </w:tcBorders>
            <w:shd w:val="clear" w:color="auto" w:fill="auto"/>
            <w:noWrap/>
            <w:vAlign w:val="bottom"/>
            <w:hideMark/>
          </w:tcPr>
          <w:p w14:paraId="0CD4A6E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1.12</w:t>
            </w:r>
          </w:p>
        </w:tc>
        <w:tc>
          <w:tcPr>
            <w:tcW w:w="663" w:type="dxa"/>
            <w:tcBorders>
              <w:top w:val="single" w:sz="4" w:space="0" w:color="8ED973"/>
              <w:left w:val="nil"/>
              <w:bottom w:val="single" w:sz="4" w:space="0" w:color="8ED973"/>
              <w:right w:val="nil"/>
            </w:tcBorders>
            <w:shd w:val="clear" w:color="auto" w:fill="auto"/>
            <w:noWrap/>
            <w:vAlign w:val="bottom"/>
            <w:hideMark/>
          </w:tcPr>
          <w:p w14:paraId="551397A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w:t>
            </w:r>
          </w:p>
        </w:tc>
        <w:tc>
          <w:tcPr>
            <w:tcW w:w="663" w:type="dxa"/>
            <w:tcBorders>
              <w:top w:val="single" w:sz="4" w:space="0" w:color="8ED973"/>
              <w:left w:val="nil"/>
              <w:bottom w:val="single" w:sz="4" w:space="0" w:color="8ED973"/>
              <w:right w:val="nil"/>
            </w:tcBorders>
            <w:shd w:val="clear" w:color="auto" w:fill="auto"/>
            <w:noWrap/>
            <w:vAlign w:val="bottom"/>
            <w:hideMark/>
          </w:tcPr>
          <w:p w14:paraId="6BAEA4A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1.13</w:t>
            </w:r>
          </w:p>
        </w:tc>
        <w:tc>
          <w:tcPr>
            <w:tcW w:w="663" w:type="dxa"/>
            <w:tcBorders>
              <w:top w:val="single" w:sz="4" w:space="0" w:color="8ED973"/>
              <w:left w:val="nil"/>
              <w:bottom w:val="single" w:sz="4" w:space="0" w:color="8ED973"/>
              <w:right w:val="nil"/>
            </w:tcBorders>
            <w:shd w:val="clear" w:color="auto" w:fill="auto"/>
            <w:noWrap/>
            <w:vAlign w:val="bottom"/>
            <w:hideMark/>
          </w:tcPr>
          <w:p w14:paraId="25F0A97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w:t>
            </w:r>
          </w:p>
        </w:tc>
        <w:tc>
          <w:tcPr>
            <w:tcW w:w="663" w:type="dxa"/>
            <w:tcBorders>
              <w:top w:val="single" w:sz="4" w:space="0" w:color="8ED973"/>
              <w:left w:val="nil"/>
              <w:bottom w:val="single" w:sz="4" w:space="0" w:color="8ED973"/>
              <w:right w:val="nil"/>
            </w:tcBorders>
            <w:shd w:val="clear" w:color="auto" w:fill="auto"/>
            <w:noWrap/>
            <w:vAlign w:val="bottom"/>
            <w:hideMark/>
          </w:tcPr>
          <w:p w14:paraId="1CA0FBD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1.25</w:t>
            </w:r>
          </w:p>
        </w:tc>
      </w:tr>
      <w:tr w:rsidR="00231C46" w:rsidRPr="00231C46" w14:paraId="1FB83DD4"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40A299ED"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Tucson Electric Power</w:t>
            </w:r>
          </w:p>
        </w:tc>
        <w:tc>
          <w:tcPr>
            <w:tcW w:w="669" w:type="dxa"/>
            <w:tcBorders>
              <w:top w:val="single" w:sz="4" w:space="0" w:color="8ED973"/>
              <w:left w:val="nil"/>
              <w:bottom w:val="single" w:sz="4" w:space="0" w:color="8ED973"/>
              <w:right w:val="nil"/>
            </w:tcBorders>
            <w:shd w:val="clear" w:color="DAF2D0" w:fill="DAF2D0"/>
            <w:noWrap/>
            <w:vAlign w:val="bottom"/>
            <w:hideMark/>
          </w:tcPr>
          <w:p w14:paraId="38F7F99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1.09</w:t>
            </w:r>
          </w:p>
        </w:tc>
        <w:tc>
          <w:tcPr>
            <w:tcW w:w="663" w:type="dxa"/>
            <w:tcBorders>
              <w:top w:val="single" w:sz="4" w:space="0" w:color="8ED973"/>
              <w:left w:val="nil"/>
              <w:bottom w:val="single" w:sz="4" w:space="0" w:color="8ED973"/>
              <w:right w:val="nil"/>
            </w:tcBorders>
            <w:shd w:val="clear" w:color="DAF2D0" w:fill="DAF2D0"/>
            <w:noWrap/>
            <w:vAlign w:val="bottom"/>
            <w:hideMark/>
          </w:tcPr>
          <w:p w14:paraId="1C2F875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1.08</w:t>
            </w:r>
          </w:p>
        </w:tc>
        <w:tc>
          <w:tcPr>
            <w:tcW w:w="663" w:type="dxa"/>
            <w:tcBorders>
              <w:top w:val="single" w:sz="4" w:space="0" w:color="8ED973"/>
              <w:left w:val="nil"/>
              <w:bottom w:val="single" w:sz="4" w:space="0" w:color="8ED973"/>
              <w:right w:val="nil"/>
            </w:tcBorders>
            <w:shd w:val="clear" w:color="DAF2D0" w:fill="DAF2D0"/>
            <w:noWrap/>
            <w:vAlign w:val="bottom"/>
            <w:hideMark/>
          </w:tcPr>
          <w:p w14:paraId="66684B9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1.07</w:t>
            </w:r>
          </w:p>
        </w:tc>
        <w:tc>
          <w:tcPr>
            <w:tcW w:w="663" w:type="dxa"/>
            <w:tcBorders>
              <w:top w:val="single" w:sz="4" w:space="0" w:color="8ED973"/>
              <w:left w:val="nil"/>
              <w:bottom w:val="single" w:sz="4" w:space="0" w:color="8ED973"/>
              <w:right w:val="nil"/>
            </w:tcBorders>
            <w:shd w:val="clear" w:color="DAF2D0" w:fill="DAF2D0"/>
            <w:noWrap/>
            <w:vAlign w:val="bottom"/>
            <w:hideMark/>
          </w:tcPr>
          <w:p w14:paraId="4A285C5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0.97</w:t>
            </w:r>
          </w:p>
        </w:tc>
        <w:tc>
          <w:tcPr>
            <w:tcW w:w="663" w:type="dxa"/>
            <w:tcBorders>
              <w:top w:val="single" w:sz="4" w:space="0" w:color="8ED973"/>
              <w:left w:val="nil"/>
              <w:bottom w:val="single" w:sz="4" w:space="0" w:color="8ED973"/>
              <w:right w:val="nil"/>
            </w:tcBorders>
            <w:shd w:val="clear" w:color="DAF2D0" w:fill="DAF2D0"/>
            <w:noWrap/>
            <w:vAlign w:val="bottom"/>
            <w:hideMark/>
          </w:tcPr>
          <w:p w14:paraId="096B147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w:t>
            </w:r>
          </w:p>
        </w:tc>
        <w:tc>
          <w:tcPr>
            <w:tcW w:w="663" w:type="dxa"/>
            <w:tcBorders>
              <w:top w:val="single" w:sz="4" w:space="0" w:color="8ED973"/>
              <w:left w:val="nil"/>
              <w:bottom w:val="single" w:sz="4" w:space="0" w:color="8ED973"/>
              <w:right w:val="nil"/>
            </w:tcBorders>
            <w:shd w:val="clear" w:color="DAF2D0" w:fill="DAF2D0"/>
            <w:noWrap/>
            <w:vAlign w:val="bottom"/>
            <w:hideMark/>
          </w:tcPr>
          <w:p w14:paraId="6BFD5FD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1.06</w:t>
            </w:r>
          </w:p>
        </w:tc>
        <w:tc>
          <w:tcPr>
            <w:tcW w:w="663" w:type="dxa"/>
            <w:tcBorders>
              <w:top w:val="single" w:sz="4" w:space="0" w:color="8ED973"/>
              <w:left w:val="nil"/>
              <w:bottom w:val="single" w:sz="4" w:space="0" w:color="8ED973"/>
              <w:right w:val="nil"/>
            </w:tcBorders>
            <w:shd w:val="clear" w:color="DAF2D0" w:fill="DAF2D0"/>
            <w:noWrap/>
            <w:vAlign w:val="bottom"/>
            <w:hideMark/>
          </w:tcPr>
          <w:p w14:paraId="72538F6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1.12</w:t>
            </w:r>
          </w:p>
        </w:tc>
        <w:tc>
          <w:tcPr>
            <w:tcW w:w="663" w:type="dxa"/>
            <w:tcBorders>
              <w:top w:val="single" w:sz="4" w:space="0" w:color="8ED973"/>
              <w:left w:val="nil"/>
              <w:bottom w:val="single" w:sz="4" w:space="0" w:color="8ED973"/>
              <w:right w:val="nil"/>
            </w:tcBorders>
            <w:shd w:val="clear" w:color="DAF2D0" w:fill="DAF2D0"/>
            <w:noWrap/>
            <w:vAlign w:val="bottom"/>
            <w:hideMark/>
          </w:tcPr>
          <w:p w14:paraId="0AB2496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1.08</w:t>
            </w:r>
          </w:p>
        </w:tc>
        <w:tc>
          <w:tcPr>
            <w:tcW w:w="663" w:type="dxa"/>
            <w:tcBorders>
              <w:top w:val="single" w:sz="4" w:space="0" w:color="8ED973"/>
              <w:left w:val="nil"/>
              <w:bottom w:val="single" w:sz="4" w:space="0" w:color="8ED973"/>
              <w:right w:val="nil"/>
            </w:tcBorders>
            <w:shd w:val="clear" w:color="DAF2D0" w:fill="DAF2D0"/>
            <w:noWrap/>
            <w:vAlign w:val="bottom"/>
            <w:hideMark/>
          </w:tcPr>
          <w:p w14:paraId="74B6B12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1.01</w:t>
            </w:r>
          </w:p>
        </w:tc>
      </w:tr>
      <w:tr w:rsidR="00231C46" w:rsidRPr="00231C46" w14:paraId="5B218739"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A28BB43"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Salt River Project Agricultural Improvement and Power District</w:t>
            </w:r>
          </w:p>
        </w:tc>
        <w:tc>
          <w:tcPr>
            <w:tcW w:w="669" w:type="dxa"/>
            <w:tcBorders>
              <w:top w:val="single" w:sz="4" w:space="0" w:color="8ED973"/>
              <w:left w:val="nil"/>
              <w:bottom w:val="single" w:sz="4" w:space="0" w:color="8ED973"/>
              <w:right w:val="nil"/>
            </w:tcBorders>
            <w:shd w:val="clear" w:color="auto" w:fill="auto"/>
            <w:noWrap/>
            <w:vAlign w:val="bottom"/>
            <w:hideMark/>
          </w:tcPr>
          <w:p w14:paraId="07A503F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1.04</w:t>
            </w:r>
          </w:p>
        </w:tc>
        <w:tc>
          <w:tcPr>
            <w:tcW w:w="663" w:type="dxa"/>
            <w:tcBorders>
              <w:top w:val="single" w:sz="4" w:space="0" w:color="8ED973"/>
              <w:left w:val="nil"/>
              <w:bottom w:val="single" w:sz="4" w:space="0" w:color="8ED973"/>
              <w:right w:val="nil"/>
            </w:tcBorders>
            <w:shd w:val="clear" w:color="auto" w:fill="auto"/>
            <w:noWrap/>
            <w:vAlign w:val="bottom"/>
            <w:hideMark/>
          </w:tcPr>
          <w:p w14:paraId="6095A95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0.98</w:t>
            </w:r>
          </w:p>
        </w:tc>
        <w:tc>
          <w:tcPr>
            <w:tcW w:w="663" w:type="dxa"/>
            <w:tcBorders>
              <w:top w:val="single" w:sz="4" w:space="0" w:color="8ED973"/>
              <w:left w:val="nil"/>
              <w:bottom w:val="single" w:sz="4" w:space="0" w:color="8ED973"/>
              <w:right w:val="nil"/>
            </w:tcBorders>
            <w:shd w:val="clear" w:color="auto" w:fill="auto"/>
            <w:noWrap/>
            <w:vAlign w:val="bottom"/>
            <w:hideMark/>
          </w:tcPr>
          <w:p w14:paraId="688E588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0.95</w:t>
            </w:r>
          </w:p>
        </w:tc>
        <w:tc>
          <w:tcPr>
            <w:tcW w:w="663" w:type="dxa"/>
            <w:tcBorders>
              <w:top w:val="single" w:sz="4" w:space="0" w:color="8ED973"/>
              <w:left w:val="nil"/>
              <w:bottom w:val="single" w:sz="4" w:space="0" w:color="8ED973"/>
              <w:right w:val="nil"/>
            </w:tcBorders>
            <w:shd w:val="clear" w:color="auto" w:fill="auto"/>
            <w:noWrap/>
            <w:vAlign w:val="bottom"/>
            <w:hideMark/>
          </w:tcPr>
          <w:p w14:paraId="37E8134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0.92</w:t>
            </w:r>
          </w:p>
        </w:tc>
        <w:tc>
          <w:tcPr>
            <w:tcW w:w="663" w:type="dxa"/>
            <w:tcBorders>
              <w:top w:val="single" w:sz="4" w:space="0" w:color="8ED973"/>
              <w:left w:val="nil"/>
              <w:bottom w:val="single" w:sz="4" w:space="0" w:color="8ED973"/>
              <w:right w:val="nil"/>
            </w:tcBorders>
            <w:shd w:val="clear" w:color="auto" w:fill="auto"/>
            <w:noWrap/>
            <w:vAlign w:val="bottom"/>
            <w:hideMark/>
          </w:tcPr>
          <w:p w14:paraId="5D3886D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0.66</w:t>
            </w:r>
          </w:p>
        </w:tc>
        <w:tc>
          <w:tcPr>
            <w:tcW w:w="663" w:type="dxa"/>
            <w:tcBorders>
              <w:top w:val="single" w:sz="4" w:space="0" w:color="8ED973"/>
              <w:left w:val="nil"/>
              <w:bottom w:val="single" w:sz="4" w:space="0" w:color="8ED973"/>
              <w:right w:val="nil"/>
            </w:tcBorders>
            <w:shd w:val="clear" w:color="auto" w:fill="auto"/>
            <w:noWrap/>
            <w:vAlign w:val="bottom"/>
            <w:hideMark/>
          </w:tcPr>
          <w:p w14:paraId="5C9B116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0.49</w:t>
            </w:r>
          </w:p>
        </w:tc>
        <w:tc>
          <w:tcPr>
            <w:tcW w:w="663" w:type="dxa"/>
            <w:tcBorders>
              <w:top w:val="single" w:sz="4" w:space="0" w:color="8ED973"/>
              <w:left w:val="nil"/>
              <w:bottom w:val="single" w:sz="4" w:space="0" w:color="8ED973"/>
              <w:right w:val="nil"/>
            </w:tcBorders>
            <w:shd w:val="clear" w:color="auto" w:fill="auto"/>
            <w:noWrap/>
            <w:vAlign w:val="bottom"/>
            <w:hideMark/>
          </w:tcPr>
          <w:p w14:paraId="43F8321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w:t>
            </w:r>
          </w:p>
        </w:tc>
        <w:tc>
          <w:tcPr>
            <w:tcW w:w="663" w:type="dxa"/>
            <w:tcBorders>
              <w:top w:val="single" w:sz="4" w:space="0" w:color="8ED973"/>
              <w:left w:val="nil"/>
              <w:bottom w:val="single" w:sz="4" w:space="0" w:color="8ED973"/>
              <w:right w:val="nil"/>
            </w:tcBorders>
            <w:shd w:val="clear" w:color="auto" w:fill="auto"/>
            <w:noWrap/>
            <w:vAlign w:val="bottom"/>
            <w:hideMark/>
          </w:tcPr>
          <w:p w14:paraId="23A6EF6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w:t>
            </w:r>
          </w:p>
        </w:tc>
        <w:tc>
          <w:tcPr>
            <w:tcW w:w="663" w:type="dxa"/>
            <w:tcBorders>
              <w:top w:val="single" w:sz="4" w:space="0" w:color="8ED973"/>
              <w:left w:val="nil"/>
              <w:bottom w:val="single" w:sz="4" w:space="0" w:color="8ED973"/>
              <w:right w:val="nil"/>
            </w:tcBorders>
            <w:shd w:val="clear" w:color="auto" w:fill="auto"/>
            <w:noWrap/>
            <w:vAlign w:val="bottom"/>
            <w:hideMark/>
          </w:tcPr>
          <w:p w14:paraId="563C1C9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1.1</w:t>
            </w:r>
          </w:p>
        </w:tc>
      </w:tr>
      <w:tr w:rsidR="00231C46" w:rsidRPr="00231C46" w14:paraId="76D401B6"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04D82A7"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Arizona Public Service Company</w:t>
            </w:r>
          </w:p>
        </w:tc>
        <w:tc>
          <w:tcPr>
            <w:tcW w:w="669" w:type="dxa"/>
            <w:tcBorders>
              <w:top w:val="single" w:sz="4" w:space="0" w:color="8ED973"/>
              <w:left w:val="nil"/>
              <w:bottom w:val="single" w:sz="4" w:space="0" w:color="8ED973"/>
              <w:right w:val="nil"/>
            </w:tcBorders>
            <w:shd w:val="clear" w:color="DAF2D0" w:fill="DAF2D0"/>
            <w:noWrap/>
            <w:vAlign w:val="bottom"/>
            <w:hideMark/>
          </w:tcPr>
          <w:p w14:paraId="289A1E8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0.96</w:t>
            </w:r>
          </w:p>
        </w:tc>
        <w:tc>
          <w:tcPr>
            <w:tcW w:w="663" w:type="dxa"/>
            <w:tcBorders>
              <w:top w:val="single" w:sz="4" w:space="0" w:color="8ED973"/>
              <w:left w:val="nil"/>
              <w:bottom w:val="single" w:sz="4" w:space="0" w:color="8ED973"/>
              <w:right w:val="nil"/>
            </w:tcBorders>
            <w:shd w:val="clear" w:color="DAF2D0" w:fill="DAF2D0"/>
            <w:noWrap/>
            <w:vAlign w:val="bottom"/>
            <w:hideMark/>
          </w:tcPr>
          <w:p w14:paraId="3B92F7E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0.84</w:t>
            </w:r>
          </w:p>
        </w:tc>
        <w:tc>
          <w:tcPr>
            <w:tcW w:w="663" w:type="dxa"/>
            <w:tcBorders>
              <w:top w:val="single" w:sz="4" w:space="0" w:color="8ED973"/>
              <w:left w:val="nil"/>
              <w:bottom w:val="single" w:sz="4" w:space="0" w:color="8ED973"/>
              <w:right w:val="nil"/>
            </w:tcBorders>
            <w:shd w:val="clear" w:color="DAF2D0" w:fill="DAF2D0"/>
            <w:noWrap/>
            <w:vAlign w:val="bottom"/>
            <w:hideMark/>
          </w:tcPr>
          <w:p w14:paraId="103DAD0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0.85</w:t>
            </w:r>
          </w:p>
        </w:tc>
        <w:tc>
          <w:tcPr>
            <w:tcW w:w="663" w:type="dxa"/>
            <w:tcBorders>
              <w:top w:val="single" w:sz="4" w:space="0" w:color="8ED973"/>
              <w:left w:val="nil"/>
              <w:bottom w:val="single" w:sz="4" w:space="0" w:color="8ED973"/>
              <w:right w:val="nil"/>
            </w:tcBorders>
            <w:shd w:val="clear" w:color="DAF2D0" w:fill="DAF2D0"/>
            <w:noWrap/>
            <w:vAlign w:val="bottom"/>
            <w:hideMark/>
          </w:tcPr>
          <w:p w14:paraId="29243B1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0.84</w:t>
            </w:r>
          </w:p>
        </w:tc>
        <w:tc>
          <w:tcPr>
            <w:tcW w:w="663" w:type="dxa"/>
            <w:tcBorders>
              <w:top w:val="single" w:sz="4" w:space="0" w:color="8ED973"/>
              <w:left w:val="nil"/>
              <w:bottom w:val="single" w:sz="4" w:space="0" w:color="8ED973"/>
              <w:right w:val="nil"/>
            </w:tcBorders>
            <w:shd w:val="clear" w:color="DAF2D0" w:fill="DAF2D0"/>
            <w:noWrap/>
            <w:vAlign w:val="bottom"/>
            <w:hideMark/>
          </w:tcPr>
          <w:p w14:paraId="6DFBAEC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0.64</w:t>
            </w:r>
          </w:p>
        </w:tc>
        <w:tc>
          <w:tcPr>
            <w:tcW w:w="663" w:type="dxa"/>
            <w:tcBorders>
              <w:top w:val="single" w:sz="4" w:space="0" w:color="8ED973"/>
              <w:left w:val="nil"/>
              <w:bottom w:val="single" w:sz="4" w:space="0" w:color="8ED973"/>
              <w:right w:val="nil"/>
            </w:tcBorders>
            <w:shd w:val="clear" w:color="DAF2D0" w:fill="DAF2D0"/>
            <w:noWrap/>
            <w:vAlign w:val="bottom"/>
            <w:hideMark/>
          </w:tcPr>
          <w:p w14:paraId="6B6C144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0.78</w:t>
            </w:r>
          </w:p>
        </w:tc>
        <w:tc>
          <w:tcPr>
            <w:tcW w:w="663" w:type="dxa"/>
            <w:tcBorders>
              <w:top w:val="single" w:sz="4" w:space="0" w:color="8ED973"/>
              <w:left w:val="nil"/>
              <w:bottom w:val="single" w:sz="4" w:space="0" w:color="8ED973"/>
              <w:right w:val="nil"/>
            </w:tcBorders>
            <w:shd w:val="clear" w:color="DAF2D0" w:fill="DAF2D0"/>
            <w:noWrap/>
            <w:vAlign w:val="bottom"/>
            <w:hideMark/>
          </w:tcPr>
          <w:p w14:paraId="2C53C74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c>
          <w:tcPr>
            <w:tcW w:w="663" w:type="dxa"/>
            <w:tcBorders>
              <w:top w:val="single" w:sz="4" w:space="0" w:color="8ED973"/>
              <w:left w:val="nil"/>
              <w:bottom w:val="single" w:sz="4" w:space="0" w:color="8ED973"/>
              <w:right w:val="nil"/>
            </w:tcBorders>
            <w:shd w:val="clear" w:color="DAF2D0" w:fill="DAF2D0"/>
            <w:noWrap/>
            <w:vAlign w:val="bottom"/>
            <w:hideMark/>
          </w:tcPr>
          <w:p w14:paraId="2510F1F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0.55</w:t>
            </w:r>
          </w:p>
        </w:tc>
        <w:tc>
          <w:tcPr>
            <w:tcW w:w="663" w:type="dxa"/>
            <w:tcBorders>
              <w:top w:val="single" w:sz="4" w:space="0" w:color="8ED973"/>
              <w:left w:val="nil"/>
              <w:bottom w:val="single" w:sz="4" w:space="0" w:color="8ED973"/>
              <w:right w:val="nil"/>
            </w:tcBorders>
            <w:shd w:val="clear" w:color="DAF2D0" w:fill="DAF2D0"/>
            <w:noWrap/>
            <w:vAlign w:val="bottom"/>
            <w:hideMark/>
          </w:tcPr>
          <w:p w14:paraId="1620792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r>
      <w:tr w:rsidR="00231C46" w:rsidRPr="00231C46" w14:paraId="5845C2BF"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3E52A6B1"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South Carolina Public Service Authority</w:t>
            </w:r>
          </w:p>
        </w:tc>
        <w:tc>
          <w:tcPr>
            <w:tcW w:w="669" w:type="dxa"/>
            <w:tcBorders>
              <w:top w:val="single" w:sz="4" w:space="0" w:color="8ED973"/>
              <w:left w:val="nil"/>
              <w:bottom w:val="single" w:sz="4" w:space="0" w:color="8ED973"/>
              <w:right w:val="nil"/>
            </w:tcBorders>
            <w:shd w:val="clear" w:color="auto" w:fill="auto"/>
            <w:noWrap/>
            <w:vAlign w:val="bottom"/>
            <w:hideMark/>
          </w:tcPr>
          <w:p w14:paraId="03D1ACA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0.93</w:t>
            </w:r>
          </w:p>
        </w:tc>
        <w:tc>
          <w:tcPr>
            <w:tcW w:w="663" w:type="dxa"/>
            <w:tcBorders>
              <w:top w:val="single" w:sz="4" w:space="0" w:color="8ED973"/>
              <w:left w:val="nil"/>
              <w:bottom w:val="single" w:sz="4" w:space="0" w:color="8ED973"/>
              <w:right w:val="nil"/>
            </w:tcBorders>
            <w:shd w:val="clear" w:color="auto" w:fill="auto"/>
            <w:noWrap/>
            <w:vAlign w:val="bottom"/>
            <w:hideMark/>
          </w:tcPr>
          <w:p w14:paraId="1DD8EF5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0.84</w:t>
            </w:r>
          </w:p>
        </w:tc>
        <w:tc>
          <w:tcPr>
            <w:tcW w:w="663" w:type="dxa"/>
            <w:tcBorders>
              <w:top w:val="single" w:sz="4" w:space="0" w:color="8ED973"/>
              <w:left w:val="nil"/>
              <w:bottom w:val="single" w:sz="4" w:space="0" w:color="8ED973"/>
              <w:right w:val="nil"/>
            </w:tcBorders>
            <w:shd w:val="clear" w:color="auto" w:fill="auto"/>
            <w:noWrap/>
            <w:vAlign w:val="bottom"/>
            <w:hideMark/>
          </w:tcPr>
          <w:p w14:paraId="2662955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0.92</w:t>
            </w:r>
          </w:p>
        </w:tc>
        <w:tc>
          <w:tcPr>
            <w:tcW w:w="663" w:type="dxa"/>
            <w:tcBorders>
              <w:top w:val="single" w:sz="4" w:space="0" w:color="8ED973"/>
              <w:left w:val="nil"/>
              <w:bottom w:val="single" w:sz="4" w:space="0" w:color="8ED973"/>
              <w:right w:val="nil"/>
            </w:tcBorders>
            <w:shd w:val="clear" w:color="auto" w:fill="auto"/>
            <w:noWrap/>
            <w:vAlign w:val="bottom"/>
            <w:hideMark/>
          </w:tcPr>
          <w:p w14:paraId="2F077E4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0.88</w:t>
            </w:r>
          </w:p>
        </w:tc>
        <w:tc>
          <w:tcPr>
            <w:tcW w:w="663" w:type="dxa"/>
            <w:tcBorders>
              <w:top w:val="single" w:sz="4" w:space="0" w:color="8ED973"/>
              <w:left w:val="nil"/>
              <w:bottom w:val="single" w:sz="4" w:space="0" w:color="8ED973"/>
              <w:right w:val="nil"/>
            </w:tcBorders>
            <w:shd w:val="clear" w:color="auto" w:fill="auto"/>
            <w:noWrap/>
            <w:vAlign w:val="bottom"/>
            <w:hideMark/>
          </w:tcPr>
          <w:p w14:paraId="4D8322B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1.01</w:t>
            </w:r>
          </w:p>
        </w:tc>
        <w:tc>
          <w:tcPr>
            <w:tcW w:w="663" w:type="dxa"/>
            <w:tcBorders>
              <w:top w:val="single" w:sz="4" w:space="0" w:color="8ED973"/>
              <w:left w:val="nil"/>
              <w:bottom w:val="single" w:sz="4" w:space="0" w:color="8ED973"/>
              <w:right w:val="nil"/>
            </w:tcBorders>
            <w:shd w:val="clear" w:color="auto" w:fill="auto"/>
            <w:noWrap/>
            <w:vAlign w:val="bottom"/>
            <w:hideMark/>
          </w:tcPr>
          <w:p w14:paraId="3AD7623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1.01</w:t>
            </w:r>
          </w:p>
        </w:tc>
        <w:tc>
          <w:tcPr>
            <w:tcW w:w="663" w:type="dxa"/>
            <w:tcBorders>
              <w:top w:val="single" w:sz="4" w:space="0" w:color="8ED973"/>
              <w:left w:val="nil"/>
              <w:bottom w:val="single" w:sz="4" w:space="0" w:color="8ED973"/>
              <w:right w:val="nil"/>
            </w:tcBorders>
            <w:shd w:val="clear" w:color="auto" w:fill="auto"/>
            <w:noWrap/>
            <w:vAlign w:val="bottom"/>
            <w:hideMark/>
          </w:tcPr>
          <w:p w14:paraId="73DF46A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0.93</w:t>
            </w:r>
          </w:p>
        </w:tc>
        <w:tc>
          <w:tcPr>
            <w:tcW w:w="663" w:type="dxa"/>
            <w:tcBorders>
              <w:top w:val="single" w:sz="4" w:space="0" w:color="8ED973"/>
              <w:left w:val="nil"/>
              <w:bottom w:val="single" w:sz="4" w:space="0" w:color="8ED973"/>
              <w:right w:val="nil"/>
            </w:tcBorders>
            <w:shd w:val="clear" w:color="auto" w:fill="auto"/>
            <w:noWrap/>
            <w:vAlign w:val="bottom"/>
            <w:hideMark/>
          </w:tcPr>
          <w:p w14:paraId="57A70FE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0.94</w:t>
            </w:r>
          </w:p>
        </w:tc>
        <w:tc>
          <w:tcPr>
            <w:tcW w:w="663" w:type="dxa"/>
            <w:tcBorders>
              <w:top w:val="single" w:sz="4" w:space="0" w:color="8ED973"/>
              <w:left w:val="nil"/>
              <w:bottom w:val="single" w:sz="4" w:space="0" w:color="8ED973"/>
              <w:right w:val="nil"/>
            </w:tcBorders>
            <w:shd w:val="clear" w:color="auto" w:fill="auto"/>
            <w:noWrap/>
            <w:vAlign w:val="bottom"/>
            <w:hideMark/>
          </w:tcPr>
          <w:p w14:paraId="3F19B51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0.88</w:t>
            </w:r>
          </w:p>
        </w:tc>
      </w:tr>
      <w:tr w:rsidR="00231C46" w:rsidRPr="00231C46" w14:paraId="14A81980"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74CEF7C"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Public Service Company of New Mexico</w:t>
            </w:r>
          </w:p>
        </w:tc>
        <w:tc>
          <w:tcPr>
            <w:tcW w:w="669" w:type="dxa"/>
            <w:tcBorders>
              <w:top w:val="single" w:sz="4" w:space="0" w:color="8ED973"/>
              <w:left w:val="nil"/>
              <w:bottom w:val="single" w:sz="4" w:space="0" w:color="8ED973"/>
              <w:right w:val="nil"/>
            </w:tcBorders>
            <w:shd w:val="clear" w:color="DAF2D0" w:fill="DAF2D0"/>
            <w:noWrap/>
            <w:vAlign w:val="bottom"/>
            <w:hideMark/>
          </w:tcPr>
          <w:p w14:paraId="2D8C103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0.86</w:t>
            </w:r>
          </w:p>
        </w:tc>
        <w:tc>
          <w:tcPr>
            <w:tcW w:w="663" w:type="dxa"/>
            <w:tcBorders>
              <w:top w:val="single" w:sz="4" w:space="0" w:color="8ED973"/>
              <w:left w:val="nil"/>
              <w:bottom w:val="single" w:sz="4" w:space="0" w:color="8ED973"/>
              <w:right w:val="nil"/>
            </w:tcBorders>
            <w:shd w:val="clear" w:color="DAF2D0" w:fill="DAF2D0"/>
            <w:noWrap/>
            <w:vAlign w:val="bottom"/>
            <w:hideMark/>
          </w:tcPr>
          <w:p w14:paraId="7156A8E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0.55</w:t>
            </w:r>
          </w:p>
        </w:tc>
        <w:tc>
          <w:tcPr>
            <w:tcW w:w="663" w:type="dxa"/>
            <w:tcBorders>
              <w:top w:val="single" w:sz="4" w:space="0" w:color="8ED973"/>
              <w:left w:val="nil"/>
              <w:bottom w:val="single" w:sz="4" w:space="0" w:color="8ED973"/>
              <w:right w:val="nil"/>
            </w:tcBorders>
            <w:shd w:val="clear" w:color="DAF2D0" w:fill="DAF2D0"/>
            <w:noWrap/>
            <w:vAlign w:val="bottom"/>
            <w:hideMark/>
          </w:tcPr>
          <w:p w14:paraId="2499A19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0.69</w:t>
            </w:r>
          </w:p>
        </w:tc>
        <w:tc>
          <w:tcPr>
            <w:tcW w:w="663" w:type="dxa"/>
            <w:tcBorders>
              <w:top w:val="single" w:sz="4" w:space="0" w:color="8ED973"/>
              <w:left w:val="nil"/>
              <w:bottom w:val="single" w:sz="4" w:space="0" w:color="8ED973"/>
              <w:right w:val="nil"/>
            </w:tcBorders>
            <w:shd w:val="clear" w:color="DAF2D0" w:fill="DAF2D0"/>
            <w:noWrap/>
            <w:vAlign w:val="bottom"/>
            <w:hideMark/>
          </w:tcPr>
          <w:p w14:paraId="34D926C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0.91</w:t>
            </w:r>
          </w:p>
        </w:tc>
        <w:tc>
          <w:tcPr>
            <w:tcW w:w="663" w:type="dxa"/>
            <w:tcBorders>
              <w:top w:val="single" w:sz="4" w:space="0" w:color="8ED973"/>
              <w:left w:val="nil"/>
              <w:bottom w:val="single" w:sz="4" w:space="0" w:color="8ED973"/>
              <w:right w:val="nil"/>
            </w:tcBorders>
            <w:shd w:val="clear" w:color="DAF2D0" w:fill="DAF2D0"/>
            <w:noWrap/>
            <w:vAlign w:val="bottom"/>
            <w:hideMark/>
          </w:tcPr>
          <w:p w14:paraId="09B0681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0.89</w:t>
            </w:r>
          </w:p>
        </w:tc>
        <w:tc>
          <w:tcPr>
            <w:tcW w:w="663" w:type="dxa"/>
            <w:tcBorders>
              <w:top w:val="single" w:sz="4" w:space="0" w:color="8ED973"/>
              <w:left w:val="nil"/>
              <w:bottom w:val="single" w:sz="4" w:space="0" w:color="8ED973"/>
              <w:right w:val="nil"/>
            </w:tcBorders>
            <w:shd w:val="clear" w:color="DAF2D0" w:fill="DAF2D0"/>
            <w:noWrap/>
            <w:vAlign w:val="bottom"/>
            <w:hideMark/>
          </w:tcPr>
          <w:p w14:paraId="4F9734F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0.88</w:t>
            </w:r>
          </w:p>
        </w:tc>
        <w:tc>
          <w:tcPr>
            <w:tcW w:w="663" w:type="dxa"/>
            <w:tcBorders>
              <w:top w:val="single" w:sz="4" w:space="0" w:color="8ED973"/>
              <w:left w:val="nil"/>
              <w:bottom w:val="single" w:sz="4" w:space="0" w:color="8ED973"/>
              <w:right w:val="nil"/>
            </w:tcBorders>
            <w:shd w:val="clear" w:color="DAF2D0" w:fill="DAF2D0"/>
            <w:noWrap/>
            <w:vAlign w:val="bottom"/>
            <w:hideMark/>
          </w:tcPr>
          <w:p w14:paraId="76D7E16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0.83</w:t>
            </w:r>
          </w:p>
        </w:tc>
        <w:tc>
          <w:tcPr>
            <w:tcW w:w="663" w:type="dxa"/>
            <w:tcBorders>
              <w:top w:val="single" w:sz="4" w:space="0" w:color="8ED973"/>
              <w:left w:val="nil"/>
              <w:bottom w:val="single" w:sz="4" w:space="0" w:color="8ED973"/>
              <w:right w:val="nil"/>
            </w:tcBorders>
            <w:shd w:val="clear" w:color="DAF2D0" w:fill="DAF2D0"/>
            <w:noWrap/>
            <w:vAlign w:val="bottom"/>
            <w:hideMark/>
          </w:tcPr>
          <w:p w14:paraId="52EF78B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0.88</w:t>
            </w:r>
          </w:p>
        </w:tc>
        <w:tc>
          <w:tcPr>
            <w:tcW w:w="663" w:type="dxa"/>
            <w:tcBorders>
              <w:top w:val="single" w:sz="4" w:space="0" w:color="8ED973"/>
              <w:left w:val="nil"/>
              <w:bottom w:val="single" w:sz="4" w:space="0" w:color="8ED973"/>
              <w:right w:val="nil"/>
            </w:tcBorders>
            <w:shd w:val="clear" w:color="DAF2D0" w:fill="DAF2D0"/>
            <w:noWrap/>
            <w:vAlign w:val="bottom"/>
            <w:hideMark/>
          </w:tcPr>
          <w:p w14:paraId="47F81E1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0.96</w:t>
            </w:r>
          </w:p>
        </w:tc>
      </w:tr>
      <w:tr w:rsidR="00231C46" w:rsidRPr="00231C46" w14:paraId="17CAFCFD"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FE70A9C"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California Independent System Operator</w:t>
            </w:r>
          </w:p>
        </w:tc>
        <w:tc>
          <w:tcPr>
            <w:tcW w:w="669" w:type="dxa"/>
            <w:tcBorders>
              <w:top w:val="single" w:sz="4" w:space="0" w:color="8ED973"/>
              <w:left w:val="nil"/>
              <w:bottom w:val="single" w:sz="4" w:space="0" w:color="8ED973"/>
              <w:right w:val="nil"/>
            </w:tcBorders>
            <w:shd w:val="clear" w:color="auto" w:fill="auto"/>
            <w:noWrap/>
            <w:vAlign w:val="bottom"/>
            <w:hideMark/>
          </w:tcPr>
          <w:p w14:paraId="2D8EC49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0.84</w:t>
            </w:r>
          </w:p>
        </w:tc>
        <w:tc>
          <w:tcPr>
            <w:tcW w:w="663" w:type="dxa"/>
            <w:tcBorders>
              <w:top w:val="single" w:sz="4" w:space="0" w:color="8ED973"/>
              <w:left w:val="nil"/>
              <w:bottom w:val="single" w:sz="4" w:space="0" w:color="8ED973"/>
              <w:right w:val="nil"/>
            </w:tcBorders>
            <w:shd w:val="clear" w:color="auto" w:fill="auto"/>
            <w:noWrap/>
            <w:vAlign w:val="bottom"/>
            <w:hideMark/>
          </w:tcPr>
          <w:p w14:paraId="591968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0.86</w:t>
            </w:r>
          </w:p>
        </w:tc>
        <w:tc>
          <w:tcPr>
            <w:tcW w:w="663" w:type="dxa"/>
            <w:tcBorders>
              <w:top w:val="single" w:sz="4" w:space="0" w:color="8ED973"/>
              <w:left w:val="nil"/>
              <w:bottom w:val="single" w:sz="4" w:space="0" w:color="8ED973"/>
              <w:right w:val="nil"/>
            </w:tcBorders>
            <w:shd w:val="clear" w:color="auto" w:fill="auto"/>
            <w:noWrap/>
            <w:vAlign w:val="bottom"/>
            <w:hideMark/>
          </w:tcPr>
          <w:p w14:paraId="3ECB739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0.83</w:t>
            </w:r>
          </w:p>
        </w:tc>
        <w:tc>
          <w:tcPr>
            <w:tcW w:w="663" w:type="dxa"/>
            <w:tcBorders>
              <w:top w:val="single" w:sz="4" w:space="0" w:color="8ED973"/>
              <w:left w:val="nil"/>
              <w:bottom w:val="single" w:sz="4" w:space="0" w:color="8ED973"/>
              <w:right w:val="nil"/>
            </w:tcBorders>
            <w:shd w:val="clear" w:color="auto" w:fill="auto"/>
            <w:noWrap/>
            <w:vAlign w:val="bottom"/>
            <w:hideMark/>
          </w:tcPr>
          <w:p w14:paraId="1E1EF17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0.85</w:t>
            </w:r>
          </w:p>
        </w:tc>
        <w:tc>
          <w:tcPr>
            <w:tcW w:w="663" w:type="dxa"/>
            <w:tcBorders>
              <w:top w:val="single" w:sz="4" w:space="0" w:color="8ED973"/>
              <w:left w:val="nil"/>
              <w:bottom w:val="single" w:sz="4" w:space="0" w:color="8ED973"/>
              <w:right w:val="nil"/>
            </w:tcBorders>
            <w:shd w:val="clear" w:color="auto" w:fill="auto"/>
            <w:noWrap/>
            <w:vAlign w:val="bottom"/>
            <w:hideMark/>
          </w:tcPr>
          <w:p w14:paraId="2422ABF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0.82</w:t>
            </w:r>
          </w:p>
        </w:tc>
        <w:tc>
          <w:tcPr>
            <w:tcW w:w="663" w:type="dxa"/>
            <w:tcBorders>
              <w:top w:val="single" w:sz="4" w:space="0" w:color="8ED973"/>
              <w:left w:val="nil"/>
              <w:bottom w:val="single" w:sz="4" w:space="0" w:color="8ED973"/>
              <w:right w:val="nil"/>
            </w:tcBorders>
            <w:shd w:val="clear" w:color="auto" w:fill="auto"/>
            <w:noWrap/>
            <w:vAlign w:val="bottom"/>
            <w:hideMark/>
          </w:tcPr>
          <w:p w14:paraId="612AEF2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0.89</w:t>
            </w:r>
          </w:p>
        </w:tc>
        <w:tc>
          <w:tcPr>
            <w:tcW w:w="663" w:type="dxa"/>
            <w:tcBorders>
              <w:top w:val="single" w:sz="4" w:space="0" w:color="8ED973"/>
              <w:left w:val="nil"/>
              <w:bottom w:val="single" w:sz="4" w:space="0" w:color="8ED973"/>
              <w:right w:val="nil"/>
            </w:tcBorders>
            <w:shd w:val="clear" w:color="auto" w:fill="auto"/>
            <w:noWrap/>
            <w:vAlign w:val="bottom"/>
            <w:hideMark/>
          </w:tcPr>
          <w:p w14:paraId="47248FC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0.86</w:t>
            </w:r>
          </w:p>
        </w:tc>
        <w:tc>
          <w:tcPr>
            <w:tcW w:w="663" w:type="dxa"/>
            <w:tcBorders>
              <w:top w:val="single" w:sz="4" w:space="0" w:color="8ED973"/>
              <w:left w:val="nil"/>
              <w:bottom w:val="single" w:sz="4" w:space="0" w:color="8ED973"/>
              <w:right w:val="nil"/>
            </w:tcBorders>
            <w:shd w:val="clear" w:color="auto" w:fill="auto"/>
            <w:noWrap/>
            <w:vAlign w:val="bottom"/>
            <w:hideMark/>
          </w:tcPr>
          <w:p w14:paraId="60AC36A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0.81</w:t>
            </w:r>
          </w:p>
        </w:tc>
        <w:tc>
          <w:tcPr>
            <w:tcW w:w="663" w:type="dxa"/>
            <w:tcBorders>
              <w:top w:val="single" w:sz="4" w:space="0" w:color="8ED973"/>
              <w:left w:val="nil"/>
              <w:bottom w:val="single" w:sz="4" w:space="0" w:color="8ED973"/>
              <w:right w:val="nil"/>
            </w:tcBorders>
            <w:shd w:val="clear" w:color="auto" w:fill="auto"/>
            <w:noWrap/>
            <w:vAlign w:val="bottom"/>
            <w:hideMark/>
          </w:tcPr>
          <w:p w14:paraId="49BAA14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0.64</w:t>
            </w:r>
          </w:p>
        </w:tc>
      </w:tr>
      <w:tr w:rsidR="00231C46" w:rsidRPr="00231C46" w14:paraId="7749B684"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61582C9B"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Duke Energy Florida, Inc.</w:t>
            </w:r>
          </w:p>
        </w:tc>
        <w:tc>
          <w:tcPr>
            <w:tcW w:w="669" w:type="dxa"/>
            <w:tcBorders>
              <w:top w:val="single" w:sz="4" w:space="0" w:color="8ED973"/>
              <w:left w:val="nil"/>
              <w:bottom w:val="single" w:sz="4" w:space="0" w:color="8ED973"/>
              <w:right w:val="nil"/>
            </w:tcBorders>
            <w:shd w:val="clear" w:color="DAF2D0" w:fill="DAF2D0"/>
            <w:noWrap/>
            <w:vAlign w:val="bottom"/>
            <w:hideMark/>
          </w:tcPr>
          <w:p w14:paraId="0EB4271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w:t>
            </w:r>
          </w:p>
        </w:tc>
        <w:tc>
          <w:tcPr>
            <w:tcW w:w="663" w:type="dxa"/>
            <w:tcBorders>
              <w:top w:val="single" w:sz="4" w:space="0" w:color="8ED973"/>
              <w:left w:val="nil"/>
              <w:bottom w:val="single" w:sz="4" w:space="0" w:color="8ED973"/>
              <w:right w:val="nil"/>
            </w:tcBorders>
            <w:shd w:val="clear" w:color="DAF2D0" w:fill="DAF2D0"/>
            <w:noWrap/>
            <w:vAlign w:val="bottom"/>
            <w:hideMark/>
          </w:tcPr>
          <w:p w14:paraId="304BEBE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0.81</w:t>
            </w:r>
          </w:p>
        </w:tc>
        <w:tc>
          <w:tcPr>
            <w:tcW w:w="663" w:type="dxa"/>
            <w:tcBorders>
              <w:top w:val="single" w:sz="4" w:space="0" w:color="8ED973"/>
              <w:left w:val="nil"/>
              <w:bottom w:val="single" w:sz="4" w:space="0" w:color="8ED973"/>
              <w:right w:val="nil"/>
            </w:tcBorders>
            <w:shd w:val="clear" w:color="DAF2D0" w:fill="DAF2D0"/>
            <w:noWrap/>
            <w:vAlign w:val="bottom"/>
            <w:hideMark/>
          </w:tcPr>
          <w:p w14:paraId="6BA5DB4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0.84</w:t>
            </w:r>
          </w:p>
        </w:tc>
        <w:tc>
          <w:tcPr>
            <w:tcW w:w="663" w:type="dxa"/>
            <w:tcBorders>
              <w:top w:val="single" w:sz="4" w:space="0" w:color="8ED973"/>
              <w:left w:val="nil"/>
              <w:bottom w:val="single" w:sz="4" w:space="0" w:color="8ED973"/>
              <w:right w:val="nil"/>
            </w:tcBorders>
            <w:shd w:val="clear" w:color="DAF2D0" w:fill="DAF2D0"/>
            <w:noWrap/>
            <w:vAlign w:val="bottom"/>
            <w:hideMark/>
          </w:tcPr>
          <w:p w14:paraId="54D91A6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0.83</w:t>
            </w:r>
          </w:p>
        </w:tc>
        <w:tc>
          <w:tcPr>
            <w:tcW w:w="663" w:type="dxa"/>
            <w:tcBorders>
              <w:top w:val="single" w:sz="4" w:space="0" w:color="8ED973"/>
              <w:left w:val="nil"/>
              <w:bottom w:val="single" w:sz="4" w:space="0" w:color="8ED973"/>
              <w:right w:val="nil"/>
            </w:tcBorders>
            <w:shd w:val="clear" w:color="DAF2D0" w:fill="DAF2D0"/>
            <w:noWrap/>
            <w:vAlign w:val="bottom"/>
            <w:hideMark/>
          </w:tcPr>
          <w:p w14:paraId="27D636C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0.78</w:t>
            </w:r>
          </w:p>
        </w:tc>
        <w:tc>
          <w:tcPr>
            <w:tcW w:w="663" w:type="dxa"/>
            <w:tcBorders>
              <w:top w:val="single" w:sz="4" w:space="0" w:color="8ED973"/>
              <w:left w:val="nil"/>
              <w:bottom w:val="single" w:sz="4" w:space="0" w:color="8ED973"/>
              <w:right w:val="nil"/>
            </w:tcBorders>
            <w:shd w:val="clear" w:color="DAF2D0" w:fill="DAF2D0"/>
            <w:noWrap/>
            <w:vAlign w:val="bottom"/>
            <w:hideMark/>
          </w:tcPr>
          <w:p w14:paraId="6000894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0.79</w:t>
            </w:r>
          </w:p>
        </w:tc>
        <w:tc>
          <w:tcPr>
            <w:tcW w:w="663" w:type="dxa"/>
            <w:tcBorders>
              <w:top w:val="single" w:sz="4" w:space="0" w:color="8ED973"/>
              <w:left w:val="nil"/>
              <w:bottom w:val="single" w:sz="4" w:space="0" w:color="8ED973"/>
              <w:right w:val="nil"/>
            </w:tcBorders>
            <w:shd w:val="clear" w:color="DAF2D0" w:fill="DAF2D0"/>
            <w:noWrap/>
            <w:vAlign w:val="bottom"/>
            <w:hideMark/>
          </w:tcPr>
          <w:p w14:paraId="0F9FFF0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0.76</w:t>
            </w:r>
          </w:p>
        </w:tc>
        <w:tc>
          <w:tcPr>
            <w:tcW w:w="663" w:type="dxa"/>
            <w:tcBorders>
              <w:top w:val="single" w:sz="4" w:space="0" w:color="8ED973"/>
              <w:left w:val="nil"/>
              <w:bottom w:val="single" w:sz="4" w:space="0" w:color="8ED973"/>
              <w:right w:val="nil"/>
            </w:tcBorders>
            <w:shd w:val="clear" w:color="DAF2D0" w:fill="DAF2D0"/>
            <w:noWrap/>
            <w:vAlign w:val="bottom"/>
            <w:hideMark/>
          </w:tcPr>
          <w:p w14:paraId="08068D6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0.71</w:t>
            </w:r>
          </w:p>
        </w:tc>
        <w:tc>
          <w:tcPr>
            <w:tcW w:w="663" w:type="dxa"/>
            <w:tcBorders>
              <w:top w:val="single" w:sz="4" w:space="0" w:color="8ED973"/>
              <w:left w:val="nil"/>
              <w:bottom w:val="single" w:sz="4" w:space="0" w:color="8ED973"/>
              <w:right w:val="nil"/>
            </w:tcBorders>
            <w:shd w:val="clear" w:color="DAF2D0" w:fill="DAF2D0"/>
            <w:noWrap/>
            <w:vAlign w:val="bottom"/>
            <w:hideMark/>
          </w:tcPr>
          <w:p w14:paraId="7E6B593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0.79</w:t>
            </w:r>
          </w:p>
        </w:tc>
      </w:tr>
      <w:tr w:rsidR="00231C46" w:rsidRPr="00231C46" w14:paraId="7FAF9C7B"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1EBE0C2"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Nevada Power Company</w:t>
            </w:r>
          </w:p>
        </w:tc>
        <w:tc>
          <w:tcPr>
            <w:tcW w:w="669" w:type="dxa"/>
            <w:tcBorders>
              <w:top w:val="single" w:sz="4" w:space="0" w:color="8ED973"/>
              <w:left w:val="nil"/>
              <w:bottom w:val="single" w:sz="4" w:space="0" w:color="8ED973"/>
              <w:right w:val="nil"/>
            </w:tcBorders>
            <w:shd w:val="clear" w:color="auto" w:fill="auto"/>
            <w:noWrap/>
            <w:vAlign w:val="bottom"/>
            <w:hideMark/>
          </w:tcPr>
          <w:p w14:paraId="311A679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0.79</w:t>
            </w:r>
          </w:p>
        </w:tc>
        <w:tc>
          <w:tcPr>
            <w:tcW w:w="663" w:type="dxa"/>
            <w:tcBorders>
              <w:top w:val="single" w:sz="4" w:space="0" w:color="8ED973"/>
              <w:left w:val="nil"/>
              <w:bottom w:val="single" w:sz="4" w:space="0" w:color="8ED973"/>
              <w:right w:val="nil"/>
            </w:tcBorders>
            <w:shd w:val="clear" w:color="auto" w:fill="auto"/>
            <w:noWrap/>
            <w:vAlign w:val="bottom"/>
            <w:hideMark/>
          </w:tcPr>
          <w:p w14:paraId="5D04E20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0.73</w:t>
            </w:r>
          </w:p>
        </w:tc>
        <w:tc>
          <w:tcPr>
            <w:tcW w:w="663" w:type="dxa"/>
            <w:tcBorders>
              <w:top w:val="single" w:sz="4" w:space="0" w:color="8ED973"/>
              <w:left w:val="nil"/>
              <w:bottom w:val="single" w:sz="4" w:space="0" w:color="8ED973"/>
              <w:right w:val="nil"/>
            </w:tcBorders>
            <w:shd w:val="clear" w:color="auto" w:fill="auto"/>
            <w:noWrap/>
            <w:vAlign w:val="bottom"/>
            <w:hideMark/>
          </w:tcPr>
          <w:p w14:paraId="1F5FD5A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w:t>
            </w:r>
          </w:p>
        </w:tc>
        <w:tc>
          <w:tcPr>
            <w:tcW w:w="663" w:type="dxa"/>
            <w:tcBorders>
              <w:top w:val="single" w:sz="4" w:space="0" w:color="8ED973"/>
              <w:left w:val="nil"/>
              <w:bottom w:val="single" w:sz="4" w:space="0" w:color="8ED973"/>
              <w:right w:val="nil"/>
            </w:tcBorders>
            <w:shd w:val="clear" w:color="auto" w:fill="auto"/>
            <w:noWrap/>
            <w:vAlign w:val="bottom"/>
            <w:hideMark/>
          </w:tcPr>
          <w:p w14:paraId="3A950AF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0.74</w:t>
            </w:r>
          </w:p>
        </w:tc>
        <w:tc>
          <w:tcPr>
            <w:tcW w:w="663" w:type="dxa"/>
            <w:tcBorders>
              <w:top w:val="single" w:sz="4" w:space="0" w:color="8ED973"/>
              <w:left w:val="nil"/>
              <w:bottom w:val="single" w:sz="4" w:space="0" w:color="8ED973"/>
              <w:right w:val="nil"/>
            </w:tcBorders>
            <w:shd w:val="clear" w:color="auto" w:fill="auto"/>
            <w:noWrap/>
            <w:vAlign w:val="bottom"/>
            <w:hideMark/>
          </w:tcPr>
          <w:p w14:paraId="02D36E2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0.67</w:t>
            </w:r>
          </w:p>
        </w:tc>
        <w:tc>
          <w:tcPr>
            <w:tcW w:w="663" w:type="dxa"/>
            <w:tcBorders>
              <w:top w:val="single" w:sz="4" w:space="0" w:color="8ED973"/>
              <w:left w:val="nil"/>
              <w:bottom w:val="single" w:sz="4" w:space="0" w:color="8ED973"/>
              <w:right w:val="nil"/>
            </w:tcBorders>
            <w:shd w:val="clear" w:color="auto" w:fill="auto"/>
            <w:noWrap/>
            <w:vAlign w:val="bottom"/>
            <w:hideMark/>
          </w:tcPr>
          <w:p w14:paraId="043539F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0.79</w:t>
            </w:r>
          </w:p>
        </w:tc>
        <w:tc>
          <w:tcPr>
            <w:tcW w:w="663" w:type="dxa"/>
            <w:tcBorders>
              <w:top w:val="single" w:sz="4" w:space="0" w:color="8ED973"/>
              <w:left w:val="nil"/>
              <w:bottom w:val="single" w:sz="4" w:space="0" w:color="8ED973"/>
              <w:right w:val="nil"/>
            </w:tcBorders>
            <w:shd w:val="clear" w:color="auto" w:fill="auto"/>
            <w:noWrap/>
            <w:vAlign w:val="bottom"/>
            <w:hideMark/>
          </w:tcPr>
          <w:p w14:paraId="08FC846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0.85</w:t>
            </w:r>
          </w:p>
        </w:tc>
        <w:tc>
          <w:tcPr>
            <w:tcW w:w="663" w:type="dxa"/>
            <w:tcBorders>
              <w:top w:val="single" w:sz="4" w:space="0" w:color="8ED973"/>
              <w:left w:val="nil"/>
              <w:bottom w:val="single" w:sz="4" w:space="0" w:color="8ED973"/>
              <w:right w:val="nil"/>
            </w:tcBorders>
            <w:shd w:val="clear" w:color="auto" w:fill="auto"/>
            <w:noWrap/>
            <w:vAlign w:val="bottom"/>
            <w:hideMark/>
          </w:tcPr>
          <w:p w14:paraId="5A6F660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0.83</w:t>
            </w:r>
          </w:p>
        </w:tc>
        <w:tc>
          <w:tcPr>
            <w:tcW w:w="663" w:type="dxa"/>
            <w:tcBorders>
              <w:top w:val="single" w:sz="4" w:space="0" w:color="8ED973"/>
              <w:left w:val="nil"/>
              <w:bottom w:val="single" w:sz="4" w:space="0" w:color="8ED973"/>
              <w:right w:val="nil"/>
            </w:tcBorders>
            <w:shd w:val="clear" w:color="auto" w:fill="auto"/>
            <w:noWrap/>
            <w:vAlign w:val="bottom"/>
            <w:hideMark/>
          </w:tcPr>
          <w:p w14:paraId="7EAAF61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0.74</w:t>
            </w:r>
          </w:p>
        </w:tc>
      </w:tr>
      <w:tr w:rsidR="00231C46" w:rsidRPr="00231C46" w14:paraId="0719EDFF"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F130981"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Duke Energy Progress West</w:t>
            </w:r>
          </w:p>
        </w:tc>
        <w:tc>
          <w:tcPr>
            <w:tcW w:w="669" w:type="dxa"/>
            <w:tcBorders>
              <w:top w:val="single" w:sz="4" w:space="0" w:color="8ED973"/>
              <w:left w:val="nil"/>
              <w:bottom w:val="single" w:sz="4" w:space="0" w:color="8ED973"/>
              <w:right w:val="nil"/>
            </w:tcBorders>
            <w:shd w:val="clear" w:color="DAF2D0" w:fill="DAF2D0"/>
            <w:noWrap/>
            <w:vAlign w:val="bottom"/>
            <w:hideMark/>
          </w:tcPr>
          <w:p w14:paraId="6860663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0.77</w:t>
            </w:r>
          </w:p>
        </w:tc>
        <w:tc>
          <w:tcPr>
            <w:tcW w:w="663" w:type="dxa"/>
            <w:tcBorders>
              <w:top w:val="single" w:sz="4" w:space="0" w:color="8ED973"/>
              <w:left w:val="nil"/>
              <w:bottom w:val="single" w:sz="4" w:space="0" w:color="8ED973"/>
              <w:right w:val="nil"/>
            </w:tcBorders>
            <w:shd w:val="clear" w:color="DAF2D0" w:fill="DAF2D0"/>
            <w:noWrap/>
            <w:vAlign w:val="bottom"/>
            <w:hideMark/>
          </w:tcPr>
          <w:p w14:paraId="553E295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w:t>
            </w:r>
          </w:p>
        </w:tc>
        <w:tc>
          <w:tcPr>
            <w:tcW w:w="663" w:type="dxa"/>
            <w:tcBorders>
              <w:top w:val="single" w:sz="4" w:space="0" w:color="8ED973"/>
              <w:left w:val="nil"/>
              <w:bottom w:val="single" w:sz="4" w:space="0" w:color="8ED973"/>
              <w:right w:val="nil"/>
            </w:tcBorders>
            <w:shd w:val="clear" w:color="DAF2D0" w:fill="DAF2D0"/>
            <w:noWrap/>
            <w:vAlign w:val="bottom"/>
            <w:hideMark/>
          </w:tcPr>
          <w:p w14:paraId="4CC4D4E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0.91</w:t>
            </w:r>
          </w:p>
        </w:tc>
        <w:tc>
          <w:tcPr>
            <w:tcW w:w="663" w:type="dxa"/>
            <w:tcBorders>
              <w:top w:val="single" w:sz="4" w:space="0" w:color="8ED973"/>
              <w:left w:val="nil"/>
              <w:bottom w:val="single" w:sz="4" w:space="0" w:color="8ED973"/>
              <w:right w:val="nil"/>
            </w:tcBorders>
            <w:shd w:val="clear" w:color="DAF2D0" w:fill="DAF2D0"/>
            <w:noWrap/>
            <w:vAlign w:val="bottom"/>
            <w:hideMark/>
          </w:tcPr>
          <w:p w14:paraId="3627B99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0.86</w:t>
            </w:r>
          </w:p>
        </w:tc>
        <w:tc>
          <w:tcPr>
            <w:tcW w:w="663" w:type="dxa"/>
            <w:tcBorders>
              <w:top w:val="single" w:sz="4" w:space="0" w:color="8ED973"/>
              <w:left w:val="nil"/>
              <w:bottom w:val="single" w:sz="4" w:space="0" w:color="8ED973"/>
              <w:right w:val="nil"/>
            </w:tcBorders>
            <w:shd w:val="clear" w:color="DAF2D0" w:fill="DAF2D0"/>
            <w:noWrap/>
            <w:vAlign w:val="bottom"/>
            <w:hideMark/>
          </w:tcPr>
          <w:p w14:paraId="2D08C23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0.76</w:t>
            </w:r>
          </w:p>
        </w:tc>
        <w:tc>
          <w:tcPr>
            <w:tcW w:w="663" w:type="dxa"/>
            <w:tcBorders>
              <w:top w:val="single" w:sz="4" w:space="0" w:color="8ED973"/>
              <w:left w:val="nil"/>
              <w:bottom w:val="single" w:sz="4" w:space="0" w:color="8ED973"/>
              <w:right w:val="nil"/>
            </w:tcBorders>
            <w:shd w:val="clear" w:color="DAF2D0" w:fill="DAF2D0"/>
            <w:noWrap/>
            <w:vAlign w:val="bottom"/>
            <w:hideMark/>
          </w:tcPr>
          <w:p w14:paraId="4410377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0.58</w:t>
            </w:r>
          </w:p>
        </w:tc>
        <w:tc>
          <w:tcPr>
            <w:tcW w:w="663" w:type="dxa"/>
            <w:tcBorders>
              <w:top w:val="single" w:sz="4" w:space="0" w:color="8ED973"/>
              <w:left w:val="nil"/>
              <w:bottom w:val="single" w:sz="4" w:space="0" w:color="8ED973"/>
              <w:right w:val="nil"/>
            </w:tcBorders>
            <w:shd w:val="clear" w:color="DAF2D0" w:fill="DAF2D0"/>
            <w:noWrap/>
            <w:vAlign w:val="bottom"/>
            <w:hideMark/>
          </w:tcPr>
          <w:p w14:paraId="3D2D790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0.57</w:t>
            </w:r>
          </w:p>
        </w:tc>
        <w:tc>
          <w:tcPr>
            <w:tcW w:w="663" w:type="dxa"/>
            <w:tcBorders>
              <w:top w:val="single" w:sz="4" w:space="0" w:color="8ED973"/>
              <w:left w:val="nil"/>
              <w:bottom w:val="single" w:sz="4" w:space="0" w:color="8ED973"/>
              <w:right w:val="nil"/>
            </w:tcBorders>
            <w:shd w:val="clear" w:color="DAF2D0" w:fill="DAF2D0"/>
            <w:noWrap/>
            <w:vAlign w:val="bottom"/>
            <w:hideMark/>
          </w:tcPr>
          <w:p w14:paraId="1488A10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0.61</w:t>
            </w:r>
          </w:p>
        </w:tc>
        <w:tc>
          <w:tcPr>
            <w:tcW w:w="663" w:type="dxa"/>
            <w:tcBorders>
              <w:top w:val="single" w:sz="4" w:space="0" w:color="8ED973"/>
              <w:left w:val="nil"/>
              <w:bottom w:val="single" w:sz="4" w:space="0" w:color="8ED973"/>
              <w:right w:val="nil"/>
            </w:tcBorders>
            <w:shd w:val="clear" w:color="DAF2D0" w:fill="DAF2D0"/>
            <w:noWrap/>
            <w:vAlign w:val="bottom"/>
            <w:hideMark/>
          </w:tcPr>
          <w:p w14:paraId="5895D50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0.49</w:t>
            </w:r>
          </w:p>
        </w:tc>
      </w:tr>
      <w:tr w:rsidR="00231C46" w:rsidRPr="00231C46" w14:paraId="3EB71704"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8CC0690"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Idaho Power Company</w:t>
            </w:r>
          </w:p>
        </w:tc>
        <w:tc>
          <w:tcPr>
            <w:tcW w:w="669" w:type="dxa"/>
            <w:tcBorders>
              <w:top w:val="single" w:sz="4" w:space="0" w:color="8ED973"/>
              <w:left w:val="nil"/>
              <w:bottom w:val="single" w:sz="4" w:space="0" w:color="8ED973"/>
              <w:right w:val="nil"/>
            </w:tcBorders>
            <w:shd w:val="clear" w:color="auto" w:fill="auto"/>
            <w:noWrap/>
            <w:vAlign w:val="bottom"/>
            <w:hideMark/>
          </w:tcPr>
          <w:p w14:paraId="16247B4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0.75</w:t>
            </w:r>
          </w:p>
        </w:tc>
        <w:tc>
          <w:tcPr>
            <w:tcW w:w="663" w:type="dxa"/>
            <w:tcBorders>
              <w:top w:val="single" w:sz="4" w:space="0" w:color="8ED973"/>
              <w:left w:val="nil"/>
              <w:bottom w:val="single" w:sz="4" w:space="0" w:color="8ED973"/>
              <w:right w:val="nil"/>
            </w:tcBorders>
            <w:shd w:val="clear" w:color="auto" w:fill="auto"/>
            <w:noWrap/>
            <w:vAlign w:val="bottom"/>
            <w:hideMark/>
          </w:tcPr>
          <w:p w14:paraId="10996E9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0.76</w:t>
            </w:r>
          </w:p>
        </w:tc>
        <w:tc>
          <w:tcPr>
            <w:tcW w:w="663" w:type="dxa"/>
            <w:tcBorders>
              <w:top w:val="single" w:sz="4" w:space="0" w:color="8ED973"/>
              <w:left w:val="nil"/>
              <w:bottom w:val="single" w:sz="4" w:space="0" w:color="8ED973"/>
              <w:right w:val="nil"/>
            </w:tcBorders>
            <w:shd w:val="clear" w:color="auto" w:fill="auto"/>
            <w:noWrap/>
            <w:vAlign w:val="bottom"/>
            <w:hideMark/>
          </w:tcPr>
          <w:p w14:paraId="69355C7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0.73</w:t>
            </w:r>
          </w:p>
        </w:tc>
        <w:tc>
          <w:tcPr>
            <w:tcW w:w="663" w:type="dxa"/>
            <w:tcBorders>
              <w:top w:val="single" w:sz="4" w:space="0" w:color="8ED973"/>
              <w:left w:val="nil"/>
              <w:bottom w:val="single" w:sz="4" w:space="0" w:color="8ED973"/>
              <w:right w:val="nil"/>
            </w:tcBorders>
            <w:shd w:val="clear" w:color="auto" w:fill="auto"/>
            <w:noWrap/>
            <w:vAlign w:val="bottom"/>
            <w:hideMark/>
          </w:tcPr>
          <w:p w14:paraId="3F2A375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0.75</w:t>
            </w:r>
          </w:p>
        </w:tc>
        <w:tc>
          <w:tcPr>
            <w:tcW w:w="663" w:type="dxa"/>
            <w:tcBorders>
              <w:top w:val="single" w:sz="4" w:space="0" w:color="8ED973"/>
              <w:left w:val="nil"/>
              <w:bottom w:val="single" w:sz="4" w:space="0" w:color="8ED973"/>
              <w:right w:val="nil"/>
            </w:tcBorders>
            <w:shd w:val="clear" w:color="auto" w:fill="auto"/>
            <w:noWrap/>
            <w:vAlign w:val="bottom"/>
            <w:hideMark/>
          </w:tcPr>
          <w:p w14:paraId="519A288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0.65</w:t>
            </w:r>
          </w:p>
        </w:tc>
        <w:tc>
          <w:tcPr>
            <w:tcW w:w="663" w:type="dxa"/>
            <w:tcBorders>
              <w:top w:val="single" w:sz="4" w:space="0" w:color="8ED973"/>
              <w:left w:val="nil"/>
              <w:bottom w:val="single" w:sz="4" w:space="0" w:color="8ED973"/>
              <w:right w:val="nil"/>
            </w:tcBorders>
            <w:shd w:val="clear" w:color="auto" w:fill="auto"/>
            <w:noWrap/>
            <w:vAlign w:val="bottom"/>
            <w:hideMark/>
          </w:tcPr>
          <w:p w14:paraId="22126D2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0.81</w:t>
            </w:r>
          </w:p>
        </w:tc>
        <w:tc>
          <w:tcPr>
            <w:tcW w:w="663" w:type="dxa"/>
            <w:tcBorders>
              <w:top w:val="single" w:sz="4" w:space="0" w:color="8ED973"/>
              <w:left w:val="nil"/>
              <w:bottom w:val="single" w:sz="4" w:space="0" w:color="8ED973"/>
              <w:right w:val="nil"/>
            </w:tcBorders>
            <w:shd w:val="clear" w:color="auto" w:fill="auto"/>
            <w:noWrap/>
            <w:vAlign w:val="bottom"/>
            <w:hideMark/>
          </w:tcPr>
          <w:p w14:paraId="37F3744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0.64</w:t>
            </w:r>
          </w:p>
        </w:tc>
        <w:tc>
          <w:tcPr>
            <w:tcW w:w="663" w:type="dxa"/>
            <w:tcBorders>
              <w:top w:val="single" w:sz="4" w:space="0" w:color="8ED973"/>
              <w:left w:val="nil"/>
              <w:bottom w:val="single" w:sz="4" w:space="0" w:color="8ED973"/>
              <w:right w:val="nil"/>
            </w:tcBorders>
            <w:shd w:val="clear" w:color="auto" w:fill="auto"/>
            <w:noWrap/>
            <w:vAlign w:val="bottom"/>
            <w:hideMark/>
          </w:tcPr>
          <w:p w14:paraId="11BF7C5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0.77</w:t>
            </w:r>
          </w:p>
        </w:tc>
        <w:tc>
          <w:tcPr>
            <w:tcW w:w="663" w:type="dxa"/>
            <w:tcBorders>
              <w:top w:val="single" w:sz="4" w:space="0" w:color="8ED973"/>
              <w:left w:val="nil"/>
              <w:bottom w:val="single" w:sz="4" w:space="0" w:color="8ED973"/>
              <w:right w:val="nil"/>
            </w:tcBorders>
            <w:shd w:val="clear" w:color="auto" w:fill="auto"/>
            <w:noWrap/>
            <w:vAlign w:val="bottom"/>
            <w:hideMark/>
          </w:tcPr>
          <w:p w14:paraId="7A12CFB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0.63</w:t>
            </w:r>
          </w:p>
        </w:tc>
      </w:tr>
      <w:tr w:rsidR="00231C46" w:rsidRPr="00231C46" w14:paraId="46CA6F3F"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0FABA37"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Avista Corporation</w:t>
            </w:r>
          </w:p>
        </w:tc>
        <w:tc>
          <w:tcPr>
            <w:tcW w:w="669" w:type="dxa"/>
            <w:tcBorders>
              <w:top w:val="single" w:sz="4" w:space="0" w:color="8ED973"/>
              <w:left w:val="nil"/>
              <w:bottom w:val="single" w:sz="4" w:space="0" w:color="8ED973"/>
              <w:right w:val="nil"/>
            </w:tcBorders>
            <w:shd w:val="clear" w:color="DAF2D0" w:fill="DAF2D0"/>
            <w:noWrap/>
            <w:vAlign w:val="bottom"/>
            <w:hideMark/>
          </w:tcPr>
          <w:p w14:paraId="7DC6879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0.71</w:t>
            </w:r>
          </w:p>
        </w:tc>
        <w:tc>
          <w:tcPr>
            <w:tcW w:w="663" w:type="dxa"/>
            <w:tcBorders>
              <w:top w:val="single" w:sz="4" w:space="0" w:color="8ED973"/>
              <w:left w:val="nil"/>
              <w:bottom w:val="single" w:sz="4" w:space="0" w:color="8ED973"/>
              <w:right w:val="nil"/>
            </w:tcBorders>
            <w:shd w:val="clear" w:color="DAF2D0" w:fill="DAF2D0"/>
            <w:noWrap/>
            <w:vAlign w:val="bottom"/>
            <w:hideMark/>
          </w:tcPr>
          <w:p w14:paraId="444C0A1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0.66</w:t>
            </w:r>
          </w:p>
        </w:tc>
        <w:tc>
          <w:tcPr>
            <w:tcW w:w="663" w:type="dxa"/>
            <w:tcBorders>
              <w:top w:val="single" w:sz="4" w:space="0" w:color="8ED973"/>
              <w:left w:val="nil"/>
              <w:bottom w:val="single" w:sz="4" w:space="0" w:color="8ED973"/>
              <w:right w:val="nil"/>
            </w:tcBorders>
            <w:shd w:val="clear" w:color="DAF2D0" w:fill="DAF2D0"/>
            <w:noWrap/>
            <w:vAlign w:val="bottom"/>
            <w:hideMark/>
          </w:tcPr>
          <w:p w14:paraId="342AE4C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0.64</w:t>
            </w:r>
          </w:p>
        </w:tc>
        <w:tc>
          <w:tcPr>
            <w:tcW w:w="663" w:type="dxa"/>
            <w:tcBorders>
              <w:top w:val="single" w:sz="4" w:space="0" w:color="8ED973"/>
              <w:left w:val="nil"/>
              <w:bottom w:val="single" w:sz="4" w:space="0" w:color="8ED973"/>
              <w:right w:val="nil"/>
            </w:tcBorders>
            <w:shd w:val="clear" w:color="DAF2D0" w:fill="DAF2D0"/>
            <w:noWrap/>
            <w:vAlign w:val="bottom"/>
            <w:hideMark/>
          </w:tcPr>
          <w:p w14:paraId="6C984FE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0.66</w:t>
            </w:r>
          </w:p>
        </w:tc>
        <w:tc>
          <w:tcPr>
            <w:tcW w:w="663" w:type="dxa"/>
            <w:tcBorders>
              <w:top w:val="single" w:sz="4" w:space="0" w:color="8ED973"/>
              <w:left w:val="nil"/>
              <w:bottom w:val="single" w:sz="4" w:space="0" w:color="8ED973"/>
              <w:right w:val="nil"/>
            </w:tcBorders>
            <w:shd w:val="clear" w:color="DAF2D0" w:fill="DAF2D0"/>
            <w:noWrap/>
            <w:vAlign w:val="bottom"/>
            <w:hideMark/>
          </w:tcPr>
          <w:p w14:paraId="2A3E636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0.69</w:t>
            </w:r>
          </w:p>
        </w:tc>
        <w:tc>
          <w:tcPr>
            <w:tcW w:w="663" w:type="dxa"/>
            <w:tcBorders>
              <w:top w:val="single" w:sz="4" w:space="0" w:color="8ED973"/>
              <w:left w:val="nil"/>
              <w:bottom w:val="single" w:sz="4" w:space="0" w:color="8ED973"/>
              <w:right w:val="nil"/>
            </w:tcBorders>
            <w:shd w:val="clear" w:color="DAF2D0" w:fill="DAF2D0"/>
            <w:noWrap/>
            <w:vAlign w:val="bottom"/>
            <w:hideMark/>
          </w:tcPr>
          <w:p w14:paraId="3678447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0.62</w:t>
            </w:r>
          </w:p>
        </w:tc>
        <w:tc>
          <w:tcPr>
            <w:tcW w:w="663" w:type="dxa"/>
            <w:tcBorders>
              <w:top w:val="single" w:sz="4" w:space="0" w:color="8ED973"/>
              <w:left w:val="nil"/>
              <w:bottom w:val="single" w:sz="4" w:space="0" w:color="8ED973"/>
              <w:right w:val="nil"/>
            </w:tcBorders>
            <w:shd w:val="clear" w:color="DAF2D0" w:fill="DAF2D0"/>
            <w:noWrap/>
            <w:vAlign w:val="bottom"/>
            <w:hideMark/>
          </w:tcPr>
          <w:p w14:paraId="3EE6EE6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0.72</w:t>
            </w:r>
          </w:p>
        </w:tc>
        <w:tc>
          <w:tcPr>
            <w:tcW w:w="663" w:type="dxa"/>
            <w:tcBorders>
              <w:top w:val="single" w:sz="4" w:space="0" w:color="8ED973"/>
              <w:left w:val="nil"/>
              <w:bottom w:val="single" w:sz="4" w:space="0" w:color="8ED973"/>
              <w:right w:val="nil"/>
            </w:tcBorders>
            <w:shd w:val="clear" w:color="DAF2D0" w:fill="DAF2D0"/>
            <w:noWrap/>
            <w:vAlign w:val="bottom"/>
            <w:hideMark/>
          </w:tcPr>
          <w:p w14:paraId="3C54E49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0.75</w:t>
            </w:r>
          </w:p>
        </w:tc>
        <w:tc>
          <w:tcPr>
            <w:tcW w:w="663" w:type="dxa"/>
            <w:tcBorders>
              <w:top w:val="single" w:sz="4" w:space="0" w:color="8ED973"/>
              <w:left w:val="nil"/>
              <w:bottom w:val="single" w:sz="4" w:space="0" w:color="8ED973"/>
              <w:right w:val="nil"/>
            </w:tcBorders>
            <w:shd w:val="clear" w:color="DAF2D0" w:fill="DAF2D0"/>
            <w:noWrap/>
            <w:vAlign w:val="bottom"/>
            <w:hideMark/>
          </w:tcPr>
          <w:p w14:paraId="1FD1983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0.81</w:t>
            </w:r>
          </w:p>
        </w:tc>
      </w:tr>
      <w:tr w:rsidR="00231C46" w:rsidRPr="00231C46" w14:paraId="4A944FBE"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F1A8CDE"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El Paso Electric Company</w:t>
            </w:r>
          </w:p>
        </w:tc>
        <w:tc>
          <w:tcPr>
            <w:tcW w:w="669" w:type="dxa"/>
            <w:tcBorders>
              <w:top w:val="single" w:sz="4" w:space="0" w:color="8ED973"/>
              <w:left w:val="nil"/>
              <w:bottom w:val="single" w:sz="4" w:space="0" w:color="8ED973"/>
              <w:right w:val="nil"/>
            </w:tcBorders>
            <w:shd w:val="clear" w:color="auto" w:fill="auto"/>
            <w:noWrap/>
            <w:vAlign w:val="bottom"/>
            <w:hideMark/>
          </w:tcPr>
          <w:p w14:paraId="189AF75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0.71</w:t>
            </w:r>
          </w:p>
        </w:tc>
        <w:tc>
          <w:tcPr>
            <w:tcW w:w="663" w:type="dxa"/>
            <w:tcBorders>
              <w:top w:val="single" w:sz="4" w:space="0" w:color="8ED973"/>
              <w:left w:val="nil"/>
              <w:bottom w:val="single" w:sz="4" w:space="0" w:color="8ED973"/>
              <w:right w:val="nil"/>
            </w:tcBorders>
            <w:shd w:val="clear" w:color="auto" w:fill="auto"/>
            <w:noWrap/>
            <w:vAlign w:val="bottom"/>
            <w:hideMark/>
          </w:tcPr>
          <w:p w14:paraId="0C0FA4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0.75</w:t>
            </w:r>
          </w:p>
        </w:tc>
        <w:tc>
          <w:tcPr>
            <w:tcW w:w="663" w:type="dxa"/>
            <w:tcBorders>
              <w:top w:val="single" w:sz="4" w:space="0" w:color="8ED973"/>
              <w:left w:val="nil"/>
              <w:bottom w:val="single" w:sz="4" w:space="0" w:color="8ED973"/>
              <w:right w:val="nil"/>
            </w:tcBorders>
            <w:shd w:val="clear" w:color="auto" w:fill="auto"/>
            <w:noWrap/>
            <w:vAlign w:val="bottom"/>
            <w:hideMark/>
          </w:tcPr>
          <w:p w14:paraId="4F27229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0.73</w:t>
            </w:r>
          </w:p>
        </w:tc>
        <w:tc>
          <w:tcPr>
            <w:tcW w:w="663" w:type="dxa"/>
            <w:tcBorders>
              <w:top w:val="single" w:sz="4" w:space="0" w:color="8ED973"/>
              <w:left w:val="nil"/>
              <w:bottom w:val="single" w:sz="4" w:space="0" w:color="8ED973"/>
              <w:right w:val="nil"/>
            </w:tcBorders>
            <w:shd w:val="clear" w:color="auto" w:fill="auto"/>
            <w:noWrap/>
            <w:vAlign w:val="bottom"/>
            <w:hideMark/>
          </w:tcPr>
          <w:p w14:paraId="2B679F8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0.63</w:t>
            </w:r>
          </w:p>
        </w:tc>
        <w:tc>
          <w:tcPr>
            <w:tcW w:w="663" w:type="dxa"/>
            <w:tcBorders>
              <w:top w:val="single" w:sz="4" w:space="0" w:color="8ED973"/>
              <w:left w:val="nil"/>
              <w:bottom w:val="single" w:sz="4" w:space="0" w:color="8ED973"/>
              <w:right w:val="nil"/>
            </w:tcBorders>
            <w:shd w:val="clear" w:color="auto" w:fill="auto"/>
            <w:noWrap/>
            <w:vAlign w:val="bottom"/>
            <w:hideMark/>
          </w:tcPr>
          <w:p w14:paraId="415FC44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0.63</w:t>
            </w:r>
          </w:p>
        </w:tc>
        <w:tc>
          <w:tcPr>
            <w:tcW w:w="663" w:type="dxa"/>
            <w:tcBorders>
              <w:top w:val="single" w:sz="4" w:space="0" w:color="8ED973"/>
              <w:left w:val="nil"/>
              <w:bottom w:val="single" w:sz="4" w:space="0" w:color="8ED973"/>
              <w:right w:val="nil"/>
            </w:tcBorders>
            <w:shd w:val="clear" w:color="auto" w:fill="auto"/>
            <w:noWrap/>
            <w:vAlign w:val="bottom"/>
            <w:hideMark/>
          </w:tcPr>
          <w:p w14:paraId="11F8ACA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0.58</w:t>
            </w:r>
          </w:p>
        </w:tc>
        <w:tc>
          <w:tcPr>
            <w:tcW w:w="663" w:type="dxa"/>
            <w:tcBorders>
              <w:top w:val="single" w:sz="4" w:space="0" w:color="8ED973"/>
              <w:left w:val="nil"/>
              <w:bottom w:val="single" w:sz="4" w:space="0" w:color="8ED973"/>
              <w:right w:val="nil"/>
            </w:tcBorders>
            <w:shd w:val="clear" w:color="auto" w:fill="auto"/>
            <w:noWrap/>
            <w:vAlign w:val="bottom"/>
            <w:hideMark/>
          </w:tcPr>
          <w:p w14:paraId="0C0487F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0.67</w:t>
            </w:r>
          </w:p>
        </w:tc>
        <w:tc>
          <w:tcPr>
            <w:tcW w:w="663" w:type="dxa"/>
            <w:tcBorders>
              <w:top w:val="single" w:sz="4" w:space="0" w:color="8ED973"/>
              <w:left w:val="nil"/>
              <w:bottom w:val="single" w:sz="4" w:space="0" w:color="8ED973"/>
              <w:right w:val="nil"/>
            </w:tcBorders>
            <w:shd w:val="clear" w:color="auto" w:fill="auto"/>
            <w:noWrap/>
            <w:vAlign w:val="bottom"/>
            <w:hideMark/>
          </w:tcPr>
          <w:p w14:paraId="24E0EDE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0.74</w:t>
            </w:r>
          </w:p>
        </w:tc>
        <w:tc>
          <w:tcPr>
            <w:tcW w:w="663" w:type="dxa"/>
            <w:tcBorders>
              <w:top w:val="single" w:sz="4" w:space="0" w:color="8ED973"/>
              <w:left w:val="nil"/>
              <w:bottom w:val="single" w:sz="4" w:space="0" w:color="8ED973"/>
              <w:right w:val="nil"/>
            </w:tcBorders>
            <w:shd w:val="clear" w:color="auto" w:fill="auto"/>
            <w:noWrap/>
            <w:vAlign w:val="bottom"/>
            <w:hideMark/>
          </w:tcPr>
          <w:p w14:paraId="6413118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0.65</w:t>
            </w:r>
          </w:p>
        </w:tc>
      </w:tr>
      <w:tr w:rsidR="00231C46" w:rsidRPr="00231C46" w14:paraId="7AF002B5"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6C414D9"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Balancing Authority of Northern California</w:t>
            </w:r>
          </w:p>
        </w:tc>
        <w:tc>
          <w:tcPr>
            <w:tcW w:w="669" w:type="dxa"/>
            <w:tcBorders>
              <w:top w:val="single" w:sz="4" w:space="0" w:color="8ED973"/>
              <w:left w:val="nil"/>
              <w:bottom w:val="single" w:sz="4" w:space="0" w:color="8ED973"/>
              <w:right w:val="nil"/>
            </w:tcBorders>
            <w:shd w:val="clear" w:color="DAF2D0" w:fill="DAF2D0"/>
            <w:noWrap/>
            <w:vAlign w:val="bottom"/>
            <w:hideMark/>
          </w:tcPr>
          <w:p w14:paraId="1B60A71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0.64</w:t>
            </w:r>
          </w:p>
        </w:tc>
        <w:tc>
          <w:tcPr>
            <w:tcW w:w="663" w:type="dxa"/>
            <w:tcBorders>
              <w:top w:val="single" w:sz="4" w:space="0" w:color="8ED973"/>
              <w:left w:val="nil"/>
              <w:bottom w:val="single" w:sz="4" w:space="0" w:color="8ED973"/>
              <w:right w:val="nil"/>
            </w:tcBorders>
            <w:shd w:val="clear" w:color="DAF2D0" w:fill="DAF2D0"/>
            <w:noWrap/>
            <w:vAlign w:val="bottom"/>
            <w:hideMark/>
          </w:tcPr>
          <w:p w14:paraId="65F70A8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515BA97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DAF2D0" w:fill="DAF2D0"/>
            <w:noWrap/>
            <w:vAlign w:val="bottom"/>
            <w:hideMark/>
          </w:tcPr>
          <w:p w14:paraId="448144E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0.53</w:t>
            </w:r>
          </w:p>
        </w:tc>
        <w:tc>
          <w:tcPr>
            <w:tcW w:w="663" w:type="dxa"/>
            <w:tcBorders>
              <w:top w:val="single" w:sz="4" w:space="0" w:color="8ED973"/>
              <w:left w:val="nil"/>
              <w:bottom w:val="single" w:sz="4" w:space="0" w:color="8ED973"/>
              <w:right w:val="nil"/>
            </w:tcBorders>
            <w:shd w:val="clear" w:color="DAF2D0" w:fill="DAF2D0"/>
            <w:noWrap/>
            <w:vAlign w:val="bottom"/>
            <w:hideMark/>
          </w:tcPr>
          <w:p w14:paraId="2E3DF3E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0.59</w:t>
            </w:r>
          </w:p>
        </w:tc>
        <w:tc>
          <w:tcPr>
            <w:tcW w:w="663" w:type="dxa"/>
            <w:tcBorders>
              <w:top w:val="single" w:sz="4" w:space="0" w:color="8ED973"/>
              <w:left w:val="nil"/>
              <w:bottom w:val="single" w:sz="4" w:space="0" w:color="8ED973"/>
              <w:right w:val="nil"/>
            </w:tcBorders>
            <w:shd w:val="clear" w:color="DAF2D0" w:fill="DAF2D0"/>
            <w:noWrap/>
            <w:vAlign w:val="bottom"/>
            <w:hideMark/>
          </w:tcPr>
          <w:p w14:paraId="19C249B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0.63</w:t>
            </w:r>
          </w:p>
        </w:tc>
        <w:tc>
          <w:tcPr>
            <w:tcW w:w="663" w:type="dxa"/>
            <w:tcBorders>
              <w:top w:val="single" w:sz="4" w:space="0" w:color="8ED973"/>
              <w:left w:val="nil"/>
              <w:bottom w:val="single" w:sz="4" w:space="0" w:color="8ED973"/>
              <w:right w:val="nil"/>
            </w:tcBorders>
            <w:shd w:val="clear" w:color="DAF2D0" w:fill="DAF2D0"/>
            <w:noWrap/>
            <w:vAlign w:val="bottom"/>
            <w:hideMark/>
          </w:tcPr>
          <w:p w14:paraId="4D92F42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w:t>
            </w:r>
          </w:p>
        </w:tc>
        <w:tc>
          <w:tcPr>
            <w:tcW w:w="663" w:type="dxa"/>
            <w:tcBorders>
              <w:top w:val="single" w:sz="4" w:space="0" w:color="8ED973"/>
              <w:left w:val="nil"/>
              <w:bottom w:val="single" w:sz="4" w:space="0" w:color="8ED973"/>
              <w:right w:val="nil"/>
            </w:tcBorders>
            <w:shd w:val="clear" w:color="DAF2D0" w:fill="DAF2D0"/>
            <w:noWrap/>
            <w:vAlign w:val="bottom"/>
            <w:hideMark/>
          </w:tcPr>
          <w:p w14:paraId="19AD73F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0.72</w:t>
            </w:r>
          </w:p>
        </w:tc>
        <w:tc>
          <w:tcPr>
            <w:tcW w:w="663" w:type="dxa"/>
            <w:tcBorders>
              <w:top w:val="single" w:sz="4" w:space="0" w:color="8ED973"/>
              <w:left w:val="nil"/>
              <w:bottom w:val="single" w:sz="4" w:space="0" w:color="8ED973"/>
              <w:right w:val="nil"/>
            </w:tcBorders>
            <w:shd w:val="clear" w:color="DAF2D0" w:fill="DAF2D0"/>
            <w:noWrap/>
            <w:vAlign w:val="bottom"/>
            <w:hideMark/>
          </w:tcPr>
          <w:p w14:paraId="2E4728A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0.72</w:t>
            </w:r>
          </w:p>
        </w:tc>
      </w:tr>
      <w:tr w:rsidR="00231C46" w:rsidRPr="00231C46" w14:paraId="15E4AB28"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4A4CABE"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PacifiCorp East</w:t>
            </w:r>
          </w:p>
        </w:tc>
        <w:tc>
          <w:tcPr>
            <w:tcW w:w="669" w:type="dxa"/>
            <w:tcBorders>
              <w:top w:val="single" w:sz="4" w:space="0" w:color="8ED973"/>
              <w:left w:val="nil"/>
              <w:bottom w:val="single" w:sz="4" w:space="0" w:color="8ED973"/>
              <w:right w:val="nil"/>
            </w:tcBorders>
            <w:shd w:val="clear" w:color="auto" w:fill="auto"/>
            <w:noWrap/>
            <w:vAlign w:val="bottom"/>
            <w:hideMark/>
          </w:tcPr>
          <w:p w14:paraId="2102D7E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0.62</w:t>
            </w:r>
          </w:p>
        </w:tc>
        <w:tc>
          <w:tcPr>
            <w:tcW w:w="663" w:type="dxa"/>
            <w:tcBorders>
              <w:top w:val="single" w:sz="4" w:space="0" w:color="8ED973"/>
              <w:left w:val="nil"/>
              <w:bottom w:val="single" w:sz="4" w:space="0" w:color="8ED973"/>
              <w:right w:val="nil"/>
            </w:tcBorders>
            <w:shd w:val="clear" w:color="auto" w:fill="auto"/>
            <w:noWrap/>
            <w:vAlign w:val="bottom"/>
            <w:hideMark/>
          </w:tcPr>
          <w:p w14:paraId="0522977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0.59</w:t>
            </w:r>
          </w:p>
        </w:tc>
        <w:tc>
          <w:tcPr>
            <w:tcW w:w="663" w:type="dxa"/>
            <w:tcBorders>
              <w:top w:val="single" w:sz="4" w:space="0" w:color="8ED973"/>
              <w:left w:val="nil"/>
              <w:bottom w:val="single" w:sz="4" w:space="0" w:color="8ED973"/>
              <w:right w:val="nil"/>
            </w:tcBorders>
            <w:shd w:val="clear" w:color="auto" w:fill="auto"/>
            <w:noWrap/>
            <w:vAlign w:val="bottom"/>
            <w:hideMark/>
          </w:tcPr>
          <w:p w14:paraId="1B184C3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0.65</w:t>
            </w:r>
          </w:p>
        </w:tc>
        <w:tc>
          <w:tcPr>
            <w:tcW w:w="663" w:type="dxa"/>
            <w:tcBorders>
              <w:top w:val="single" w:sz="4" w:space="0" w:color="8ED973"/>
              <w:left w:val="nil"/>
              <w:bottom w:val="single" w:sz="4" w:space="0" w:color="8ED973"/>
              <w:right w:val="nil"/>
            </w:tcBorders>
            <w:shd w:val="clear" w:color="auto" w:fill="auto"/>
            <w:noWrap/>
            <w:vAlign w:val="bottom"/>
            <w:hideMark/>
          </w:tcPr>
          <w:p w14:paraId="0E310AD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0.61</w:t>
            </w:r>
          </w:p>
        </w:tc>
        <w:tc>
          <w:tcPr>
            <w:tcW w:w="663" w:type="dxa"/>
            <w:tcBorders>
              <w:top w:val="single" w:sz="4" w:space="0" w:color="8ED973"/>
              <w:left w:val="nil"/>
              <w:bottom w:val="single" w:sz="4" w:space="0" w:color="8ED973"/>
              <w:right w:val="nil"/>
            </w:tcBorders>
            <w:shd w:val="clear" w:color="auto" w:fill="auto"/>
            <w:noWrap/>
            <w:vAlign w:val="bottom"/>
            <w:hideMark/>
          </w:tcPr>
          <w:p w14:paraId="0A789AD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0.65</w:t>
            </w:r>
          </w:p>
        </w:tc>
        <w:tc>
          <w:tcPr>
            <w:tcW w:w="663" w:type="dxa"/>
            <w:tcBorders>
              <w:top w:val="single" w:sz="4" w:space="0" w:color="8ED973"/>
              <w:left w:val="nil"/>
              <w:bottom w:val="single" w:sz="4" w:space="0" w:color="8ED973"/>
              <w:right w:val="nil"/>
            </w:tcBorders>
            <w:shd w:val="clear" w:color="auto" w:fill="auto"/>
            <w:noWrap/>
            <w:vAlign w:val="bottom"/>
            <w:hideMark/>
          </w:tcPr>
          <w:p w14:paraId="4FD801D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w:t>
            </w:r>
          </w:p>
        </w:tc>
        <w:tc>
          <w:tcPr>
            <w:tcW w:w="663" w:type="dxa"/>
            <w:tcBorders>
              <w:top w:val="single" w:sz="4" w:space="0" w:color="8ED973"/>
              <w:left w:val="nil"/>
              <w:bottom w:val="single" w:sz="4" w:space="0" w:color="8ED973"/>
              <w:right w:val="nil"/>
            </w:tcBorders>
            <w:shd w:val="clear" w:color="auto" w:fill="auto"/>
            <w:noWrap/>
            <w:vAlign w:val="bottom"/>
            <w:hideMark/>
          </w:tcPr>
          <w:p w14:paraId="2CCA8A1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0.59</w:t>
            </w:r>
          </w:p>
        </w:tc>
        <w:tc>
          <w:tcPr>
            <w:tcW w:w="663" w:type="dxa"/>
            <w:tcBorders>
              <w:top w:val="single" w:sz="4" w:space="0" w:color="8ED973"/>
              <w:left w:val="nil"/>
              <w:bottom w:val="single" w:sz="4" w:space="0" w:color="8ED973"/>
              <w:right w:val="nil"/>
            </w:tcBorders>
            <w:shd w:val="clear" w:color="auto" w:fill="auto"/>
            <w:noWrap/>
            <w:vAlign w:val="bottom"/>
            <w:hideMark/>
          </w:tcPr>
          <w:p w14:paraId="7121568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auto" w:fill="auto"/>
            <w:noWrap/>
            <w:vAlign w:val="bottom"/>
            <w:hideMark/>
          </w:tcPr>
          <w:p w14:paraId="270214C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r>
      <w:tr w:rsidR="00231C46" w:rsidRPr="00231C46" w14:paraId="782A5BAD"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086D73B"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NorthWestern Corporation</w:t>
            </w:r>
          </w:p>
        </w:tc>
        <w:tc>
          <w:tcPr>
            <w:tcW w:w="669" w:type="dxa"/>
            <w:tcBorders>
              <w:top w:val="single" w:sz="4" w:space="0" w:color="8ED973"/>
              <w:left w:val="nil"/>
              <w:bottom w:val="single" w:sz="4" w:space="0" w:color="8ED973"/>
              <w:right w:val="nil"/>
            </w:tcBorders>
            <w:shd w:val="clear" w:color="DAF2D0" w:fill="DAF2D0"/>
            <w:noWrap/>
            <w:vAlign w:val="bottom"/>
            <w:hideMark/>
          </w:tcPr>
          <w:p w14:paraId="4FFBA0A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0.58</w:t>
            </w:r>
          </w:p>
        </w:tc>
        <w:tc>
          <w:tcPr>
            <w:tcW w:w="663" w:type="dxa"/>
            <w:tcBorders>
              <w:top w:val="single" w:sz="4" w:space="0" w:color="8ED973"/>
              <w:left w:val="nil"/>
              <w:bottom w:val="single" w:sz="4" w:space="0" w:color="8ED973"/>
              <w:right w:val="nil"/>
            </w:tcBorders>
            <w:shd w:val="clear" w:color="DAF2D0" w:fill="DAF2D0"/>
            <w:noWrap/>
            <w:vAlign w:val="bottom"/>
            <w:hideMark/>
          </w:tcPr>
          <w:p w14:paraId="034F766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DAF2D0" w:fill="DAF2D0"/>
            <w:noWrap/>
            <w:vAlign w:val="bottom"/>
            <w:hideMark/>
          </w:tcPr>
          <w:p w14:paraId="1A7CECE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0.52</w:t>
            </w:r>
          </w:p>
        </w:tc>
        <w:tc>
          <w:tcPr>
            <w:tcW w:w="663" w:type="dxa"/>
            <w:tcBorders>
              <w:top w:val="single" w:sz="4" w:space="0" w:color="8ED973"/>
              <w:left w:val="nil"/>
              <w:bottom w:val="single" w:sz="4" w:space="0" w:color="8ED973"/>
              <w:right w:val="nil"/>
            </w:tcBorders>
            <w:shd w:val="clear" w:color="DAF2D0" w:fill="DAF2D0"/>
            <w:noWrap/>
            <w:vAlign w:val="bottom"/>
            <w:hideMark/>
          </w:tcPr>
          <w:p w14:paraId="459A5F2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0.53</w:t>
            </w:r>
          </w:p>
        </w:tc>
        <w:tc>
          <w:tcPr>
            <w:tcW w:w="663" w:type="dxa"/>
            <w:tcBorders>
              <w:top w:val="single" w:sz="4" w:space="0" w:color="8ED973"/>
              <w:left w:val="nil"/>
              <w:bottom w:val="single" w:sz="4" w:space="0" w:color="8ED973"/>
              <w:right w:val="nil"/>
            </w:tcBorders>
            <w:shd w:val="clear" w:color="DAF2D0" w:fill="DAF2D0"/>
            <w:noWrap/>
            <w:vAlign w:val="bottom"/>
            <w:hideMark/>
          </w:tcPr>
          <w:p w14:paraId="4E41FD5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DAF2D0" w:fill="DAF2D0"/>
            <w:noWrap/>
            <w:vAlign w:val="bottom"/>
            <w:hideMark/>
          </w:tcPr>
          <w:p w14:paraId="54A1C59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0.62</w:t>
            </w:r>
          </w:p>
        </w:tc>
        <w:tc>
          <w:tcPr>
            <w:tcW w:w="663" w:type="dxa"/>
            <w:tcBorders>
              <w:top w:val="single" w:sz="4" w:space="0" w:color="8ED973"/>
              <w:left w:val="nil"/>
              <w:bottom w:val="single" w:sz="4" w:space="0" w:color="8ED973"/>
              <w:right w:val="nil"/>
            </w:tcBorders>
            <w:shd w:val="clear" w:color="DAF2D0" w:fill="DAF2D0"/>
            <w:noWrap/>
            <w:vAlign w:val="bottom"/>
            <w:hideMark/>
          </w:tcPr>
          <w:p w14:paraId="5D25B51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0.61</w:t>
            </w:r>
          </w:p>
        </w:tc>
        <w:tc>
          <w:tcPr>
            <w:tcW w:w="663" w:type="dxa"/>
            <w:tcBorders>
              <w:top w:val="single" w:sz="4" w:space="0" w:color="8ED973"/>
              <w:left w:val="nil"/>
              <w:bottom w:val="single" w:sz="4" w:space="0" w:color="8ED973"/>
              <w:right w:val="nil"/>
            </w:tcBorders>
            <w:shd w:val="clear" w:color="DAF2D0" w:fill="DAF2D0"/>
            <w:noWrap/>
            <w:vAlign w:val="bottom"/>
            <w:hideMark/>
          </w:tcPr>
          <w:p w14:paraId="0AA092D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0.62</w:t>
            </w:r>
          </w:p>
        </w:tc>
        <w:tc>
          <w:tcPr>
            <w:tcW w:w="663" w:type="dxa"/>
            <w:tcBorders>
              <w:top w:val="single" w:sz="4" w:space="0" w:color="8ED973"/>
              <w:left w:val="nil"/>
              <w:bottom w:val="single" w:sz="4" w:space="0" w:color="8ED973"/>
              <w:right w:val="nil"/>
            </w:tcBorders>
            <w:shd w:val="clear" w:color="DAF2D0" w:fill="DAF2D0"/>
            <w:noWrap/>
            <w:vAlign w:val="bottom"/>
            <w:hideMark/>
          </w:tcPr>
          <w:p w14:paraId="4D2DFC0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0.62</w:t>
            </w:r>
          </w:p>
        </w:tc>
      </w:tr>
      <w:tr w:rsidR="00231C46" w:rsidRPr="00231C46" w14:paraId="2AB54EEF"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C0BF276"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Florida Municipal Power Pool</w:t>
            </w:r>
          </w:p>
        </w:tc>
        <w:tc>
          <w:tcPr>
            <w:tcW w:w="669" w:type="dxa"/>
            <w:tcBorders>
              <w:top w:val="single" w:sz="4" w:space="0" w:color="8ED973"/>
              <w:left w:val="nil"/>
              <w:bottom w:val="single" w:sz="4" w:space="0" w:color="8ED973"/>
              <w:right w:val="nil"/>
            </w:tcBorders>
            <w:shd w:val="clear" w:color="auto" w:fill="auto"/>
            <w:noWrap/>
            <w:vAlign w:val="bottom"/>
            <w:hideMark/>
          </w:tcPr>
          <w:p w14:paraId="4161610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0.57</w:t>
            </w:r>
          </w:p>
        </w:tc>
        <w:tc>
          <w:tcPr>
            <w:tcW w:w="663" w:type="dxa"/>
            <w:tcBorders>
              <w:top w:val="single" w:sz="4" w:space="0" w:color="8ED973"/>
              <w:left w:val="nil"/>
              <w:bottom w:val="single" w:sz="4" w:space="0" w:color="8ED973"/>
              <w:right w:val="nil"/>
            </w:tcBorders>
            <w:shd w:val="clear" w:color="auto" w:fill="auto"/>
            <w:noWrap/>
            <w:vAlign w:val="bottom"/>
            <w:hideMark/>
          </w:tcPr>
          <w:p w14:paraId="4FD3F9F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0.59</w:t>
            </w:r>
          </w:p>
        </w:tc>
        <w:tc>
          <w:tcPr>
            <w:tcW w:w="663" w:type="dxa"/>
            <w:tcBorders>
              <w:top w:val="single" w:sz="4" w:space="0" w:color="8ED973"/>
              <w:left w:val="nil"/>
              <w:bottom w:val="single" w:sz="4" w:space="0" w:color="8ED973"/>
              <w:right w:val="nil"/>
            </w:tcBorders>
            <w:shd w:val="clear" w:color="auto" w:fill="auto"/>
            <w:noWrap/>
            <w:vAlign w:val="bottom"/>
            <w:hideMark/>
          </w:tcPr>
          <w:p w14:paraId="12289FC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w:t>
            </w:r>
          </w:p>
        </w:tc>
        <w:tc>
          <w:tcPr>
            <w:tcW w:w="663" w:type="dxa"/>
            <w:tcBorders>
              <w:top w:val="single" w:sz="4" w:space="0" w:color="8ED973"/>
              <w:left w:val="nil"/>
              <w:bottom w:val="single" w:sz="4" w:space="0" w:color="8ED973"/>
              <w:right w:val="nil"/>
            </w:tcBorders>
            <w:shd w:val="clear" w:color="auto" w:fill="auto"/>
            <w:noWrap/>
            <w:vAlign w:val="bottom"/>
            <w:hideMark/>
          </w:tcPr>
          <w:p w14:paraId="3B86F14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0.52</w:t>
            </w:r>
          </w:p>
        </w:tc>
        <w:tc>
          <w:tcPr>
            <w:tcW w:w="663" w:type="dxa"/>
            <w:tcBorders>
              <w:top w:val="single" w:sz="4" w:space="0" w:color="8ED973"/>
              <w:left w:val="nil"/>
              <w:bottom w:val="single" w:sz="4" w:space="0" w:color="8ED973"/>
              <w:right w:val="nil"/>
            </w:tcBorders>
            <w:shd w:val="clear" w:color="auto" w:fill="auto"/>
            <w:noWrap/>
            <w:vAlign w:val="bottom"/>
            <w:hideMark/>
          </w:tcPr>
          <w:p w14:paraId="42E33C6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0.56</w:t>
            </w:r>
          </w:p>
        </w:tc>
        <w:tc>
          <w:tcPr>
            <w:tcW w:w="663" w:type="dxa"/>
            <w:tcBorders>
              <w:top w:val="single" w:sz="4" w:space="0" w:color="8ED973"/>
              <w:left w:val="nil"/>
              <w:bottom w:val="single" w:sz="4" w:space="0" w:color="8ED973"/>
              <w:right w:val="nil"/>
            </w:tcBorders>
            <w:shd w:val="clear" w:color="auto" w:fill="auto"/>
            <w:noWrap/>
            <w:vAlign w:val="bottom"/>
            <w:hideMark/>
          </w:tcPr>
          <w:p w14:paraId="229064A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0.55</w:t>
            </w:r>
          </w:p>
        </w:tc>
        <w:tc>
          <w:tcPr>
            <w:tcW w:w="663" w:type="dxa"/>
            <w:tcBorders>
              <w:top w:val="single" w:sz="4" w:space="0" w:color="8ED973"/>
              <w:left w:val="nil"/>
              <w:bottom w:val="single" w:sz="4" w:space="0" w:color="8ED973"/>
              <w:right w:val="nil"/>
            </w:tcBorders>
            <w:shd w:val="clear" w:color="auto" w:fill="auto"/>
            <w:noWrap/>
            <w:vAlign w:val="bottom"/>
            <w:hideMark/>
          </w:tcPr>
          <w:p w14:paraId="1872277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auto" w:fill="auto"/>
            <w:noWrap/>
            <w:vAlign w:val="bottom"/>
            <w:hideMark/>
          </w:tcPr>
          <w:p w14:paraId="6E61076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auto" w:fill="auto"/>
            <w:noWrap/>
            <w:vAlign w:val="bottom"/>
            <w:hideMark/>
          </w:tcPr>
          <w:p w14:paraId="1B65C7F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0.59</w:t>
            </w:r>
          </w:p>
        </w:tc>
      </w:tr>
      <w:tr w:rsidR="00231C46" w:rsidRPr="00231C46" w14:paraId="67CA08F7"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8A1F880"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New York Independent System Operator</w:t>
            </w:r>
          </w:p>
        </w:tc>
        <w:tc>
          <w:tcPr>
            <w:tcW w:w="669" w:type="dxa"/>
            <w:tcBorders>
              <w:top w:val="single" w:sz="4" w:space="0" w:color="8ED973"/>
              <w:left w:val="nil"/>
              <w:bottom w:val="single" w:sz="4" w:space="0" w:color="8ED973"/>
              <w:right w:val="nil"/>
            </w:tcBorders>
            <w:shd w:val="clear" w:color="DAF2D0" w:fill="DAF2D0"/>
            <w:noWrap/>
            <w:vAlign w:val="bottom"/>
            <w:hideMark/>
          </w:tcPr>
          <w:p w14:paraId="48C6F98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0.55</w:t>
            </w:r>
          </w:p>
        </w:tc>
        <w:tc>
          <w:tcPr>
            <w:tcW w:w="663" w:type="dxa"/>
            <w:tcBorders>
              <w:top w:val="single" w:sz="4" w:space="0" w:color="8ED973"/>
              <w:left w:val="nil"/>
              <w:bottom w:val="single" w:sz="4" w:space="0" w:color="8ED973"/>
              <w:right w:val="nil"/>
            </w:tcBorders>
            <w:shd w:val="clear" w:color="DAF2D0" w:fill="DAF2D0"/>
            <w:noWrap/>
            <w:vAlign w:val="bottom"/>
            <w:hideMark/>
          </w:tcPr>
          <w:p w14:paraId="145F7E4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0.52</w:t>
            </w:r>
          </w:p>
        </w:tc>
        <w:tc>
          <w:tcPr>
            <w:tcW w:w="663" w:type="dxa"/>
            <w:tcBorders>
              <w:top w:val="single" w:sz="4" w:space="0" w:color="8ED973"/>
              <w:left w:val="nil"/>
              <w:bottom w:val="single" w:sz="4" w:space="0" w:color="8ED973"/>
              <w:right w:val="nil"/>
            </w:tcBorders>
            <w:shd w:val="clear" w:color="DAF2D0" w:fill="DAF2D0"/>
            <w:noWrap/>
            <w:vAlign w:val="bottom"/>
            <w:hideMark/>
          </w:tcPr>
          <w:p w14:paraId="2E7BE8D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0.56</w:t>
            </w:r>
          </w:p>
        </w:tc>
        <w:tc>
          <w:tcPr>
            <w:tcW w:w="663" w:type="dxa"/>
            <w:tcBorders>
              <w:top w:val="single" w:sz="4" w:space="0" w:color="8ED973"/>
              <w:left w:val="nil"/>
              <w:bottom w:val="single" w:sz="4" w:space="0" w:color="8ED973"/>
              <w:right w:val="nil"/>
            </w:tcBorders>
            <w:shd w:val="clear" w:color="DAF2D0" w:fill="DAF2D0"/>
            <w:noWrap/>
            <w:vAlign w:val="bottom"/>
            <w:hideMark/>
          </w:tcPr>
          <w:p w14:paraId="629F8C4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0.56</w:t>
            </w:r>
          </w:p>
        </w:tc>
        <w:tc>
          <w:tcPr>
            <w:tcW w:w="663" w:type="dxa"/>
            <w:tcBorders>
              <w:top w:val="single" w:sz="4" w:space="0" w:color="8ED973"/>
              <w:left w:val="nil"/>
              <w:bottom w:val="single" w:sz="4" w:space="0" w:color="8ED973"/>
              <w:right w:val="nil"/>
            </w:tcBorders>
            <w:shd w:val="clear" w:color="DAF2D0" w:fill="DAF2D0"/>
            <w:noWrap/>
            <w:vAlign w:val="bottom"/>
            <w:hideMark/>
          </w:tcPr>
          <w:p w14:paraId="1DD4ED9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c>
          <w:tcPr>
            <w:tcW w:w="663" w:type="dxa"/>
            <w:tcBorders>
              <w:top w:val="single" w:sz="4" w:space="0" w:color="8ED973"/>
              <w:left w:val="nil"/>
              <w:bottom w:val="single" w:sz="4" w:space="0" w:color="8ED973"/>
              <w:right w:val="nil"/>
            </w:tcBorders>
            <w:shd w:val="clear" w:color="DAF2D0" w:fill="DAF2D0"/>
            <w:noWrap/>
            <w:vAlign w:val="bottom"/>
            <w:hideMark/>
          </w:tcPr>
          <w:p w14:paraId="0CAB680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0.53</w:t>
            </w:r>
          </w:p>
        </w:tc>
        <w:tc>
          <w:tcPr>
            <w:tcW w:w="663" w:type="dxa"/>
            <w:tcBorders>
              <w:top w:val="single" w:sz="4" w:space="0" w:color="8ED973"/>
              <w:left w:val="nil"/>
              <w:bottom w:val="single" w:sz="4" w:space="0" w:color="8ED973"/>
              <w:right w:val="nil"/>
            </w:tcBorders>
            <w:shd w:val="clear" w:color="DAF2D0" w:fill="DAF2D0"/>
            <w:noWrap/>
            <w:vAlign w:val="bottom"/>
            <w:hideMark/>
          </w:tcPr>
          <w:p w14:paraId="26C210B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0.57</w:t>
            </w:r>
          </w:p>
        </w:tc>
        <w:tc>
          <w:tcPr>
            <w:tcW w:w="663" w:type="dxa"/>
            <w:tcBorders>
              <w:top w:val="single" w:sz="4" w:space="0" w:color="8ED973"/>
              <w:left w:val="nil"/>
              <w:bottom w:val="single" w:sz="4" w:space="0" w:color="8ED973"/>
              <w:right w:val="nil"/>
            </w:tcBorders>
            <w:shd w:val="clear" w:color="DAF2D0" w:fill="DAF2D0"/>
            <w:noWrap/>
            <w:vAlign w:val="bottom"/>
            <w:hideMark/>
          </w:tcPr>
          <w:p w14:paraId="7E08C75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0.57</w:t>
            </w:r>
          </w:p>
        </w:tc>
        <w:tc>
          <w:tcPr>
            <w:tcW w:w="663" w:type="dxa"/>
            <w:tcBorders>
              <w:top w:val="single" w:sz="4" w:space="0" w:color="8ED973"/>
              <w:left w:val="nil"/>
              <w:bottom w:val="single" w:sz="4" w:space="0" w:color="8ED973"/>
              <w:right w:val="nil"/>
            </w:tcBorders>
            <w:shd w:val="clear" w:color="DAF2D0" w:fill="DAF2D0"/>
            <w:noWrap/>
            <w:vAlign w:val="bottom"/>
            <w:hideMark/>
          </w:tcPr>
          <w:p w14:paraId="31D587D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r>
      <w:tr w:rsidR="00231C46" w:rsidRPr="00231C46" w14:paraId="1578EDBA"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4CC6EA35"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Associated Electric Cooperative, Inc.</w:t>
            </w:r>
          </w:p>
        </w:tc>
        <w:tc>
          <w:tcPr>
            <w:tcW w:w="669" w:type="dxa"/>
            <w:tcBorders>
              <w:top w:val="single" w:sz="4" w:space="0" w:color="8ED973"/>
              <w:left w:val="nil"/>
              <w:bottom w:val="single" w:sz="4" w:space="0" w:color="8ED973"/>
              <w:right w:val="nil"/>
            </w:tcBorders>
            <w:shd w:val="clear" w:color="auto" w:fill="auto"/>
            <w:noWrap/>
            <w:vAlign w:val="bottom"/>
            <w:hideMark/>
          </w:tcPr>
          <w:p w14:paraId="0613E47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0.52</w:t>
            </w:r>
          </w:p>
        </w:tc>
        <w:tc>
          <w:tcPr>
            <w:tcW w:w="663" w:type="dxa"/>
            <w:tcBorders>
              <w:top w:val="single" w:sz="4" w:space="0" w:color="8ED973"/>
              <w:left w:val="nil"/>
              <w:bottom w:val="single" w:sz="4" w:space="0" w:color="8ED973"/>
              <w:right w:val="nil"/>
            </w:tcBorders>
            <w:shd w:val="clear" w:color="auto" w:fill="auto"/>
            <w:noWrap/>
            <w:vAlign w:val="bottom"/>
            <w:hideMark/>
          </w:tcPr>
          <w:p w14:paraId="4430BB0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0.49</w:t>
            </w:r>
          </w:p>
        </w:tc>
        <w:tc>
          <w:tcPr>
            <w:tcW w:w="663" w:type="dxa"/>
            <w:tcBorders>
              <w:top w:val="single" w:sz="4" w:space="0" w:color="8ED973"/>
              <w:left w:val="nil"/>
              <w:bottom w:val="single" w:sz="4" w:space="0" w:color="8ED973"/>
              <w:right w:val="nil"/>
            </w:tcBorders>
            <w:shd w:val="clear" w:color="auto" w:fill="auto"/>
            <w:noWrap/>
            <w:vAlign w:val="bottom"/>
            <w:hideMark/>
          </w:tcPr>
          <w:p w14:paraId="1C845A9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0.51</w:t>
            </w:r>
          </w:p>
        </w:tc>
        <w:tc>
          <w:tcPr>
            <w:tcW w:w="663" w:type="dxa"/>
            <w:tcBorders>
              <w:top w:val="single" w:sz="4" w:space="0" w:color="8ED973"/>
              <w:left w:val="nil"/>
              <w:bottom w:val="single" w:sz="4" w:space="0" w:color="8ED973"/>
              <w:right w:val="nil"/>
            </w:tcBorders>
            <w:shd w:val="clear" w:color="auto" w:fill="auto"/>
            <w:noWrap/>
            <w:vAlign w:val="bottom"/>
            <w:hideMark/>
          </w:tcPr>
          <w:p w14:paraId="1C94BC5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0.48</w:t>
            </w:r>
          </w:p>
        </w:tc>
        <w:tc>
          <w:tcPr>
            <w:tcW w:w="663" w:type="dxa"/>
            <w:tcBorders>
              <w:top w:val="single" w:sz="4" w:space="0" w:color="8ED973"/>
              <w:left w:val="nil"/>
              <w:bottom w:val="single" w:sz="4" w:space="0" w:color="8ED973"/>
              <w:right w:val="nil"/>
            </w:tcBorders>
            <w:shd w:val="clear" w:color="auto" w:fill="auto"/>
            <w:noWrap/>
            <w:vAlign w:val="bottom"/>
            <w:hideMark/>
          </w:tcPr>
          <w:p w14:paraId="1109E26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auto" w:fill="auto"/>
            <w:noWrap/>
            <w:vAlign w:val="bottom"/>
            <w:hideMark/>
          </w:tcPr>
          <w:p w14:paraId="433FFF0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0.51</w:t>
            </w:r>
          </w:p>
        </w:tc>
        <w:tc>
          <w:tcPr>
            <w:tcW w:w="663" w:type="dxa"/>
            <w:tcBorders>
              <w:top w:val="single" w:sz="4" w:space="0" w:color="8ED973"/>
              <w:left w:val="nil"/>
              <w:bottom w:val="single" w:sz="4" w:space="0" w:color="8ED973"/>
              <w:right w:val="nil"/>
            </w:tcBorders>
            <w:shd w:val="clear" w:color="auto" w:fill="auto"/>
            <w:noWrap/>
            <w:vAlign w:val="bottom"/>
            <w:hideMark/>
          </w:tcPr>
          <w:p w14:paraId="0927BFC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0.57</w:t>
            </w:r>
          </w:p>
        </w:tc>
        <w:tc>
          <w:tcPr>
            <w:tcW w:w="663" w:type="dxa"/>
            <w:tcBorders>
              <w:top w:val="single" w:sz="4" w:space="0" w:color="8ED973"/>
              <w:left w:val="nil"/>
              <w:bottom w:val="single" w:sz="4" w:space="0" w:color="8ED973"/>
              <w:right w:val="nil"/>
            </w:tcBorders>
            <w:shd w:val="clear" w:color="auto" w:fill="auto"/>
            <w:noWrap/>
            <w:vAlign w:val="bottom"/>
            <w:hideMark/>
          </w:tcPr>
          <w:p w14:paraId="54F5286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0.53</w:t>
            </w:r>
          </w:p>
        </w:tc>
        <w:tc>
          <w:tcPr>
            <w:tcW w:w="663" w:type="dxa"/>
            <w:tcBorders>
              <w:top w:val="single" w:sz="4" w:space="0" w:color="8ED973"/>
              <w:left w:val="nil"/>
              <w:bottom w:val="single" w:sz="4" w:space="0" w:color="8ED973"/>
              <w:right w:val="nil"/>
            </w:tcBorders>
            <w:shd w:val="clear" w:color="auto" w:fill="auto"/>
            <w:noWrap/>
            <w:vAlign w:val="bottom"/>
            <w:hideMark/>
          </w:tcPr>
          <w:p w14:paraId="5C1B117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0.55</w:t>
            </w:r>
          </w:p>
        </w:tc>
      </w:tr>
      <w:tr w:rsidR="00231C46" w:rsidRPr="00231C46" w14:paraId="5489D314"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B44AB98"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Public Utility District No. 2 of Grant County, Washington</w:t>
            </w:r>
          </w:p>
        </w:tc>
        <w:tc>
          <w:tcPr>
            <w:tcW w:w="669" w:type="dxa"/>
            <w:tcBorders>
              <w:top w:val="single" w:sz="4" w:space="0" w:color="8ED973"/>
              <w:left w:val="nil"/>
              <w:bottom w:val="single" w:sz="4" w:space="0" w:color="8ED973"/>
              <w:right w:val="nil"/>
            </w:tcBorders>
            <w:shd w:val="clear" w:color="DAF2D0" w:fill="DAF2D0"/>
            <w:noWrap/>
            <w:vAlign w:val="bottom"/>
            <w:hideMark/>
          </w:tcPr>
          <w:p w14:paraId="7477DAC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0.51</w:t>
            </w:r>
          </w:p>
        </w:tc>
        <w:tc>
          <w:tcPr>
            <w:tcW w:w="663" w:type="dxa"/>
            <w:tcBorders>
              <w:top w:val="single" w:sz="4" w:space="0" w:color="8ED973"/>
              <w:left w:val="nil"/>
              <w:bottom w:val="single" w:sz="4" w:space="0" w:color="8ED973"/>
              <w:right w:val="nil"/>
            </w:tcBorders>
            <w:shd w:val="clear" w:color="DAF2D0" w:fill="DAF2D0"/>
            <w:noWrap/>
            <w:vAlign w:val="bottom"/>
            <w:hideMark/>
          </w:tcPr>
          <w:p w14:paraId="351202F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DAF2D0" w:fill="DAF2D0"/>
            <w:noWrap/>
            <w:vAlign w:val="bottom"/>
            <w:hideMark/>
          </w:tcPr>
          <w:p w14:paraId="0F0816B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445B6C2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0.48</w:t>
            </w:r>
          </w:p>
        </w:tc>
        <w:tc>
          <w:tcPr>
            <w:tcW w:w="663" w:type="dxa"/>
            <w:tcBorders>
              <w:top w:val="single" w:sz="4" w:space="0" w:color="8ED973"/>
              <w:left w:val="nil"/>
              <w:bottom w:val="single" w:sz="4" w:space="0" w:color="8ED973"/>
              <w:right w:val="nil"/>
            </w:tcBorders>
            <w:shd w:val="clear" w:color="DAF2D0" w:fill="DAF2D0"/>
            <w:noWrap/>
            <w:vAlign w:val="bottom"/>
            <w:hideMark/>
          </w:tcPr>
          <w:p w14:paraId="0250E49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c>
          <w:tcPr>
            <w:tcW w:w="663" w:type="dxa"/>
            <w:tcBorders>
              <w:top w:val="single" w:sz="4" w:space="0" w:color="8ED973"/>
              <w:left w:val="nil"/>
              <w:bottom w:val="single" w:sz="4" w:space="0" w:color="8ED973"/>
              <w:right w:val="nil"/>
            </w:tcBorders>
            <w:shd w:val="clear" w:color="DAF2D0" w:fill="DAF2D0"/>
            <w:noWrap/>
            <w:vAlign w:val="bottom"/>
            <w:hideMark/>
          </w:tcPr>
          <w:p w14:paraId="745D64B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0.44</w:t>
            </w:r>
          </w:p>
        </w:tc>
        <w:tc>
          <w:tcPr>
            <w:tcW w:w="663" w:type="dxa"/>
            <w:tcBorders>
              <w:top w:val="single" w:sz="4" w:space="0" w:color="8ED973"/>
              <w:left w:val="nil"/>
              <w:bottom w:val="single" w:sz="4" w:space="0" w:color="8ED973"/>
              <w:right w:val="nil"/>
            </w:tcBorders>
            <w:shd w:val="clear" w:color="DAF2D0" w:fill="DAF2D0"/>
            <w:noWrap/>
            <w:vAlign w:val="bottom"/>
            <w:hideMark/>
          </w:tcPr>
          <w:p w14:paraId="3DECC83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0.52</w:t>
            </w:r>
          </w:p>
        </w:tc>
        <w:tc>
          <w:tcPr>
            <w:tcW w:w="663" w:type="dxa"/>
            <w:tcBorders>
              <w:top w:val="single" w:sz="4" w:space="0" w:color="8ED973"/>
              <w:left w:val="nil"/>
              <w:bottom w:val="single" w:sz="4" w:space="0" w:color="8ED973"/>
              <w:right w:val="nil"/>
            </w:tcBorders>
            <w:shd w:val="clear" w:color="DAF2D0" w:fill="DAF2D0"/>
            <w:noWrap/>
            <w:vAlign w:val="bottom"/>
            <w:hideMark/>
          </w:tcPr>
          <w:p w14:paraId="3FCA0F1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DAF2D0" w:fill="DAF2D0"/>
            <w:noWrap/>
            <w:vAlign w:val="bottom"/>
            <w:hideMark/>
          </w:tcPr>
          <w:p w14:paraId="45B1E42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0.6</w:t>
            </w:r>
          </w:p>
        </w:tc>
      </w:tr>
      <w:tr w:rsidR="00231C46" w:rsidRPr="00231C46" w14:paraId="5121B123"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4673813A"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Puget Sound Energy, Inc.</w:t>
            </w:r>
          </w:p>
        </w:tc>
        <w:tc>
          <w:tcPr>
            <w:tcW w:w="669" w:type="dxa"/>
            <w:tcBorders>
              <w:top w:val="single" w:sz="4" w:space="0" w:color="8ED973"/>
              <w:left w:val="nil"/>
              <w:bottom w:val="single" w:sz="4" w:space="0" w:color="8ED973"/>
              <w:right w:val="nil"/>
            </w:tcBorders>
            <w:shd w:val="clear" w:color="auto" w:fill="auto"/>
            <w:noWrap/>
            <w:vAlign w:val="bottom"/>
            <w:hideMark/>
          </w:tcPr>
          <w:p w14:paraId="58317B8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0.51</w:t>
            </w:r>
          </w:p>
        </w:tc>
        <w:tc>
          <w:tcPr>
            <w:tcW w:w="663" w:type="dxa"/>
            <w:tcBorders>
              <w:top w:val="single" w:sz="4" w:space="0" w:color="8ED973"/>
              <w:left w:val="nil"/>
              <w:bottom w:val="single" w:sz="4" w:space="0" w:color="8ED973"/>
              <w:right w:val="nil"/>
            </w:tcBorders>
            <w:shd w:val="clear" w:color="auto" w:fill="auto"/>
            <w:noWrap/>
            <w:vAlign w:val="bottom"/>
            <w:hideMark/>
          </w:tcPr>
          <w:p w14:paraId="7D5D456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auto" w:fill="auto"/>
            <w:noWrap/>
            <w:vAlign w:val="bottom"/>
            <w:hideMark/>
          </w:tcPr>
          <w:p w14:paraId="7E3D872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0.49</w:t>
            </w:r>
          </w:p>
        </w:tc>
        <w:tc>
          <w:tcPr>
            <w:tcW w:w="663" w:type="dxa"/>
            <w:tcBorders>
              <w:top w:val="single" w:sz="4" w:space="0" w:color="8ED973"/>
              <w:left w:val="nil"/>
              <w:bottom w:val="single" w:sz="4" w:space="0" w:color="8ED973"/>
              <w:right w:val="nil"/>
            </w:tcBorders>
            <w:shd w:val="clear" w:color="auto" w:fill="auto"/>
            <w:noWrap/>
            <w:vAlign w:val="bottom"/>
            <w:hideMark/>
          </w:tcPr>
          <w:p w14:paraId="1977605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auto" w:fill="auto"/>
            <w:noWrap/>
            <w:vAlign w:val="bottom"/>
            <w:hideMark/>
          </w:tcPr>
          <w:p w14:paraId="13B82D8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0.48</w:t>
            </w:r>
          </w:p>
        </w:tc>
        <w:tc>
          <w:tcPr>
            <w:tcW w:w="663" w:type="dxa"/>
            <w:tcBorders>
              <w:top w:val="single" w:sz="4" w:space="0" w:color="8ED973"/>
              <w:left w:val="nil"/>
              <w:bottom w:val="single" w:sz="4" w:space="0" w:color="8ED973"/>
              <w:right w:val="nil"/>
            </w:tcBorders>
            <w:shd w:val="clear" w:color="auto" w:fill="auto"/>
            <w:noWrap/>
            <w:vAlign w:val="bottom"/>
            <w:hideMark/>
          </w:tcPr>
          <w:p w14:paraId="1BB806F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w:t>
            </w:r>
          </w:p>
        </w:tc>
        <w:tc>
          <w:tcPr>
            <w:tcW w:w="663" w:type="dxa"/>
            <w:tcBorders>
              <w:top w:val="single" w:sz="4" w:space="0" w:color="8ED973"/>
              <w:left w:val="nil"/>
              <w:bottom w:val="single" w:sz="4" w:space="0" w:color="8ED973"/>
              <w:right w:val="nil"/>
            </w:tcBorders>
            <w:shd w:val="clear" w:color="auto" w:fill="auto"/>
            <w:noWrap/>
            <w:vAlign w:val="bottom"/>
            <w:hideMark/>
          </w:tcPr>
          <w:p w14:paraId="7DEFE08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c>
          <w:tcPr>
            <w:tcW w:w="663" w:type="dxa"/>
            <w:tcBorders>
              <w:top w:val="single" w:sz="4" w:space="0" w:color="8ED973"/>
              <w:left w:val="nil"/>
              <w:bottom w:val="single" w:sz="4" w:space="0" w:color="8ED973"/>
              <w:right w:val="nil"/>
            </w:tcBorders>
            <w:shd w:val="clear" w:color="auto" w:fill="auto"/>
            <w:noWrap/>
            <w:vAlign w:val="bottom"/>
            <w:hideMark/>
          </w:tcPr>
          <w:p w14:paraId="7686BBF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0.49</w:t>
            </w:r>
          </w:p>
        </w:tc>
        <w:tc>
          <w:tcPr>
            <w:tcW w:w="663" w:type="dxa"/>
            <w:tcBorders>
              <w:top w:val="single" w:sz="4" w:space="0" w:color="8ED973"/>
              <w:left w:val="nil"/>
              <w:bottom w:val="single" w:sz="4" w:space="0" w:color="8ED973"/>
              <w:right w:val="nil"/>
            </w:tcBorders>
            <w:shd w:val="clear" w:color="auto" w:fill="auto"/>
            <w:noWrap/>
            <w:vAlign w:val="bottom"/>
            <w:hideMark/>
          </w:tcPr>
          <w:p w14:paraId="29E4FF4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0.54</w:t>
            </w:r>
          </w:p>
        </w:tc>
      </w:tr>
      <w:tr w:rsidR="00231C46" w:rsidRPr="00231C46" w14:paraId="180540F8"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149578F7"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ISO New England</w:t>
            </w:r>
          </w:p>
        </w:tc>
        <w:tc>
          <w:tcPr>
            <w:tcW w:w="669" w:type="dxa"/>
            <w:tcBorders>
              <w:top w:val="single" w:sz="4" w:space="0" w:color="8ED973"/>
              <w:left w:val="nil"/>
              <w:bottom w:val="single" w:sz="4" w:space="0" w:color="8ED973"/>
              <w:right w:val="nil"/>
            </w:tcBorders>
            <w:shd w:val="clear" w:color="DAF2D0" w:fill="DAF2D0"/>
            <w:noWrap/>
            <w:vAlign w:val="bottom"/>
            <w:hideMark/>
          </w:tcPr>
          <w:p w14:paraId="454E48C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DAF2D0" w:fill="DAF2D0"/>
            <w:noWrap/>
            <w:vAlign w:val="bottom"/>
            <w:hideMark/>
          </w:tcPr>
          <w:p w14:paraId="674A410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DAF2D0" w:fill="DAF2D0"/>
            <w:noWrap/>
            <w:vAlign w:val="bottom"/>
            <w:hideMark/>
          </w:tcPr>
          <w:p w14:paraId="26AE4BE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DAF2D0" w:fill="DAF2D0"/>
            <w:noWrap/>
            <w:vAlign w:val="bottom"/>
            <w:hideMark/>
          </w:tcPr>
          <w:p w14:paraId="07A23E3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DAF2D0" w:fill="DAF2D0"/>
            <w:noWrap/>
            <w:vAlign w:val="bottom"/>
            <w:hideMark/>
          </w:tcPr>
          <w:p w14:paraId="7638F23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c>
          <w:tcPr>
            <w:tcW w:w="663" w:type="dxa"/>
            <w:tcBorders>
              <w:top w:val="single" w:sz="4" w:space="0" w:color="8ED973"/>
              <w:left w:val="nil"/>
              <w:bottom w:val="single" w:sz="4" w:space="0" w:color="8ED973"/>
              <w:right w:val="nil"/>
            </w:tcBorders>
            <w:shd w:val="clear" w:color="DAF2D0" w:fill="DAF2D0"/>
            <w:noWrap/>
            <w:vAlign w:val="bottom"/>
            <w:hideMark/>
          </w:tcPr>
          <w:p w14:paraId="01B1BB1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0.51</w:t>
            </w:r>
          </w:p>
        </w:tc>
        <w:tc>
          <w:tcPr>
            <w:tcW w:w="663" w:type="dxa"/>
            <w:tcBorders>
              <w:top w:val="single" w:sz="4" w:space="0" w:color="8ED973"/>
              <w:left w:val="nil"/>
              <w:bottom w:val="single" w:sz="4" w:space="0" w:color="8ED973"/>
              <w:right w:val="nil"/>
            </w:tcBorders>
            <w:shd w:val="clear" w:color="DAF2D0" w:fill="DAF2D0"/>
            <w:noWrap/>
            <w:vAlign w:val="bottom"/>
            <w:hideMark/>
          </w:tcPr>
          <w:p w14:paraId="1A64472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1409F05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DAF2D0" w:fill="DAF2D0"/>
            <w:noWrap/>
            <w:vAlign w:val="bottom"/>
            <w:hideMark/>
          </w:tcPr>
          <w:p w14:paraId="5C57312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r>
      <w:tr w:rsidR="00231C46" w:rsidRPr="00231C46" w14:paraId="478531F1"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1C9A2C7C"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Louisville Gas and Electric Company and Kentucky Utilities Company</w:t>
            </w:r>
          </w:p>
        </w:tc>
        <w:tc>
          <w:tcPr>
            <w:tcW w:w="669" w:type="dxa"/>
            <w:tcBorders>
              <w:top w:val="single" w:sz="4" w:space="0" w:color="8ED973"/>
              <w:left w:val="nil"/>
              <w:bottom w:val="single" w:sz="4" w:space="0" w:color="8ED973"/>
              <w:right w:val="nil"/>
            </w:tcBorders>
            <w:shd w:val="clear" w:color="auto" w:fill="auto"/>
            <w:noWrap/>
            <w:vAlign w:val="bottom"/>
            <w:hideMark/>
          </w:tcPr>
          <w:p w14:paraId="61A941F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auto" w:fill="auto"/>
            <w:noWrap/>
            <w:vAlign w:val="bottom"/>
            <w:hideMark/>
          </w:tcPr>
          <w:p w14:paraId="3554DEC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0.39</w:t>
            </w:r>
          </w:p>
        </w:tc>
        <w:tc>
          <w:tcPr>
            <w:tcW w:w="663" w:type="dxa"/>
            <w:tcBorders>
              <w:top w:val="single" w:sz="4" w:space="0" w:color="8ED973"/>
              <w:left w:val="nil"/>
              <w:bottom w:val="single" w:sz="4" w:space="0" w:color="8ED973"/>
              <w:right w:val="nil"/>
            </w:tcBorders>
            <w:shd w:val="clear" w:color="auto" w:fill="auto"/>
            <w:noWrap/>
            <w:vAlign w:val="bottom"/>
            <w:hideMark/>
          </w:tcPr>
          <w:p w14:paraId="13F237C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0.43</w:t>
            </w:r>
          </w:p>
        </w:tc>
        <w:tc>
          <w:tcPr>
            <w:tcW w:w="663" w:type="dxa"/>
            <w:tcBorders>
              <w:top w:val="single" w:sz="4" w:space="0" w:color="8ED973"/>
              <w:left w:val="nil"/>
              <w:bottom w:val="single" w:sz="4" w:space="0" w:color="8ED973"/>
              <w:right w:val="nil"/>
            </w:tcBorders>
            <w:shd w:val="clear" w:color="auto" w:fill="auto"/>
            <w:noWrap/>
            <w:vAlign w:val="bottom"/>
            <w:hideMark/>
          </w:tcPr>
          <w:p w14:paraId="4E539B5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0.44</w:t>
            </w:r>
          </w:p>
        </w:tc>
        <w:tc>
          <w:tcPr>
            <w:tcW w:w="663" w:type="dxa"/>
            <w:tcBorders>
              <w:top w:val="single" w:sz="4" w:space="0" w:color="8ED973"/>
              <w:left w:val="nil"/>
              <w:bottom w:val="single" w:sz="4" w:space="0" w:color="8ED973"/>
              <w:right w:val="nil"/>
            </w:tcBorders>
            <w:shd w:val="clear" w:color="auto" w:fill="auto"/>
            <w:noWrap/>
            <w:vAlign w:val="bottom"/>
            <w:hideMark/>
          </w:tcPr>
          <w:p w14:paraId="787A8F8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auto" w:fill="auto"/>
            <w:noWrap/>
            <w:vAlign w:val="bottom"/>
            <w:hideMark/>
          </w:tcPr>
          <w:p w14:paraId="10E1EA3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auto" w:fill="auto"/>
            <w:noWrap/>
            <w:vAlign w:val="bottom"/>
            <w:hideMark/>
          </w:tcPr>
          <w:p w14:paraId="45E4141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0.43</w:t>
            </w:r>
          </w:p>
        </w:tc>
        <w:tc>
          <w:tcPr>
            <w:tcW w:w="663" w:type="dxa"/>
            <w:tcBorders>
              <w:top w:val="single" w:sz="4" w:space="0" w:color="8ED973"/>
              <w:left w:val="nil"/>
              <w:bottom w:val="single" w:sz="4" w:space="0" w:color="8ED973"/>
              <w:right w:val="nil"/>
            </w:tcBorders>
            <w:shd w:val="clear" w:color="auto" w:fill="auto"/>
            <w:noWrap/>
            <w:vAlign w:val="bottom"/>
            <w:hideMark/>
          </w:tcPr>
          <w:p w14:paraId="59E32F0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auto" w:fill="auto"/>
            <w:noWrap/>
            <w:vAlign w:val="bottom"/>
            <w:hideMark/>
          </w:tcPr>
          <w:p w14:paraId="7B8F679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r>
      <w:tr w:rsidR="00231C46" w:rsidRPr="00231C46" w14:paraId="48F833D2"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BD9C596"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Seattle City Light</w:t>
            </w:r>
          </w:p>
        </w:tc>
        <w:tc>
          <w:tcPr>
            <w:tcW w:w="669" w:type="dxa"/>
            <w:tcBorders>
              <w:top w:val="single" w:sz="4" w:space="0" w:color="8ED973"/>
              <w:left w:val="nil"/>
              <w:bottom w:val="single" w:sz="4" w:space="0" w:color="8ED973"/>
              <w:right w:val="nil"/>
            </w:tcBorders>
            <w:shd w:val="clear" w:color="DAF2D0" w:fill="DAF2D0"/>
            <w:noWrap/>
            <w:vAlign w:val="bottom"/>
            <w:hideMark/>
          </w:tcPr>
          <w:p w14:paraId="4C7DFFE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DAF2D0" w:fill="DAF2D0"/>
            <w:noWrap/>
            <w:vAlign w:val="bottom"/>
            <w:hideMark/>
          </w:tcPr>
          <w:p w14:paraId="18D031A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060D34C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DAF2D0" w:fill="DAF2D0"/>
            <w:noWrap/>
            <w:vAlign w:val="bottom"/>
            <w:hideMark/>
          </w:tcPr>
          <w:p w14:paraId="43AF563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DAF2D0" w:fill="DAF2D0"/>
            <w:noWrap/>
            <w:vAlign w:val="bottom"/>
            <w:hideMark/>
          </w:tcPr>
          <w:p w14:paraId="388C641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7CE8787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DAF2D0" w:fill="DAF2D0"/>
            <w:noWrap/>
            <w:vAlign w:val="bottom"/>
            <w:hideMark/>
          </w:tcPr>
          <w:p w14:paraId="7D62F46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0.5</w:t>
            </w:r>
          </w:p>
        </w:tc>
        <w:tc>
          <w:tcPr>
            <w:tcW w:w="663" w:type="dxa"/>
            <w:tcBorders>
              <w:top w:val="single" w:sz="4" w:space="0" w:color="8ED973"/>
              <w:left w:val="nil"/>
              <w:bottom w:val="single" w:sz="4" w:space="0" w:color="8ED973"/>
              <w:right w:val="nil"/>
            </w:tcBorders>
            <w:shd w:val="clear" w:color="DAF2D0" w:fill="DAF2D0"/>
            <w:noWrap/>
            <w:vAlign w:val="bottom"/>
            <w:hideMark/>
          </w:tcPr>
          <w:p w14:paraId="5846041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DAF2D0" w:fill="DAF2D0"/>
            <w:noWrap/>
            <w:vAlign w:val="bottom"/>
            <w:hideMark/>
          </w:tcPr>
          <w:p w14:paraId="1117613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r>
      <w:tr w:rsidR="00231C46" w:rsidRPr="00231C46" w14:paraId="53D8F6C7"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4E8E0C5"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Dominion Energy South Carolina, Inc.</w:t>
            </w:r>
          </w:p>
        </w:tc>
        <w:tc>
          <w:tcPr>
            <w:tcW w:w="669" w:type="dxa"/>
            <w:tcBorders>
              <w:top w:val="single" w:sz="4" w:space="0" w:color="8ED973"/>
              <w:left w:val="nil"/>
              <w:bottom w:val="single" w:sz="4" w:space="0" w:color="8ED973"/>
              <w:right w:val="nil"/>
            </w:tcBorders>
            <w:shd w:val="clear" w:color="auto" w:fill="auto"/>
            <w:noWrap/>
            <w:vAlign w:val="bottom"/>
            <w:hideMark/>
          </w:tcPr>
          <w:p w14:paraId="2503CB7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auto" w:fill="auto"/>
            <w:noWrap/>
            <w:vAlign w:val="bottom"/>
            <w:hideMark/>
          </w:tcPr>
          <w:p w14:paraId="1DA195A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auto" w:fill="auto"/>
            <w:noWrap/>
            <w:vAlign w:val="bottom"/>
            <w:hideMark/>
          </w:tcPr>
          <w:p w14:paraId="5AF635E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auto" w:fill="auto"/>
            <w:noWrap/>
            <w:vAlign w:val="bottom"/>
            <w:hideMark/>
          </w:tcPr>
          <w:p w14:paraId="327FA94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0.38</w:t>
            </w:r>
          </w:p>
        </w:tc>
        <w:tc>
          <w:tcPr>
            <w:tcW w:w="663" w:type="dxa"/>
            <w:tcBorders>
              <w:top w:val="single" w:sz="4" w:space="0" w:color="8ED973"/>
              <w:left w:val="nil"/>
              <w:bottom w:val="single" w:sz="4" w:space="0" w:color="8ED973"/>
              <w:right w:val="nil"/>
            </w:tcBorders>
            <w:shd w:val="clear" w:color="auto" w:fill="auto"/>
            <w:noWrap/>
            <w:vAlign w:val="bottom"/>
            <w:hideMark/>
          </w:tcPr>
          <w:p w14:paraId="668DDD0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auto" w:fill="auto"/>
            <w:noWrap/>
            <w:vAlign w:val="bottom"/>
            <w:hideMark/>
          </w:tcPr>
          <w:p w14:paraId="6B649C3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c>
          <w:tcPr>
            <w:tcW w:w="663" w:type="dxa"/>
            <w:tcBorders>
              <w:top w:val="single" w:sz="4" w:space="0" w:color="8ED973"/>
              <w:left w:val="nil"/>
              <w:bottom w:val="single" w:sz="4" w:space="0" w:color="8ED973"/>
              <w:right w:val="nil"/>
            </w:tcBorders>
            <w:shd w:val="clear" w:color="auto" w:fill="auto"/>
            <w:noWrap/>
            <w:vAlign w:val="bottom"/>
            <w:hideMark/>
          </w:tcPr>
          <w:p w14:paraId="0DCA124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auto" w:fill="auto"/>
            <w:noWrap/>
            <w:vAlign w:val="bottom"/>
            <w:hideMark/>
          </w:tcPr>
          <w:p w14:paraId="1C2BB9B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0.44</w:t>
            </w:r>
          </w:p>
        </w:tc>
        <w:tc>
          <w:tcPr>
            <w:tcW w:w="663" w:type="dxa"/>
            <w:tcBorders>
              <w:top w:val="single" w:sz="4" w:space="0" w:color="8ED973"/>
              <w:left w:val="nil"/>
              <w:bottom w:val="single" w:sz="4" w:space="0" w:color="8ED973"/>
              <w:right w:val="nil"/>
            </w:tcBorders>
            <w:shd w:val="clear" w:color="auto" w:fill="auto"/>
            <w:noWrap/>
            <w:vAlign w:val="bottom"/>
            <w:hideMark/>
          </w:tcPr>
          <w:p w14:paraId="54802A0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r>
      <w:tr w:rsidR="00231C46" w:rsidRPr="00231C46" w14:paraId="7C269B6A"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45801EE3"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lastRenderedPageBreak/>
              <w:t>Western Area Power Administration - Rocky Mountain Region</w:t>
            </w:r>
          </w:p>
        </w:tc>
        <w:tc>
          <w:tcPr>
            <w:tcW w:w="669" w:type="dxa"/>
            <w:tcBorders>
              <w:top w:val="single" w:sz="4" w:space="0" w:color="8ED973"/>
              <w:left w:val="nil"/>
              <w:bottom w:val="single" w:sz="4" w:space="0" w:color="8ED973"/>
              <w:right w:val="nil"/>
            </w:tcBorders>
            <w:shd w:val="clear" w:color="DAF2D0" w:fill="DAF2D0"/>
            <w:noWrap/>
            <w:vAlign w:val="bottom"/>
            <w:hideMark/>
          </w:tcPr>
          <w:p w14:paraId="5F2DC83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DAF2D0" w:fill="DAF2D0"/>
            <w:noWrap/>
            <w:vAlign w:val="bottom"/>
            <w:hideMark/>
          </w:tcPr>
          <w:p w14:paraId="7A662F4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DAF2D0" w:fill="DAF2D0"/>
            <w:noWrap/>
            <w:vAlign w:val="bottom"/>
            <w:hideMark/>
          </w:tcPr>
          <w:p w14:paraId="3D30C66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c>
          <w:tcPr>
            <w:tcW w:w="663" w:type="dxa"/>
            <w:tcBorders>
              <w:top w:val="single" w:sz="4" w:space="0" w:color="8ED973"/>
              <w:left w:val="nil"/>
              <w:bottom w:val="single" w:sz="4" w:space="0" w:color="8ED973"/>
              <w:right w:val="nil"/>
            </w:tcBorders>
            <w:shd w:val="clear" w:color="DAF2D0" w:fill="DAF2D0"/>
            <w:noWrap/>
            <w:vAlign w:val="bottom"/>
            <w:hideMark/>
          </w:tcPr>
          <w:p w14:paraId="13394BB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DAF2D0" w:fill="DAF2D0"/>
            <w:noWrap/>
            <w:vAlign w:val="bottom"/>
            <w:hideMark/>
          </w:tcPr>
          <w:p w14:paraId="181B937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DAF2D0" w:fill="DAF2D0"/>
            <w:noWrap/>
            <w:vAlign w:val="bottom"/>
            <w:hideMark/>
          </w:tcPr>
          <w:p w14:paraId="74F3FA3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w:t>
            </w:r>
          </w:p>
        </w:tc>
        <w:tc>
          <w:tcPr>
            <w:tcW w:w="663" w:type="dxa"/>
            <w:tcBorders>
              <w:top w:val="single" w:sz="4" w:space="0" w:color="8ED973"/>
              <w:left w:val="nil"/>
              <w:bottom w:val="single" w:sz="4" w:space="0" w:color="8ED973"/>
              <w:right w:val="nil"/>
            </w:tcBorders>
            <w:shd w:val="clear" w:color="DAF2D0" w:fill="DAF2D0"/>
            <w:noWrap/>
            <w:vAlign w:val="bottom"/>
            <w:hideMark/>
          </w:tcPr>
          <w:p w14:paraId="4ED3EC1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3315515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c>
          <w:tcPr>
            <w:tcW w:w="663" w:type="dxa"/>
            <w:tcBorders>
              <w:top w:val="single" w:sz="4" w:space="0" w:color="8ED973"/>
              <w:left w:val="nil"/>
              <w:bottom w:val="single" w:sz="4" w:space="0" w:color="8ED973"/>
              <w:right w:val="nil"/>
            </w:tcBorders>
            <w:shd w:val="clear" w:color="DAF2D0" w:fill="DAF2D0"/>
            <w:noWrap/>
            <w:vAlign w:val="bottom"/>
            <w:hideMark/>
          </w:tcPr>
          <w:p w14:paraId="53DDB99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r>
      <w:tr w:rsidR="00231C46" w:rsidRPr="00231C46" w14:paraId="2785D7C9"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70253A79"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JEA</w:t>
            </w:r>
          </w:p>
        </w:tc>
        <w:tc>
          <w:tcPr>
            <w:tcW w:w="669" w:type="dxa"/>
            <w:tcBorders>
              <w:top w:val="single" w:sz="4" w:space="0" w:color="8ED973"/>
              <w:left w:val="nil"/>
              <w:bottom w:val="single" w:sz="4" w:space="0" w:color="8ED973"/>
              <w:right w:val="nil"/>
            </w:tcBorders>
            <w:shd w:val="clear" w:color="auto" w:fill="auto"/>
            <w:noWrap/>
            <w:vAlign w:val="bottom"/>
            <w:hideMark/>
          </w:tcPr>
          <w:p w14:paraId="5F4135A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auto" w:fill="auto"/>
            <w:noWrap/>
            <w:vAlign w:val="bottom"/>
            <w:hideMark/>
          </w:tcPr>
          <w:p w14:paraId="63B4580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0.24</w:t>
            </w:r>
          </w:p>
        </w:tc>
        <w:tc>
          <w:tcPr>
            <w:tcW w:w="663" w:type="dxa"/>
            <w:tcBorders>
              <w:top w:val="single" w:sz="4" w:space="0" w:color="8ED973"/>
              <w:left w:val="nil"/>
              <w:bottom w:val="single" w:sz="4" w:space="0" w:color="8ED973"/>
              <w:right w:val="nil"/>
            </w:tcBorders>
            <w:shd w:val="clear" w:color="auto" w:fill="auto"/>
            <w:noWrap/>
            <w:vAlign w:val="bottom"/>
            <w:hideMark/>
          </w:tcPr>
          <w:p w14:paraId="18A2EBC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0.24</w:t>
            </w:r>
          </w:p>
        </w:tc>
        <w:tc>
          <w:tcPr>
            <w:tcW w:w="663" w:type="dxa"/>
            <w:tcBorders>
              <w:top w:val="single" w:sz="4" w:space="0" w:color="8ED973"/>
              <w:left w:val="nil"/>
              <w:bottom w:val="single" w:sz="4" w:space="0" w:color="8ED973"/>
              <w:right w:val="nil"/>
            </w:tcBorders>
            <w:shd w:val="clear" w:color="auto" w:fill="auto"/>
            <w:noWrap/>
            <w:vAlign w:val="bottom"/>
            <w:hideMark/>
          </w:tcPr>
          <w:p w14:paraId="3D3AF65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0.38</w:t>
            </w:r>
          </w:p>
        </w:tc>
        <w:tc>
          <w:tcPr>
            <w:tcW w:w="663" w:type="dxa"/>
            <w:tcBorders>
              <w:top w:val="single" w:sz="4" w:space="0" w:color="8ED973"/>
              <w:left w:val="nil"/>
              <w:bottom w:val="single" w:sz="4" w:space="0" w:color="8ED973"/>
              <w:right w:val="nil"/>
            </w:tcBorders>
            <w:shd w:val="clear" w:color="auto" w:fill="auto"/>
            <w:noWrap/>
            <w:vAlign w:val="bottom"/>
            <w:hideMark/>
          </w:tcPr>
          <w:p w14:paraId="1A0986C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0.39</w:t>
            </w:r>
          </w:p>
        </w:tc>
        <w:tc>
          <w:tcPr>
            <w:tcW w:w="663" w:type="dxa"/>
            <w:tcBorders>
              <w:top w:val="single" w:sz="4" w:space="0" w:color="8ED973"/>
              <w:left w:val="nil"/>
              <w:bottom w:val="single" w:sz="4" w:space="0" w:color="8ED973"/>
              <w:right w:val="nil"/>
            </w:tcBorders>
            <w:shd w:val="clear" w:color="auto" w:fill="auto"/>
            <w:noWrap/>
            <w:vAlign w:val="bottom"/>
            <w:hideMark/>
          </w:tcPr>
          <w:p w14:paraId="7A836C7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auto" w:fill="auto"/>
            <w:noWrap/>
            <w:vAlign w:val="bottom"/>
            <w:hideMark/>
          </w:tcPr>
          <w:p w14:paraId="1EE4B63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c>
          <w:tcPr>
            <w:tcW w:w="663" w:type="dxa"/>
            <w:tcBorders>
              <w:top w:val="single" w:sz="4" w:space="0" w:color="8ED973"/>
              <w:left w:val="nil"/>
              <w:bottom w:val="single" w:sz="4" w:space="0" w:color="8ED973"/>
              <w:right w:val="nil"/>
            </w:tcBorders>
            <w:shd w:val="clear" w:color="auto" w:fill="auto"/>
            <w:noWrap/>
            <w:vAlign w:val="bottom"/>
            <w:hideMark/>
          </w:tcPr>
          <w:p w14:paraId="47305E8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auto" w:fill="auto"/>
            <w:noWrap/>
            <w:vAlign w:val="bottom"/>
            <w:hideMark/>
          </w:tcPr>
          <w:p w14:paraId="25A78AD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0.43</w:t>
            </w:r>
          </w:p>
        </w:tc>
      </w:tr>
      <w:tr w:rsidR="00231C46" w:rsidRPr="00231C46" w14:paraId="222FF72A"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54B3FBA8"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Midcontinent Independent System Operator, Inc.</w:t>
            </w:r>
          </w:p>
        </w:tc>
        <w:tc>
          <w:tcPr>
            <w:tcW w:w="669" w:type="dxa"/>
            <w:tcBorders>
              <w:top w:val="single" w:sz="4" w:space="0" w:color="8ED973"/>
              <w:left w:val="nil"/>
              <w:bottom w:val="single" w:sz="4" w:space="0" w:color="8ED973"/>
              <w:right w:val="nil"/>
            </w:tcBorders>
            <w:shd w:val="clear" w:color="DAF2D0" w:fill="DAF2D0"/>
            <w:noWrap/>
            <w:vAlign w:val="bottom"/>
            <w:hideMark/>
          </w:tcPr>
          <w:p w14:paraId="17CA3A5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DAF2D0" w:fill="DAF2D0"/>
            <w:noWrap/>
            <w:vAlign w:val="bottom"/>
            <w:hideMark/>
          </w:tcPr>
          <w:p w14:paraId="442DF5E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DAF2D0" w:fill="DAF2D0"/>
            <w:noWrap/>
            <w:vAlign w:val="bottom"/>
            <w:hideMark/>
          </w:tcPr>
          <w:p w14:paraId="32404D6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w:t>
            </w:r>
          </w:p>
        </w:tc>
        <w:tc>
          <w:tcPr>
            <w:tcW w:w="663" w:type="dxa"/>
            <w:tcBorders>
              <w:top w:val="single" w:sz="4" w:space="0" w:color="8ED973"/>
              <w:left w:val="nil"/>
              <w:bottom w:val="single" w:sz="4" w:space="0" w:color="8ED973"/>
              <w:right w:val="nil"/>
            </w:tcBorders>
            <w:shd w:val="clear" w:color="DAF2D0" w:fill="DAF2D0"/>
            <w:noWrap/>
            <w:vAlign w:val="bottom"/>
            <w:hideMark/>
          </w:tcPr>
          <w:p w14:paraId="67E64D1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DAF2D0" w:fill="DAF2D0"/>
            <w:noWrap/>
            <w:vAlign w:val="bottom"/>
            <w:hideMark/>
          </w:tcPr>
          <w:p w14:paraId="09297CE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0.39</w:t>
            </w:r>
          </w:p>
        </w:tc>
        <w:tc>
          <w:tcPr>
            <w:tcW w:w="663" w:type="dxa"/>
            <w:tcBorders>
              <w:top w:val="single" w:sz="4" w:space="0" w:color="8ED973"/>
              <w:left w:val="nil"/>
              <w:bottom w:val="single" w:sz="4" w:space="0" w:color="8ED973"/>
              <w:right w:val="nil"/>
            </w:tcBorders>
            <w:shd w:val="clear" w:color="DAF2D0" w:fill="DAF2D0"/>
            <w:noWrap/>
            <w:vAlign w:val="bottom"/>
            <w:hideMark/>
          </w:tcPr>
          <w:p w14:paraId="17A946D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0.43</w:t>
            </w:r>
          </w:p>
        </w:tc>
        <w:tc>
          <w:tcPr>
            <w:tcW w:w="663" w:type="dxa"/>
            <w:tcBorders>
              <w:top w:val="single" w:sz="4" w:space="0" w:color="8ED973"/>
              <w:left w:val="nil"/>
              <w:bottom w:val="single" w:sz="4" w:space="0" w:color="8ED973"/>
              <w:right w:val="nil"/>
            </w:tcBorders>
            <w:shd w:val="clear" w:color="DAF2D0" w:fill="DAF2D0"/>
            <w:noWrap/>
            <w:vAlign w:val="bottom"/>
            <w:hideMark/>
          </w:tcPr>
          <w:p w14:paraId="540F844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c>
          <w:tcPr>
            <w:tcW w:w="663" w:type="dxa"/>
            <w:tcBorders>
              <w:top w:val="single" w:sz="4" w:space="0" w:color="8ED973"/>
              <w:left w:val="nil"/>
              <w:bottom w:val="single" w:sz="4" w:space="0" w:color="8ED973"/>
              <w:right w:val="nil"/>
            </w:tcBorders>
            <w:shd w:val="clear" w:color="DAF2D0" w:fill="DAF2D0"/>
            <w:noWrap/>
            <w:vAlign w:val="bottom"/>
            <w:hideMark/>
          </w:tcPr>
          <w:p w14:paraId="7252F11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c>
          <w:tcPr>
            <w:tcW w:w="663" w:type="dxa"/>
            <w:tcBorders>
              <w:top w:val="single" w:sz="4" w:space="0" w:color="8ED973"/>
              <w:left w:val="nil"/>
              <w:bottom w:val="single" w:sz="4" w:space="0" w:color="8ED973"/>
              <w:right w:val="nil"/>
            </w:tcBorders>
            <w:shd w:val="clear" w:color="DAF2D0" w:fill="DAF2D0"/>
            <w:noWrap/>
            <w:vAlign w:val="bottom"/>
            <w:hideMark/>
          </w:tcPr>
          <w:p w14:paraId="72F7A98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r>
      <w:tr w:rsidR="00231C46" w:rsidRPr="00231C46" w14:paraId="057B393C"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2529CC9E"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Portland General Electric Company</w:t>
            </w:r>
          </w:p>
        </w:tc>
        <w:tc>
          <w:tcPr>
            <w:tcW w:w="669" w:type="dxa"/>
            <w:tcBorders>
              <w:top w:val="single" w:sz="4" w:space="0" w:color="8ED973"/>
              <w:left w:val="nil"/>
              <w:bottom w:val="single" w:sz="4" w:space="0" w:color="8ED973"/>
              <w:right w:val="nil"/>
            </w:tcBorders>
            <w:shd w:val="clear" w:color="auto" w:fill="auto"/>
            <w:noWrap/>
            <w:vAlign w:val="bottom"/>
            <w:hideMark/>
          </w:tcPr>
          <w:p w14:paraId="4F9B926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auto" w:fill="auto"/>
            <w:noWrap/>
            <w:vAlign w:val="bottom"/>
            <w:hideMark/>
          </w:tcPr>
          <w:p w14:paraId="1E4B69E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0.46</w:t>
            </w:r>
          </w:p>
        </w:tc>
        <w:tc>
          <w:tcPr>
            <w:tcW w:w="663" w:type="dxa"/>
            <w:tcBorders>
              <w:top w:val="single" w:sz="4" w:space="0" w:color="8ED973"/>
              <w:left w:val="nil"/>
              <w:bottom w:val="single" w:sz="4" w:space="0" w:color="8ED973"/>
              <w:right w:val="nil"/>
            </w:tcBorders>
            <w:shd w:val="clear" w:color="auto" w:fill="auto"/>
            <w:noWrap/>
            <w:vAlign w:val="bottom"/>
            <w:hideMark/>
          </w:tcPr>
          <w:p w14:paraId="4E2BAF5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auto" w:fill="auto"/>
            <w:noWrap/>
            <w:vAlign w:val="bottom"/>
            <w:hideMark/>
          </w:tcPr>
          <w:p w14:paraId="7CF3962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0.47</w:t>
            </w:r>
          </w:p>
        </w:tc>
        <w:tc>
          <w:tcPr>
            <w:tcW w:w="663" w:type="dxa"/>
            <w:tcBorders>
              <w:top w:val="single" w:sz="4" w:space="0" w:color="8ED973"/>
              <w:left w:val="nil"/>
              <w:bottom w:val="single" w:sz="4" w:space="0" w:color="8ED973"/>
              <w:right w:val="nil"/>
            </w:tcBorders>
            <w:shd w:val="clear" w:color="auto" w:fill="auto"/>
            <w:noWrap/>
            <w:vAlign w:val="bottom"/>
            <w:hideMark/>
          </w:tcPr>
          <w:p w14:paraId="27D4D47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auto" w:fill="auto"/>
            <w:noWrap/>
            <w:vAlign w:val="bottom"/>
            <w:hideMark/>
          </w:tcPr>
          <w:p w14:paraId="2AE812A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auto" w:fill="auto"/>
            <w:noWrap/>
            <w:vAlign w:val="bottom"/>
            <w:hideMark/>
          </w:tcPr>
          <w:p w14:paraId="2421663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w:t>
            </w:r>
          </w:p>
        </w:tc>
        <w:tc>
          <w:tcPr>
            <w:tcW w:w="663" w:type="dxa"/>
            <w:tcBorders>
              <w:top w:val="single" w:sz="4" w:space="0" w:color="8ED973"/>
              <w:left w:val="nil"/>
              <w:bottom w:val="single" w:sz="4" w:space="0" w:color="8ED973"/>
              <w:right w:val="nil"/>
            </w:tcBorders>
            <w:shd w:val="clear" w:color="auto" w:fill="auto"/>
            <w:noWrap/>
            <w:vAlign w:val="bottom"/>
            <w:hideMark/>
          </w:tcPr>
          <w:p w14:paraId="305A3C7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0.25</w:t>
            </w:r>
          </w:p>
        </w:tc>
        <w:tc>
          <w:tcPr>
            <w:tcW w:w="663" w:type="dxa"/>
            <w:tcBorders>
              <w:top w:val="single" w:sz="4" w:space="0" w:color="8ED973"/>
              <w:left w:val="nil"/>
              <w:bottom w:val="single" w:sz="4" w:space="0" w:color="8ED973"/>
              <w:right w:val="nil"/>
            </w:tcBorders>
            <w:shd w:val="clear" w:color="auto" w:fill="auto"/>
            <w:noWrap/>
            <w:vAlign w:val="bottom"/>
            <w:hideMark/>
          </w:tcPr>
          <w:p w14:paraId="10CF8DA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0.26</w:t>
            </w:r>
          </w:p>
        </w:tc>
      </w:tr>
      <w:tr w:rsidR="00231C46" w:rsidRPr="00231C46" w14:paraId="47FD4A49"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634F7149"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Tampa Electric Company</w:t>
            </w:r>
          </w:p>
        </w:tc>
        <w:tc>
          <w:tcPr>
            <w:tcW w:w="669" w:type="dxa"/>
            <w:tcBorders>
              <w:top w:val="single" w:sz="4" w:space="0" w:color="8ED973"/>
              <w:left w:val="nil"/>
              <w:bottom w:val="single" w:sz="4" w:space="0" w:color="8ED973"/>
              <w:right w:val="nil"/>
            </w:tcBorders>
            <w:shd w:val="clear" w:color="DAF2D0" w:fill="DAF2D0"/>
            <w:noWrap/>
            <w:vAlign w:val="bottom"/>
            <w:hideMark/>
          </w:tcPr>
          <w:p w14:paraId="79B9EA1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DAF2D0" w:fill="DAF2D0"/>
            <w:noWrap/>
            <w:vAlign w:val="bottom"/>
            <w:hideMark/>
          </w:tcPr>
          <w:p w14:paraId="6C5655C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DAF2D0" w:fill="DAF2D0"/>
            <w:noWrap/>
            <w:vAlign w:val="bottom"/>
            <w:hideMark/>
          </w:tcPr>
          <w:p w14:paraId="4724F8C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DAF2D0" w:fill="DAF2D0"/>
            <w:noWrap/>
            <w:vAlign w:val="bottom"/>
            <w:hideMark/>
          </w:tcPr>
          <w:p w14:paraId="7068A32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DAF2D0" w:fill="DAF2D0"/>
            <w:noWrap/>
            <w:vAlign w:val="bottom"/>
            <w:hideMark/>
          </w:tcPr>
          <w:p w14:paraId="794856E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w:t>
            </w:r>
          </w:p>
        </w:tc>
        <w:tc>
          <w:tcPr>
            <w:tcW w:w="663" w:type="dxa"/>
            <w:tcBorders>
              <w:top w:val="single" w:sz="4" w:space="0" w:color="8ED973"/>
              <w:left w:val="nil"/>
              <w:bottom w:val="single" w:sz="4" w:space="0" w:color="8ED973"/>
              <w:right w:val="nil"/>
            </w:tcBorders>
            <w:shd w:val="clear" w:color="DAF2D0" w:fill="DAF2D0"/>
            <w:noWrap/>
            <w:vAlign w:val="bottom"/>
            <w:hideMark/>
          </w:tcPr>
          <w:p w14:paraId="673BA5D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0.39</w:t>
            </w:r>
          </w:p>
        </w:tc>
        <w:tc>
          <w:tcPr>
            <w:tcW w:w="663" w:type="dxa"/>
            <w:tcBorders>
              <w:top w:val="single" w:sz="4" w:space="0" w:color="8ED973"/>
              <w:left w:val="nil"/>
              <w:bottom w:val="single" w:sz="4" w:space="0" w:color="8ED973"/>
              <w:right w:val="nil"/>
            </w:tcBorders>
            <w:shd w:val="clear" w:color="DAF2D0" w:fill="DAF2D0"/>
            <w:noWrap/>
            <w:vAlign w:val="bottom"/>
            <w:hideMark/>
          </w:tcPr>
          <w:p w14:paraId="765586D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0.42</w:t>
            </w:r>
          </w:p>
        </w:tc>
        <w:tc>
          <w:tcPr>
            <w:tcW w:w="663" w:type="dxa"/>
            <w:tcBorders>
              <w:top w:val="single" w:sz="4" w:space="0" w:color="8ED973"/>
              <w:left w:val="nil"/>
              <w:bottom w:val="single" w:sz="4" w:space="0" w:color="8ED973"/>
              <w:right w:val="nil"/>
            </w:tcBorders>
            <w:shd w:val="clear" w:color="DAF2D0" w:fill="DAF2D0"/>
            <w:noWrap/>
            <w:vAlign w:val="bottom"/>
            <w:hideMark/>
          </w:tcPr>
          <w:p w14:paraId="4A23A5C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0.45</w:t>
            </w:r>
          </w:p>
        </w:tc>
        <w:tc>
          <w:tcPr>
            <w:tcW w:w="663" w:type="dxa"/>
            <w:tcBorders>
              <w:top w:val="single" w:sz="4" w:space="0" w:color="8ED973"/>
              <w:left w:val="nil"/>
              <w:bottom w:val="single" w:sz="4" w:space="0" w:color="8ED973"/>
              <w:right w:val="nil"/>
            </w:tcBorders>
            <w:shd w:val="clear" w:color="DAF2D0" w:fill="DAF2D0"/>
            <w:noWrap/>
            <w:vAlign w:val="bottom"/>
            <w:hideMark/>
          </w:tcPr>
          <w:p w14:paraId="549A8C1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0.41</w:t>
            </w:r>
          </w:p>
        </w:tc>
      </w:tr>
      <w:tr w:rsidR="00231C46" w:rsidRPr="00231C46" w14:paraId="4B1B7FEF"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B17BCFE"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Duke Energy Carolinas</w:t>
            </w:r>
          </w:p>
        </w:tc>
        <w:tc>
          <w:tcPr>
            <w:tcW w:w="669" w:type="dxa"/>
            <w:tcBorders>
              <w:top w:val="single" w:sz="4" w:space="0" w:color="8ED973"/>
              <w:left w:val="nil"/>
              <w:bottom w:val="single" w:sz="4" w:space="0" w:color="8ED973"/>
              <w:right w:val="nil"/>
            </w:tcBorders>
            <w:shd w:val="clear" w:color="auto" w:fill="auto"/>
            <w:noWrap/>
            <w:vAlign w:val="bottom"/>
            <w:hideMark/>
          </w:tcPr>
          <w:p w14:paraId="38BA3A6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c>
          <w:tcPr>
            <w:tcW w:w="663" w:type="dxa"/>
            <w:tcBorders>
              <w:top w:val="single" w:sz="4" w:space="0" w:color="8ED973"/>
              <w:left w:val="nil"/>
              <w:bottom w:val="single" w:sz="4" w:space="0" w:color="8ED973"/>
              <w:right w:val="nil"/>
            </w:tcBorders>
            <w:shd w:val="clear" w:color="auto" w:fill="auto"/>
            <w:noWrap/>
            <w:vAlign w:val="bottom"/>
            <w:hideMark/>
          </w:tcPr>
          <w:p w14:paraId="5B5EA0D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auto" w:fill="auto"/>
            <w:noWrap/>
            <w:vAlign w:val="bottom"/>
            <w:hideMark/>
          </w:tcPr>
          <w:p w14:paraId="584D066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0.32</w:t>
            </w:r>
          </w:p>
        </w:tc>
        <w:tc>
          <w:tcPr>
            <w:tcW w:w="663" w:type="dxa"/>
            <w:tcBorders>
              <w:top w:val="single" w:sz="4" w:space="0" w:color="8ED973"/>
              <w:left w:val="nil"/>
              <w:bottom w:val="single" w:sz="4" w:space="0" w:color="8ED973"/>
              <w:right w:val="nil"/>
            </w:tcBorders>
            <w:shd w:val="clear" w:color="auto" w:fill="auto"/>
            <w:noWrap/>
            <w:vAlign w:val="bottom"/>
            <w:hideMark/>
          </w:tcPr>
          <w:p w14:paraId="1DFBCDB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auto" w:fill="auto"/>
            <w:noWrap/>
            <w:vAlign w:val="bottom"/>
            <w:hideMark/>
          </w:tcPr>
          <w:p w14:paraId="60101B6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auto" w:fill="auto"/>
            <w:noWrap/>
            <w:vAlign w:val="bottom"/>
            <w:hideMark/>
          </w:tcPr>
          <w:p w14:paraId="64F83F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auto" w:fill="auto"/>
            <w:noWrap/>
            <w:vAlign w:val="bottom"/>
            <w:hideMark/>
          </w:tcPr>
          <w:p w14:paraId="22A9A9E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auto" w:fill="auto"/>
            <w:noWrap/>
            <w:vAlign w:val="bottom"/>
            <w:hideMark/>
          </w:tcPr>
          <w:p w14:paraId="61E7116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auto" w:fill="auto"/>
            <w:noWrap/>
            <w:vAlign w:val="bottom"/>
            <w:hideMark/>
          </w:tcPr>
          <w:p w14:paraId="78936F2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r>
      <w:tr w:rsidR="00231C46" w:rsidRPr="00231C46" w14:paraId="7B8D031A"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7907D527"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City of Tacoma, Department of Public Utilities, Light Division</w:t>
            </w:r>
          </w:p>
        </w:tc>
        <w:tc>
          <w:tcPr>
            <w:tcW w:w="669" w:type="dxa"/>
            <w:tcBorders>
              <w:top w:val="single" w:sz="4" w:space="0" w:color="8ED973"/>
              <w:left w:val="nil"/>
              <w:bottom w:val="single" w:sz="4" w:space="0" w:color="8ED973"/>
              <w:right w:val="nil"/>
            </w:tcBorders>
            <w:shd w:val="clear" w:color="DAF2D0" w:fill="DAF2D0"/>
            <w:noWrap/>
            <w:vAlign w:val="bottom"/>
            <w:hideMark/>
          </w:tcPr>
          <w:p w14:paraId="3C89377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DAF2D0" w:fill="DAF2D0"/>
            <w:noWrap/>
            <w:vAlign w:val="bottom"/>
            <w:hideMark/>
          </w:tcPr>
          <w:p w14:paraId="7722E69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DAF2D0" w:fill="DAF2D0"/>
            <w:noWrap/>
            <w:vAlign w:val="bottom"/>
            <w:hideMark/>
          </w:tcPr>
          <w:p w14:paraId="10F423F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DAF2D0" w:fill="DAF2D0"/>
            <w:noWrap/>
            <w:vAlign w:val="bottom"/>
            <w:hideMark/>
          </w:tcPr>
          <w:p w14:paraId="0113915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DAF2D0" w:fill="DAF2D0"/>
            <w:noWrap/>
            <w:vAlign w:val="bottom"/>
            <w:hideMark/>
          </w:tcPr>
          <w:p w14:paraId="66BAB62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0.22</w:t>
            </w:r>
          </w:p>
        </w:tc>
        <w:tc>
          <w:tcPr>
            <w:tcW w:w="663" w:type="dxa"/>
            <w:tcBorders>
              <w:top w:val="single" w:sz="4" w:space="0" w:color="8ED973"/>
              <w:left w:val="nil"/>
              <w:bottom w:val="single" w:sz="4" w:space="0" w:color="8ED973"/>
              <w:right w:val="nil"/>
            </w:tcBorders>
            <w:shd w:val="clear" w:color="DAF2D0" w:fill="DAF2D0"/>
            <w:noWrap/>
            <w:vAlign w:val="bottom"/>
            <w:hideMark/>
          </w:tcPr>
          <w:p w14:paraId="23EBCFD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DAF2D0" w:fill="DAF2D0"/>
            <w:noWrap/>
            <w:vAlign w:val="bottom"/>
            <w:hideMark/>
          </w:tcPr>
          <w:p w14:paraId="2890405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0.34</w:t>
            </w:r>
          </w:p>
        </w:tc>
        <w:tc>
          <w:tcPr>
            <w:tcW w:w="663" w:type="dxa"/>
            <w:tcBorders>
              <w:top w:val="single" w:sz="4" w:space="0" w:color="8ED973"/>
              <w:left w:val="nil"/>
              <w:bottom w:val="single" w:sz="4" w:space="0" w:color="8ED973"/>
              <w:right w:val="nil"/>
            </w:tcBorders>
            <w:shd w:val="clear" w:color="DAF2D0" w:fill="DAF2D0"/>
            <w:noWrap/>
            <w:vAlign w:val="bottom"/>
            <w:hideMark/>
          </w:tcPr>
          <w:p w14:paraId="41014B6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0.35</w:t>
            </w:r>
          </w:p>
        </w:tc>
        <w:tc>
          <w:tcPr>
            <w:tcW w:w="663" w:type="dxa"/>
            <w:tcBorders>
              <w:top w:val="single" w:sz="4" w:space="0" w:color="8ED973"/>
              <w:left w:val="nil"/>
              <w:bottom w:val="single" w:sz="4" w:space="0" w:color="8ED973"/>
              <w:right w:val="nil"/>
            </w:tcBorders>
            <w:shd w:val="clear" w:color="DAF2D0" w:fill="DAF2D0"/>
            <w:noWrap/>
            <w:vAlign w:val="bottom"/>
            <w:hideMark/>
          </w:tcPr>
          <w:p w14:paraId="69B5B92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r>
      <w:tr w:rsidR="00231C46" w:rsidRPr="00231C46" w14:paraId="31B9CCE4"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BBCF8E6"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Florida Power &amp; Light Co.</w:t>
            </w:r>
          </w:p>
        </w:tc>
        <w:tc>
          <w:tcPr>
            <w:tcW w:w="669" w:type="dxa"/>
            <w:tcBorders>
              <w:top w:val="single" w:sz="4" w:space="0" w:color="8ED973"/>
              <w:left w:val="nil"/>
              <w:bottom w:val="single" w:sz="4" w:space="0" w:color="8ED973"/>
              <w:right w:val="nil"/>
            </w:tcBorders>
            <w:shd w:val="clear" w:color="auto" w:fill="auto"/>
            <w:noWrap/>
            <w:vAlign w:val="bottom"/>
            <w:hideMark/>
          </w:tcPr>
          <w:p w14:paraId="4BA5848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0.32</w:t>
            </w:r>
          </w:p>
        </w:tc>
        <w:tc>
          <w:tcPr>
            <w:tcW w:w="663" w:type="dxa"/>
            <w:tcBorders>
              <w:top w:val="single" w:sz="4" w:space="0" w:color="8ED973"/>
              <w:left w:val="nil"/>
              <w:bottom w:val="single" w:sz="4" w:space="0" w:color="8ED973"/>
              <w:right w:val="nil"/>
            </w:tcBorders>
            <w:shd w:val="clear" w:color="auto" w:fill="auto"/>
            <w:noWrap/>
            <w:vAlign w:val="bottom"/>
            <w:hideMark/>
          </w:tcPr>
          <w:p w14:paraId="27D9AAA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0.38</w:t>
            </w:r>
          </w:p>
        </w:tc>
        <w:tc>
          <w:tcPr>
            <w:tcW w:w="663" w:type="dxa"/>
            <w:tcBorders>
              <w:top w:val="single" w:sz="4" w:space="0" w:color="8ED973"/>
              <w:left w:val="nil"/>
              <w:bottom w:val="single" w:sz="4" w:space="0" w:color="8ED973"/>
              <w:right w:val="nil"/>
            </w:tcBorders>
            <w:shd w:val="clear" w:color="auto" w:fill="auto"/>
            <w:noWrap/>
            <w:vAlign w:val="bottom"/>
            <w:hideMark/>
          </w:tcPr>
          <w:p w14:paraId="64737A7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0.36</w:t>
            </w:r>
          </w:p>
        </w:tc>
        <w:tc>
          <w:tcPr>
            <w:tcW w:w="663" w:type="dxa"/>
            <w:tcBorders>
              <w:top w:val="single" w:sz="4" w:space="0" w:color="8ED973"/>
              <w:left w:val="nil"/>
              <w:bottom w:val="single" w:sz="4" w:space="0" w:color="8ED973"/>
              <w:right w:val="nil"/>
            </w:tcBorders>
            <w:shd w:val="clear" w:color="auto" w:fill="auto"/>
            <w:noWrap/>
            <w:vAlign w:val="bottom"/>
            <w:hideMark/>
          </w:tcPr>
          <w:p w14:paraId="3D2E05D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auto" w:fill="auto"/>
            <w:noWrap/>
            <w:vAlign w:val="bottom"/>
            <w:hideMark/>
          </w:tcPr>
          <w:p w14:paraId="29A3D8F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auto" w:fill="auto"/>
            <w:noWrap/>
            <w:vAlign w:val="bottom"/>
            <w:hideMark/>
          </w:tcPr>
          <w:p w14:paraId="0DC6270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0.26</w:t>
            </w:r>
          </w:p>
        </w:tc>
        <w:tc>
          <w:tcPr>
            <w:tcW w:w="663" w:type="dxa"/>
            <w:tcBorders>
              <w:top w:val="single" w:sz="4" w:space="0" w:color="8ED973"/>
              <w:left w:val="nil"/>
              <w:bottom w:val="single" w:sz="4" w:space="0" w:color="8ED973"/>
              <w:right w:val="nil"/>
            </w:tcBorders>
            <w:shd w:val="clear" w:color="auto" w:fill="auto"/>
            <w:noWrap/>
            <w:vAlign w:val="bottom"/>
            <w:hideMark/>
          </w:tcPr>
          <w:p w14:paraId="05D35DE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auto" w:fill="auto"/>
            <w:noWrap/>
            <w:vAlign w:val="bottom"/>
            <w:hideMark/>
          </w:tcPr>
          <w:p w14:paraId="18C7440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0.28</w:t>
            </w:r>
          </w:p>
        </w:tc>
        <w:tc>
          <w:tcPr>
            <w:tcW w:w="663" w:type="dxa"/>
            <w:tcBorders>
              <w:top w:val="single" w:sz="4" w:space="0" w:color="8ED973"/>
              <w:left w:val="nil"/>
              <w:bottom w:val="single" w:sz="4" w:space="0" w:color="8ED973"/>
              <w:right w:val="nil"/>
            </w:tcBorders>
            <w:shd w:val="clear" w:color="auto" w:fill="auto"/>
            <w:noWrap/>
            <w:vAlign w:val="bottom"/>
            <w:hideMark/>
          </w:tcPr>
          <w:p w14:paraId="2F88E4A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r>
      <w:tr w:rsidR="00231C46" w:rsidRPr="00231C46" w14:paraId="0AE4BF9C"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3FF60CF6"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Duke Energy Progress East</w:t>
            </w:r>
          </w:p>
        </w:tc>
        <w:tc>
          <w:tcPr>
            <w:tcW w:w="669" w:type="dxa"/>
            <w:tcBorders>
              <w:top w:val="single" w:sz="4" w:space="0" w:color="8ED973"/>
              <w:left w:val="nil"/>
              <w:bottom w:val="single" w:sz="4" w:space="0" w:color="8ED973"/>
              <w:right w:val="nil"/>
            </w:tcBorders>
            <w:shd w:val="clear" w:color="DAF2D0" w:fill="DAF2D0"/>
            <w:noWrap/>
            <w:vAlign w:val="bottom"/>
            <w:hideMark/>
          </w:tcPr>
          <w:p w14:paraId="5D5C13C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DAF2D0" w:fill="DAF2D0"/>
            <w:noWrap/>
            <w:vAlign w:val="bottom"/>
            <w:hideMark/>
          </w:tcPr>
          <w:p w14:paraId="3070A8E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DAF2D0" w:fill="DAF2D0"/>
            <w:noWrap/>
            <w:vAlign w:val="bottom"/>
            <w:hideMark/>
          </w:tcPr>
          <w:p w14:paraId="6D0C119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0.28</w:t>
            </w:r>
          </w:p>
        </w:tc>
        <w:tc>
          <w:tcPr>
            <w:tcW w:w="663" w:type="dxa"/>
            <w:tcBorders>
              <w:top w:val="single" w:sz="4" w:space="0" w:color="8ED973"/>
              <w:left w:val="nil"/>
              <w:bottom w:val="single" w:sz="4" w:space="0" w:color="8ED973"/>
              <w:right w:val="nil"/>
            </w:tcBorders>
            <w:shd w:val="clear" w:color="DAF2D0" w:fill="DAF2D0"/>
            <w:noWrap/>
            <w:vAlign w:val="bottom"/>
            <w:hideMark/>
          </w:tcPr>
          <w:p w14:paraId="030C854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DAF2D0" w:fill="DAF2D0"/>
            <w:noWrap/>
            <w:vAlign w:val="bottom"/>
            <w:hideMark/>
          </w:tcPr>
          <w:p w14:paraId="12610AE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0.28</w:t>
            </w:r>
          </w:p>
        </w:tc>
        <w:tc>
          <w:tcPr>
            <w:tcW w:w="663" w:type="dxa"/>
            <w:tcBorders>
              <w:top w:val="single" w:sz="4" w:space="0" w:color="8ED973"/>
              <w:left w:val="nil"/>
              <w:bottom w:val="single" w:sz="4" w:space="0" w:color="8ED973"/>
              <w:right w:val="nil"/>
            </w:tcBorders>
            <w:shd w:val="clear" w:color="DAF2D0" w:fill="DAF2D0"/>
            <w:noWrap/>
            <w:vAlign w:val="bottom"/>
            <w:hideMark/>
          </w:tcPr>
          <w:p w14:paraId="2FECC05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DAF2D0" w:fill="DAF2D0"/>
            <w:noWrap/>
            <w:vAlign w:val="bottom"/>
            <w:hideMark/>
          </w:tcPr>
          <w:p w14:paraId="289B10A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DAF2D0" w:fill="DAF2D0"/>
            <w:noWrap/>
            <w:vAlign w:val="bottom"/>
            <w:hideMark/>
          </w:tcPr>
          <w:p w14:paraId="5FDAFB6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0.37</w:t>
            </w:r>
          </w:p>
        </w:tc>
        <w:tc>
          <w:tcPr>
            <w:tcW w:w="663" w:type="dxa"/>
            <w:tcBorders>
              <w:top w:val="single" w:sz="4" w:space="0" w:color="8ED973"/>
              <w:left w:val="nil"/>
              <w:bottom w:val="single" w:sz="4" w:space="0" w:color="8ED973"/>
              <w:right w:val="nil"/>
            </w:tcBorders>
            <w:shd w:val="clear" w:color="DAF2D0" w:fill="DAF2D0"/>
            <w:noWrap/>
            <w:vAlign w:val="bottom"/>
            <w:hideMark/>
          </w:tcPr>
          <w:p w14:paraId="6EECBB9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w:t>
            </w:r>
          </w:p>
        </w:tc>
      </w:tr>
      <w:tr w:rsidR="00231C46" w:rsidRPr="00231C46" w14:paraId="49DC692F"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49788FC"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Tennessee Valley Authority</w:t>
            </w:r>
          </w:p>
        </w:tc>
        <w:tc>
          <w:tcPr>
            <w:tcW w:w="669" w:type="dxa"/>
            <w:tcBorders>
              <w:top w:val="single" w:sz="4" w:space="0" w:color="8ED973"/>
              <w:left w:val="nil"/>
              <w:bottom w:val="single" w:sz="4" w:space="0" w:color="8ED973"/>
              <w:right w:val="nil"/>
            </w:tcBorders>
            <w:shd w:val="clear" w:color="auto" w:fill="auto"/>
            <w:noWrap/>
            <w:vAlign w:val="bottom"/>
            <w:hideMark/>
          </w:tcPr>
          <w:p w14:paraId="446EDFB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auto" w:fill="auto"/>
            <w:noWrap/>
            <w:vAlign w:val="bottom"/>
            <w:hideMark/>
          </w:tcPr>
          <w:p w14:paraId="6C8899A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0.26</w:t>
            </w:r>
          </w:p>
        </w:tc>
        <w:tc>
          <w:tcPr>
            <w:tcW w:w="663" w:type="dxa"/>
            <w:tcBorders>
              <w:top w:val="single" w:sz="4" w:space="0" w:color="8ED973"/>
              <w:left w:val="nil"/>
              <w:bottom w:val="single" w:sz="4" w:space="0" w:color="8ED973"/>
              <w:right w:val="nil"/>
            </w:tcBorders>
            <w:shd w:val="clear" w:color="auto" w:fill="auto"/>
            <w:noWrap/>
            <w:vAlign w:val="bottom"/>
            <w:hideMark/>
          </w:tcPr>
          <w:p w14:paraId="4F7CCF9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auto" w:fill="auto"/>
            <w:noWrap/>
            <w:vAlign w:val="bottom"/>
            <w:hideMark/>
          </w:tcPr>
          <w:p w14:paraId="023518B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auto" w:fill="auto"/>
            <w:noWrap/>
            <w:vAlign w:val="bottom"/>
            <w:hideMark/>
          </w:tcPr>
          <w:p w14:paraId="4A011EA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auto" w:fill="auto"/>
            <w:noWrap/>
            <w:vAlign w:val="bottom"/>
            <w:hideMark/>
          </w:tcPr>
          <w:p w14:paraId="2802038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0.27</w:t>
            </w:r>
          </w:p>
        </w:tc>
        <w:tc>
          <w:tcPr>
            <w:tcW w:w="663" w:type="dxa"/>
            <w:tcBorders>
              <w:top w:val="single" w:sz="4" w:space="0" w:color="8ED973"/>
              <w:left w:val="nil"/>
              <w:bottom w:val="single" w:sz="4" w:space="0" w:color="8ED973"/>
              <w:right w:val="nil"/>
            </w:tcBorders>
            <w:shd w:val="clear" w:color="auto" w:fill="auto"/>
            <w:noWrap/>
            <w:vAlign w:val="bottom"/>
            <w:hideMark/>
          </w:tcPr>
          <w:p w14:paraId="704D28A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auto" w:fill="auto"/>
            <w:noWrap/>
            <w:vAlign w:val="bottom"/>
            <w:hideMark/>
          </w:tcPr>
          <w:p w14:paraId="5B1C8E3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0.33</w:t>
            </w:r>
          </w:p>
        </w:tc>
        <w:tc>
          <w:tcPr>
            <w:tcW w:w="663" w:type="dxa"/>
            <w:tcBorders>
              <w:top w:val="single" w:sz="4" w:space="0" w:color="8ED973"/>
              <w:left w:val="nil"/>
              <w:bottom w:val="single" w:sz="4" w:space="0" w:color="8ED973"/>
              <w:right w:val="nil"/>
            </w:tcBorders>
            <w:shd w:val="clear" w:color="auto" w:fill="auto"/>
            <w:noWrap/>
            <w:vAlign w:val="bottom"/>
            <w:hideMark/>
          </w:tcPr>
          <w:p w14:paraId="7189ADC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w:t>
            </w:r>
          </w:p>
        </w:tc>
      </w:tr>
      <w:tr w:rsidR="00231C46" w:rsidRPr="00231C46" w14:paraId="2C058363"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27BC0B6A"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Public Service Company of Colorado</w:t>
            </w:r>
          </w:p>
        </w:tc>
        <w:tc>
          <w:tcPr>
            <w:tcW w:w="669" w:type="dxa"/>
            <w:tcBorders>
              <w:top w:val="single" w:sz="4" w:space="0" w:color="8ED973"/>
              <w:left w:val="nil"/>
              <w:bottom w:val="single" w:sz="4" w:space="0" w:color="8ED973"/>
              <w:right w:val="nil"/>
            </w:tcBorders>
            <w:shd w:val="clear" w:color="DAF2D0" w:fill="DAF2D0"/>
            <w:noWrap/>
            <w:vAlign w:val="bottom"/>
            <w:hideMark/>
          </w:tcPr>
          <w:p w14:paraId="740EA51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0.25</w:t>
            </w:r>
          </w:p>
        </w:tc>
        <w:tc>
          <w:tcPr>
            <w:tcW w:w="663" w:type="dxa"/>
            <w:tcBorders>
              <w:top w:val="single" w:sz="4" w:space="0" w:color="8ED973"/>
              <w:left w:val="nil"/>
              <w:bottom w:val="single" w:sz="4" w:space="0" w:color="8ED973"/>
              <w:right w:val="nil"/>
            </w:tcBorders>
            <w:shd w:val="clear" w:color="DAF2D0" w:fill="DAF2D0"/>
            <w:noWrap/>
            <w:vAlign w:val="bottom"/>
            <w:hideMark/>
          </w:tcPr>
          <w:p w14:paraId="70E05D6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0.28</w:t>
            </w:r>
          </w:p>
        </w:tc>
        <w:tc>
          <w:tcPr>
            <w:tcW w:w="663" w:type="dxa"/>
            <w:tcBorders>
              <w:top w:val="single" w:sz="4" w:space="0" w:color="8ED973"/>
              <w:left w:val="nil"/>
              <w:bottom w:val="single" w:sz="4" w:space="0" w:color="8ED973"/>
              <w:right w:val="nil"/>
            </w:tcBorders>
            <w:shd w:val="clear" w:color="DAF2D0" w:fill="DAF2D0"/>
            <w:noWrap/>
            <w:vAlign w:val="bottom"/>
            <w:hideMark/>
          </w:tcPr>
          <w:p w14:paraId="6A6C814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0.28</w:t>
            </w:r>
          </w:p>
        </w:tc>
        <w:tc>
          <w:tcPr>
            <w:tcW w:w="663" w:type="dxa"/>
            <w:tcBorders>
              <w:top w:val="single" w:sz="4" w:space="0" w:color="8ED973"/>
              <w:left w:val="nil"/>
              <w:bottom w:val="single" w:sz="4" w:space="0" w:color="8ED973"/>
              <w:right w:val="nil"/>
            </w:tcBorders>
            <w:shd w:val="clear" w:color="DAF2D0" w:fill="DAF2D0"/>
            <w:noWrap/>
            <w:vAlign w:val="bottom"/>
            <w:hideMark/>
          </w:tcPr>
          <w:p w14:paraId="5FA9401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0.23</w:t>
            </w:r>
          </w:p>
        </w:tc>
        <w:tc>
          <w:tcPr>
            <w:tcW w:w="663" w:type="dxa"/>
            <w:tcBorders>
              <w:top w:val="single" w:sz="4" w:space="0" w:color="8ED973"/>
              <w:left w:val="nil"/>
              <w:bottom w:val="single" w:sz="4" w:space="0" w:color="8ED973"/>
              <w:right w:val="nil"/>
            </w:tcBorders>
            <w:shd w:val="clear" w:color="DAF2D0" w:fill="DAF2D0"/>
            <w:noWrap/>
            <w:vAlign w:val="bottom"/>
            <w:hideMark/>
          </w:tcPr>
          <w:p w14:paraId="7B0B7E8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0.23</w:t>
            </w:r>
          </w:p>
        </w:tc>
        <w:tc>
          <w:tcPr>
            <w:tcW w:w="663" w:type="dxa"/>
            <w:tcBorders>
              <w:top w:val="single" w:sz="4" w:space="0" w:color="8ED973"/>
              <w:left w:val="nil"/>
              <w:bottom w:val="single" w:sz="4" w:space="0" w:color="8ED973"/>
              <w:right w:val="nil"/>
            </w:tcBorders>
            <w:shd w:val="clear" w:color="DAF2D0" w:fill="DAF2D0"/>
            <w:noWrap/>
            <w:vAlign w:val="bottom"/>
            <w:hideMark/>
          </w:tcPr>
          <w:p w14:paraId="0301DD4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0.25</w:t>
            </w:r>
          </w:p>
        </w:tc>
        <w:tc>
          <w:tcPr>
            <w:tcW w:w="663" w:type="dxa"/>
            <w:tcBorders>
              <w:top w:val="single" w:sz="4" w:space="0" w:color="8ED973"/>
              <w:left w:val="nil"/>
              <w:bottom w:val="single" w:sz="4" w:space="0" w:color="8ED973"/>
              <w:right w:val="nil"/>
            </w:tcBorders>
            <w:shd w:val="clear" w:color="DAF2D0" w:fill="DAF2D0"/>
            <w:noWrap/>
            <w:vAlign w:val="bottom"/>
            <w:hideMark/>
          </w:tcPr>
          <w:p w14:paraId="7992DDB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0.23</w:t>
            </w:r>
          </w:p>
        </w:tc>
        <w:tc>
          <w:tcPr>
            <w:tcW w:w="663" w:type="dxa"/>
            <w:tcBorders>
              <w:top w:val="single" w:sz="4" w:space="0" w:color="8ED973"/>
              <w:left w:val="nil"/>
              <w:bottom w:val="single" w:sz="4" w:space="0" w:color="8ED973"/>
              <w:right w:val="nil"/>
            </w:tcBorders>
            <w:shd w:val="clear" w:color="DAF2D0" w:fill="DAF2D0"/>
            <w:noWrap/>
            <w:vAlign w:val="bottom"/>
            <w:hideMark/>
          </w:tcPr>
          <w:p w14:paraId="12505EB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0.21</w:t>
            </w:r>
          </w:p>
        </w:tc>
        <w:tc>
          <w:tcPr>
            <w:tcW w:w="663" w:type="dxa"/>
            <w:tcBorders>
              <w:top w:val="single" w:sz="4" w:space="0" w:color="8ED973"/>
              <w:left w:val="nil"/>
              <w:bottom w:val="single" w:sz="4" w:space="0" w:color="8ED973"/>
              <w:right w:val="nil"/>
            </w:tcBorders>
            <w:shd w:val="clear" w:color="DAF2D0" w:fill="DAF2D0"/>
            <w:noWrap/>
            <w:vAlign w:val="bottom"/>
            <w:hideMark/>
          </w:tcPr>
          <w:p w14:paraId="304D997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0.09</w:t>
            </w:r>
          </w:p>
        </w:tc>
      </w:tr>
      <w:tr w:rsidR="00231C46" w:rsidRPr="00231C46" w14:paraId="3EF6360B"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6A8E2AEE"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PowerSouth Energy Cooperative</w:t>
            </w:r>
          </w:p>
        </w:tc>
        <w:tc>
          <w:tcPr>
            <w:tcW w:w="669" w:type="dxa"/>
            <w:tcBorders>
              <w:top w:val="single" w:sz="4" w:space="0" w:color="8ED973"/>
              <w:left w:val="nil"/>
              <w:bottom w:val="single" w:sz="4" w:space="0" w:color="8ED973"/>
              <w:right w:val="nil"/>
            </w:tcBorders>
            <w:shd w:val="clear" w:color="auto" w:fill="auto"/>
            <w:noWrap/>
            <w:vAlign w:val="bottom"/>
            <w:hideMark/>
          </w:tcPr>
          <w:p w14:paraId="6B11CE9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0.23</w:t>
            </w:r>
          </w:p>
        </w:tc>
        <w:tc>
          <w:tcPr>
            <w:tcW w:w="663" w:type="dxa"/>
            <w:tcBorders>
              <w:top w:val="single" w:sz="4" w:space="0" w:color="8ED973"/>
              <w:left w:val="nil"/>
              <w:bottom w:val="single" w:sz="4" w:space="0" w:color="8ED973"/>
              <w:right w:val="nil"/>
            </w:tcBorders>
            <w:shd w:val="clear" w:color="auto" w:fill="auto"/>
            <w:noWrap/>
            <w:vAlign w:val="bottom"/>
            <w:hideMark/>
          </w:tcPr>
          <w:p w14:paraId="25305B4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0.16</w:t>
            </w:r>
          </w:p>
        </w:tc>
        <w:tc>
          <w:tcPr>
            <w:tcW w:w="663" w:type="dxa"/>
            <w:tcBorders>
              <w:top w:val="single" w:sz="4" w:space="0" w:color="8ED973"/>
              <w:left w:val="nil"/>
              <w:bottom w:val="single" w:sz="4" w:space="0" w:color="8ED973"/>
              <w:right w:val="nil"/>
            </w:tcBorders>
            <w:shd w:val="clear" w:color="auto" w:fill="auto"/>
            <w:noWrap/>
            <w:vAlign w:val="bottom"/>
            <w:hideMark/>
          </w:tcPr>
          <w:p w14:paraId="4B2B024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0.15</w:t>
            </w:r>
          </w:p>
        </w:tc>
        <w:tc>
          <w:tcPr>
            <w:tcW w:w="663" w:type="dxa"/>
            <w:tcBorders>
              <w:top w:val="single" w:sz="4" w:space="0" w:color="8ED973"/>
              <w:left w:val="nil"/>
              <w:bottom w:val="single" w:sz="4" w:space="0" w:color="8ED973"/>
              <w:right w:val="nil"/>
            </w:tcBorders>
            <w:shd w:val="clear" w:color="auto" w:fill="auto"/>
            <w:noWrap/>
            <w:vAlign w:val="bottom"/>
            <w:hideMark/>
          </w:tcPr>
          <w:p w14:paraId="4C02E97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0.17</w:t>
            </w:r>
          </w:p>
        </w:tc>
        <w:tc>
          <w:tcPr>
            <w:tcW w:w="663" w:type="dxa"/>
            <w:tcBorders>
              <w:top w:val="single" w:sz="4" w:space="0" w:color="8ED973"/>
              <w:left w:val="nil"/>
              <w:bottom w:val="single" w:sz="4" w:space="0" w:color="8ED973"/>
              <w:right w:val="nil"/>
            </w:tcBorders>
            <w:shd w:val="clear" w:color="auto" w:fill="auto"/>
            <w:noWrap/>
            <w:vAlign w:val="bottom"/>
            <w:hideMark/>
          </w:tcPr>
          <w:p w14:paraId="26C3FA6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0.31</w:t>
            </w:r>
          </w:p>
        </w:tc>
        <w:tc>
          <w:tcPr>
            <w:tcW w:w="663" w:type="dxa"/>
            <w:tcBorders>
              <w:top w:val="single" w:sz="4" w:space="0" w:color="8ED973"/>
              <w:left w:val="nil"/>
              <w:bottom w:val="single" w:sz="4" w:space="0" w:color="8ED973"/>
              <w:right w:val="nil"/>
            </w:tcBorders>
            <w:shd w:val="clear" w:color="auto" w:fill="auto"/>
            <w:noWrap/>
            <w:vAlign w:val="bottom"/>
            <w:hideMark/>
          </w:tcPr>
          <w:p w14:paraId="476A691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auto" w:fill="auto"/>
            <w:noWrap/>
            <w:vAlign w:val="bottom"/>
            <w:hideMark/>
          </w:tcPr>
          <w:p w14:paraId="584F1E4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0.29</w:t>
            </w:r>
          </w:p>
        </w:tc>
        <w:tc>
          <w:tcPr>
            <w:tcW w:w="663" w:type="dxa"/>
            <w:tcBorders>
              <w:top w:val="single" w:sz="4" w:space="0" w:color="8ED973"/>
              <w:left w:val="nil"/>
              <w:bottom w:val="single" w:sz="4" w:space="0" w:color="8ED973"/>
              <w:right w:val="nil"/>
            </w:tcBorders>
            <w:shd w:val="clear" w:color="auto" w:fill="auto"/>
            <w:noWrap/>
            <w:vAlign w:val="bottom"/>
            <w:hideMark/>
          </w:tcPr>
          <w:p w14:paraId="6E49721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w:t>
            </w:r>
          </w:p>
        </w:tc>
        <w:tc>
          <w:tcPr>
            <w:tcW w:w="663" w:type="dxa"/>
            <w:tcBorders>
              <w:top w:val="single" w:sz="4" w:space="0" w:color="8ED973"/>
              <w:left w:val="nil"/>
              <w:bottom w:val="single" w:sz="4" w:space="0" w:color="8ED973"/>
              <w:right w:val="nil"/>
            </w:tcBorders>
            <w:shd w:val="clear" w:color="auto" w:fill="auto"/>
            <w:noWrap/>
            <w:vAlign w:val="bottom"/>
            <w:hideMark/>
          </w:tcPr>
          <w:p w14:paraId="12AAD69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w:t>
            </w:r>
          </w:p>
        </w:tc>
      </w:tr>
      <w:tr w:rsidR="00231C46" w:rsidRPr="00231C46" w14:paraId="1E63102B"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68414C6"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Southern Company Services, Inc. - Trans</w:t>
            </w:r>
          </w:p>
        </w:tc>
        <w:tc>
          <w:tcPr>
            <w:tcW w:w="669" w:type="dxa"/>
            <w:tcBorders>
              <w:top w:val="single" w:sz="4" w:space="0" w:color="8ED973"/>
              <w:left w:val="nil"/>
              <w:bottom w:val="single" w:sz="4" w:space="0" w:color="8ED973"/>
              <w:right w:val="nil"/>
            </w:tcBorders>
            <w:shd w:val="clear" w:color="DAF2D0" w:fill="DAF2D0"/>
            <w:noWrap/>
            <w:vAlign w:val="bottom"/>
            <w:hideMark/>
          </w:tcPr>
          <w:p w14:paraId="141D9C1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0.22</w:t>
            </w:r>
          </w:p>
        </w:tc>
        <w:tc>
          <w:tcPr>
            <w:tcW w:w="663" w:type="dxa"/>
            <w:tcBorders>
              <w:top w:val="single" w:sz="4" w:space="0" w:color="8ED973"/>
              <w:left w:val="nil"/>
              <w:bottom w:val="single" w:sz="4" w:space="0" w:color="8ED973"/>
              <w:right w:val="nil"/>
            </w:tcBorders>
            <w:shd w:val="clear" w:color="DAF2D0" w:fill="DAF2D0"/>
            <w:noWrap/>
            <w:vAlign w:val="bottom"/>
            <w:hideMark/>
          </w:tcPr>
          <w:p w14:paraId="4EF8EB2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0.19</w:t>
            </w:r>
          </w:p>
        </w:tc>
        <w:tc>
          <w:tcPr>
            <w:tcW w:w="663" w:type="dxa"/>
            <w:tcBorders>
              <w:top w:val="single" w:sz="4" w:space="0" w:color="8ED973"/>
              <w:left w:val="nil"/>
              <w:bottom w:val="single" w:sz="4" w:space="0" w:color="8ED973"/>
              <w:right w:val="nil"/>
            </w:tcBorders>
            <w:shd w:val="clear" w:color="DAF2D0" w:fill="DAF2D0"/>
            <w:noWrap/>
            <w:vAlign w:val="bottom"/>
            <w:hideMark/>
          </w:tcPr>
          <w:p w14:paraId="3E61183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0.21</w:t>
            </w:r>
          </w:p>
        </w:tc>
        <w:tc>
          <w:tcPr>
            <w:tcW w:w="663" w:type="dxa"/>
            <w:tcBorders>
              <w:top w:val="single" w:sz="4" w:space="0" w:color="8ED973"/>
              <w:left w:val="nil"/>
              <w:bottom w:val="single" w:sz="4" w:space="0" w:color="8ED973"/>
              <w:right w:val="nil"/>
            </w:tcBorders>
            <w:shd w:val="clear" w:color="DAF2D0" w:fill="DAF2D0"/>
            <w:noWrap/>
            <w:vAlign w:val="bottom"/>
            <w:hideMark/>
          </w:tcPr>
          <w:p w14:paraId="2DEBF8C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0.22</w:t>
            </w:r>
          </w:p>
        </w:tc>
        <w:tc>
          <w:tcPr>
            <w:tcW w:w="663" w:type="dxa"/>
            <w:tcBorders>
              <w:top w:val="single" w:sz="4" w:space="0" w:color="8ED973"/>
              <w:left w:val="nil"/>
              <w:bottom w:val="single" w:sz="4" w:space="0" w:color="8ED973"/>
              <w:right w:val="nil"/>
            </w:tcBorders>
            <w:shd w:val="clear" w:color="DAF2D0" w:fill="DAF2D0"/>
            <w:noWrap/>
            <w:vAlign w:val="bottom"/>
            <w:hideMark/>
          </w:tcPr>
          <w:p w14:paraId="50B31C7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0.22</w:t>
            </w:r>
          </w:p>
        </w:tc>
        <w:tc>
          <w:tcPr>
            <w:tcW w:w="663" w:type="dxa"/>
            <w:tcBorders>
              <w:top w:val="single" w:sz="4" w:space="0" w:color="8ED973"/>
              <w:left w:val="nil"/>
              <w:bottom w:val="single" w:sz="4" w:space="0" w:color="8ED973"/>
              <w:right w:val="nil"/>
            </w:tcBorders>
            <w:shd w:val="clear" w:color="DAF2D0" w:fill="DAF2D0"/>
            <w:noWrap/>
            <w:vAlign w:val="bottom"/>
            <w:hideMark/>
          </w:tcPr>
          <w:p w14:paraId="0256FF7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0.24</w:t>
            </w:r>
          </w:p>
        </w:tc>
        <w:tc>
          <w:tcPr>
            <w:tcW w:w="663" w:type="dxa"/>
            <w:tcBorders>
              <w:top w:val="single" w:sz="4" w:space="0" w:color="8ED973"/>
              <w:left w:val="nil"/>
              <w:bottom w:val="single" w:sz="4" w:space="0" w:color="8ED973"/>
              <w:right w:val="nil"/>
            </w:tcBorders>
            <w:shd w:val="clear" w:color="DAF2D0" w:fill="DAF2D0"/>
            <w:noWrap/>
            <w:vAlign w:val="bottom"/>
            <w:hideMark/>
          </w:tcPr>
          <w:p w14:paraId="5E92EE43"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0.22</w:t>
            </w:r>
          </w:p>
        </w:tc>
        <w:tc>
          <w:tcPr>
            <w:tcW w:w="663" w:type="dxa"/>
            <w:tcBorders>
              <w:top w:val="single" w:sz="4" w:space="0" w:color="8ED973"/>
              <w:left w:val="nil"/>
              <w:bottom w:val="single" w:sz="4" w:space="0" w:color="8ED973"/>
              <w:right w:val="nil"/>
            </w:tcBorders>
            <w:shd w:val="clear" w:color="DAF2D0" w:fill="DAF2D0"/>
            <w:noWrap/>
            <w:vAlign w:val="bottom"/>
            <w:hideMark/>
          </w:tcPr>
          <w:p w14:paraId="45CB7A7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0.25</w:t>
            </w:r>
          </w:p>
        </w:tc>
        <w:tc>
          <w:tcPr>
            <w:tcW w:w="663" w:type="dxa"/>
            <w:tcBorders>
              <w:top w:val="single" w:sz="4" w:space="0" w:color="8ED973"/>
              <w:left w:val="nil"/>
              <w:bottom w:val="single" w:sz="4" w:space="0" w:color="8ED973"/>
              <w:right w:val="nil"/>
            </w:tcBorders>
            <w:shd w:val="clear" w:color="DAF2D0" w:fill="DAF2D0"/>
            <w:noWrap/>
            <w:vAlign w:val="bottom"/>
            <w:hideMark/>
          </w:tcPr>
          <w:p w14:paraId="2A2667A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w:t>
            </w:r>
          </w:p>
        </w:tc>
      </w:tr>
      <w:tr w:rsidR="00231C46" w:rsidRPr="00231C46" w14:paraId="0CA76F9C"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596FF253"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PJM Interconnection, LLC</w:t>
            </w:r>
          </w:p>
        </w:tc>
        <w:tc>
          <w:tcPr>
            <w:tcW w:w="669" w:type="dxa"/>
            <w:tcBorders>
              <w:top w:val="single" w:sz="4" w:space="0" w:color="8ED973"/>
              <w:left w:val="nil"/>
              <w:bottom w:val="single" w:sz="4" w:space="0" w:color="8ED973"/>
              <w:right w:val="nil"/>
            </w:tcBorders>
            <w:shd w:val="clear" w:color="auto" w:fill="auto"/>
            <w:noWrap/>
            <w:vAlign w:val="bottom"/>
            <w:hideMark/>
          </w:tcPr>
          <w:p w14:paraId="36B0368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0.17</w:t>
            </w:r>
          </w:p>
        </w:tc>
        <w:tc>
          <w:tcPr>
            <w:tcW w:w="663" w:type="dxa"/>
            <w:tcBorders>
              <w:top w:val="single" w:sz="4" w:space="0" w:color="8ED973"/>
              <w:left w:val="nil"/>
              <w:bottom w:val="single" w:sz="4" w:space="0" w:color="8ED973"/>
              <w:right w:val="nil"/>
            </w:tcBorders>
            <w:shd w:val="clear" w:color="auto" w:fill="auto"/>
            <w:noWrap/>
            <w:vAlign w:val="bottom"/>
            <w:hideMark/>
          </w:tcPr>
          <w:p w14:paraId="2129248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0.15</w:t>
            </w:r>
          </w:p>
        </w:tc>
        <w:tc>
          <w:tcPr>
            <w:tcW w:w="663" w:type="dxa"/>
            <w:tcBorders>
              <w:top w:val="single" w:sz="4" w:space="0" w:color="8ED973"/>
              <w:left w:val="nil"/>
              <w:bottom w:val="single" w:sz="4" w:space="0" w:color="8ED973"/>
              <w:right w:val="nil"/>
            </w:tcBorders>
            <w:shd w:val="clear" w:color="auto" w:fill="auto"/>
            <w:noWrap/>
            <w:vAlign w:val="bottom"/>
            <w:hideMark/>
          </w:tcPr>
          <w:p w14:paraId="426BF59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0.19</w:t>
            </w:r>
          </w:p>
        </w:tc>
        <w:tc>
          <w:tcPr>
            <w:tcW w:w="663" w:type="dxa"/>
            <w:tcBorders>
              <w:top w:val="single" w:sz="4" w:space="0" w:color="8ED973"/>
              <w:left w:val="nil"/>
              <w:bottom w:val="single" w:sz="4" w:space="0" w:color="8ED973"/>
              <w:right w:val="nil"/>
            </w:tcBorders>
            <w:shd w:val="clear" w:color="auto" w:fill="auto"/>
            <w:noWrap/>
            <w:vAlign w:val="bottom"/>
            <w:hideMark/>
          </w:tcPr>
          <w:p w14:paraId="42B9567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0.21</w:t>
            </w:r>
          </w:p>
        </w:tc>
        <w:tc>
          <w:tcPr>
            <w:tcW w:w="663" w:type="dxa"/>
            <w:tcBorders>
              <w:top w:val="single" w:sz="4" w:space="0" w:color="8ED973"/>
              <w:left w:val="nil"/>
              <w:bottom w:val="single" w:sz="4" w:space="0" w:color="8ED973"/>
              <w:right w:val="nil"/>
            </w:tcBorders>
            <w:shd w:val="clear" w:color="auto" w:fill="auto"/>
            <w:noWrap/>
            <w:vAlign w:val="bottom"/>
            <w:hideMark/>
          </w:tcPr>
          <w:p w14:paraId="5B368D9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0.25</w:t>
            </w:r>
          </w:p>
        </w:tc>
        <w:tc>
          <w:tcPr>
            <w:tcW w:w="663" w:type="dxa"/>
            <w:tcBorders>
              <w:top w:val="single" w:sz="4" w:space="0" w:color="8ED973"/>
              <w:left w:val="nil"/>
              <w:bottom w:val="single" w:sz="4" w:space="0" w:color="8ED973"/>
              <w:right w:val="nil"/>
            </w:tcBorders>
            <w:shd w:val="clear" w:color="auto" w:fill="auto"/>
            <w:noWrap/>
            <w:vAlign w:val="bottom"/>
            <w:hideMark/>
          </w:tcPr>
          <w:p w14:paraId="56E381F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0.08</w:t>
            </w:r>
          </w:p>
        </w:tc>
        <w:tc>
          <w:tcPr>
            <w:tcW w:w="663" w:type="dxa"/>
            <w:tcBorders>
              <w:top w:val="single" w:sz="4" w:space="0" w:color="8ED973"/>
              <w:left w:val="nil"/>
              <w:bottom w:val="single" w:sz="4" w:space="0" w:color="8ED973"/>
              <w:right w:val="nil"/>
            </w:tcBorders>
            <w:shd w:val="clear" w:color="auto" w:fill="auto"/>
            <w:noWrap/>
            <w:vAlign w:val="bottom"/>
            <w:hideMark/>
          </w:tcPr>
          <w:p w14:paraId="70FE014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0.07</w:t>
            </w:r>
          </w:p>
        </w:tc>
        <w:tc>
          <w:tcPr>
            <w:tcW w:w="663" w:type="dxa"/>
            <w:tcBorders>
              <w:top w:val="single" w:sz="4" w:space="0" w:color="8ED973"/>
              <w:left w:val="nil"/>
              <w:bottom w:val="single" w:sz="4" w:space="0" w:color="8ED973"/>
              <w:right w:val="nil"/>
            </w:tcBorders>
            <w:shd w:val="clear" w:color="auto" w:fill="auto"/>
            <w:noWrap/>
            <w:vAlign w:val="bottom"/>
            <w:hideMark/>
          </w:tcPr>
          <w:p w14:paraId="5B84CAA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0.11</w:t>
            </w:r>
          </w:p>
        </w:tc>
        <w:tc>
          <w:tcPr>
            <w:tcW w:w="663" w:type="dxa"/>
            <w:tcBorders>
              <w:top w:val="single" w:sz="4" w:space="0" w:color="8ED973"/>
              <w:left w:val="nil"/>
              <w:bottom w:val="single" w:sz="4" w:space="0" w:color="8ED973"/>
              <w:right w:val="nil"/>
            </w:tcBorders>
            <w:shd w:val="clear" w:color="auto" w:fill="auto"/>
            <w:noWrap/>
            <w:vAlign w:val="bottom"/>
            <w:hideMark/>
          </w:tcPr>
          <w:p w14:paraId="105E4C72"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0.13</w:t>
            </w:r>
          </w:p>
        </w:tc>
      </w:tr>
      <w:tr w:rsidR="00231C46" w:rsidRPr="00231C46" w14:paraId="5ED3ED78" w14:textId="77777777" w:rsidTr="00CC2639">
        <w:trPr>
          <w:trHeight w:val="288"/>
        </w:trPr>
        <w:tc>
          <w:tcPr>
            <w:tcW w:w="6336" w:type="dxa"/>
            <w:tcBorders>
              <w:top w:val="single" w:sz="4" w:space="0" w:color="8ED973"/>
              <w:left w:val="nil"/>
              <w:bottom w:val="single" w:sz="4" w:space="0" w:color="8ED973"/>
              <w:right w:val="nil"/>
            </w:tcBorders>
            <w:shd w:val="clear" w:color="DAF2D0" w:fill="DAF2D0"/>
            <w:noWrap/>
            <w:vAlign w:val="bottom"/>
            <w:hideMark/>
          </w:tcPr>
          <w:p w14:paraId="0E715E02"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Southwest Power Pool</w:t>
            </w:r>
          </w:p>
        </w:tc>
        <w:tc>
          <w:tcPr>
            <w:tcW w:w="669" w:type="dxa"/>
            <w:tcBorders>
              <w:top w:val="single" w:sz="4" w:space="0" w:color="8ED973"/>
              <w:left w:val="nil"/>
              <w:bottom w:val="single" w:sz="4" w:space="0" w:color="8ED973"/>
              <w:right w:val="nil"/>
            </w:tcBorders>
            <w:shd w:val="clear" w:color="DAF2D0" w:fill="DAF2D0"/>
            <w:noWrap/>
            <w:vAlign w:val="bottom"/>
            <w:hideMark/>
          </w:tcPr>
          <w:p w14:paraId="2E303E41"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0.12</w:t>
            </w:r>
          </w:p>
        </w:tc>
        <w:tc>
          <w:tcPr>
            <w:tcW w:w="663" w:type="dxa"/>
            <w:tcBorders>
              <w:top w:val="single" w:sz="4" w:space="0" w:color="8ED973"/>
              <w:left w:val="nil"/>
              <w:bottom w:val="single" w:sz="4" w:space="0" w:color="8ED973"/>
              <w:right w:val="nil"/>
            </w:tcBorders>
            <w:shd w:val="clear" w:color="DAF2D0" w:fill="DAF2D0"/>
            <w:noWrap/>
            <w:vAlign w:val="bottom"/>
            <w:hideMark/>
          </w:tcPr>
          <w:p w14:paraId="0BD1210D"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0.09</w:t>
            </w:r>
          </w:p>
        </w:tc>
        <w:tc>
          <w:tcPr>
            <w:tcW w:w="663" w:type="dxa"/>
            <w:tcBorders>
              <w:top w:val="single" w:sz="4" w:space="0" w:color="8ED973"/>
              <w:left w:val="nil"/>
              <w:bottom w:val="single" w:sz="4" w:space="0" w:color="8ED973"/>
              <w:right w:val="nil"/>
            </w:tcBorders>
            <w:shd w:val="clear" w:color="DAF2D0" w:fill="DAF2D0"/>
            <w:noWrap/>
            <w:vAlign w:val="bottom"/>
            <w:hideMark/>
          </w:tcPr>
          <w:p w14:paraId="70EDB69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0.09</w:t>
            </w:r>
          </w:p>
        </w:tc>
        <w:tc>
          <w:tcPr>
            <w:tcW w:w="663" w:type="dxa"/>
            <w:tcBorders>
              <w:top w:val="single" w:sz="4" w:space="0" w:color="8ED973"/>
              <w:left w:val="nil"/>
              <w:bottom w:val="single" w:sz="4" w:space="0" w:color="8ED973"/>
              <w:right w:val="nil"/>
            </w:tcBorders>
            <w:shd w:val="clear" w:color="DAF2D0" w:fill="DAF2D0"/>
            <w:noWrap/>
            <w:vAlign w:val="bottom"/>
            <w:hideMark/>
          </w:tcPr>
          <w:p w14:paraId="6A832BB4"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0.09</w:t>
            </w:r>
          </w:p>
        </w:tc>
        <w:tc>
          <w:tcPr>
            <w:tcW w:w="663" w:type="dxa"/>
            <w:tcBorders>
              <w:top w:val="single" w:sz="4" w:space="0" w:color="8ED973"/>
              <w:left w:val="nil"/>
              <w:bottom w:val="single" w:sz="4" w:space="0" w:color="8ED973"/>
              <w:right w:val="nil"/>
            </w:tcBorders>
            <w:shd w:val="clear" w:color="DAF2D0" w:fill="DAF2D0"/>
            <w:noWrap/>
            <w:vAlign w:val="bottom"/>
            <w:hideMark/>
          </w:tcPr>
          <w:p w14:paraId="453078AC"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0.09</w:t>
            </w:r>
          </w:p>
        </w:tc>
        <w:tc>
          <w:tcPr>
            <w:tcW w:w="663" w:type="dxa"/>
            <w:tcBorders>
              <w:top w:val="single" w:sz="4" w:space="0" w:color="8ED973"/>
              <w:left w:val="nil"/>
              <w:bottom w:val="single" w:sz="4" w:space="0" w:color="8ED973"/>
              <w:right w:val="nil"/>
            </w:tcBorders>
            <w:shd w:val="clear" w:color="DAF2D0" w:fill="DAF2D0"/>
            <w:noWrap/>
            <w:vAlign w:val="bottom"/>
            <w:hideMark/>
          </w:tcPr>
          <w:p w14:paraId="6F9247F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0.21</w:t>
            </w:r>
          </w:p>
        </w:tc>
        <w:tc>
          <w:tcPr>
            <w:tcW w:w="663" w:type="dxa"/>
            <w:tcBorders>
              <w:top w:val="single" w:sz="4" w:space="0" w:color="8ED973"/>
              <w:left w:val="nil"/>
              <w:bottom w:val="single" w:sz="4" w:space="0" w:color="8ED973"/>
              <w:right w:val="nil"/>
            </w:tcBorders>
            <w:shd w:val="clear" w:color="DAF2D0" w:fill="DAF2D0"/>
            <w:noWrap/>
            <w:vAlign w:val="bottom"/>
            <w:hideMark/>
          </w:tcPr>
          <w:p w14:paraId="59E05ECB"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0.11</w:t>
            </w:r>
          </w:p>
        </w:tc>
        <w:tc>
          <w:tcPr>
            <w:tcW w:w="663" w:type="dxa"/>
            <w:tcBorders>
              <w:top w:val="single" w:sz="4" w:space="0" w:color="8ED973"/>
              <w:left w:val="nil"/>
              <w:bottom w:val="single" w:sz="4" w:space="0" w:color="8ED973"/>
              <w:right w:val="nil"/>
            </w:tcBorders>
            <w:shd w:val="clear" w:color="DAF2D0" w:fill="DAF2D0"/>
            <w:noWrap/>
            <w:vAlign w:val="bottom"/>
            <w:hideMark/>
          </w:tcPr>
          <w:p w14:paraId="0FA18045"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w:t>
            </w:r>
          </w:p>
        </w:tc>
        <w:tc>
          <w:tcPr>
            <w:tcW w:w="663" w:type="dxa"/>
            <w:tcBorders>
              <w:top w:val="single" w:sz="4" w:space="0" w:color="8ED973"/>
              <w:left w:val="nil"/>
              <w:bottom w:val="single" w:sz="4" w:space="0" w:color="8ED973"/>
              <w:right w:val="nil"/>
            </w:tcBorders>
            <w:shd w:val="clear" w:color="DAF2D0" w:fill="DAF2D0"/>
            <w:noWrap/>
            <w:vAlign w:val="bottom"/>
            <w:hideMark/>
          </w:tcPr>
          <w:p w14:paraId="41C28778"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0.1</w:t>
            </w:r>
          </w:p>
        </w:tc>
      </w:tr>
      <w:tr w:rsidR="00231C46" w:rsidRPr="00231C46" w14:paraId="4FFB61CA" w14:textId="77777777" w:rsidTr="00CC2639">
        <w:trPr>
          <w:trHeight w:val="288"/>
        </w:trPr>
        <w:tc>
          <w:tcPr>
            <w:tcW w:w="6336" w:type="dxa"/>
            <w:tcBorders>
              <w:top w:val="single" w:sz="4" w:space="0" w:color="8ED973"/>
              <w:left w:val="nil"/>
              <w:bottom w:val="single" w:sz="4" w:space="0" w:color="8ED973"/>
              <w:right w:val="nil"/>
            </w:tcBorders>
            <w:shd w:val="clear" w:color="auto" w:fill="auto"/>
            <w:noWrap/>
            <w:vAlign w:val="bottom"/>
            <w:hideMark/>
          </w:tcPr>
          <w:p w14:paraId="0349FD7F" w14:textId="77777777" w:rsidR="00231C46" w:rsidRPr="00231C46" w:rsidRDefault="00231C46" w:rsidP="00231C46">
            <w:pPr>
              <w:spacing w:after="0" w:line="240" w:lineRule="auto"/>
              <w:rPr>
                <w:rFonts w:ascii="Aptos Narrow" w:eastAsia="Times New Roman" w:hAnsi="Aptos Narrow" w:cs="Times New Roman"/>
                <w:color w:val="000000"/>
              </w:rPr>
            </w:pPr>
            <w:r w:rsidRPr="00231C46">
              <w:rPr>
                <w:rFonts w:ascii="Aptos Narrow" w:eastAsia="Times New Roman" w:hAnsi="Aptos Narrow" w:cs="Times New Roman"/>
                <w:color w:val="000000"/>
              </w:rPr>
              <w:t>Electric Reliability Council of Texas, Inc.</w:t>
            </w:r>
          </w:p>
        </w:tc>
        <w:tc>
          <w:tcPr>
            <w:tcW w:w="669" w:type="dxa"/>
            <w:tcBorders>
              <w:top w:val="single" w:sz="4" w:space="0" w:color="8ED973"/>
              <w:left w:val="nil"/>
              <w:bottom w:val="single" w:sz="4" w:space="0" w:color="8ED973"/>
              <w:right w:val="nil"/>
            </w:tcBorders>
            <w:shd w:val="clear" w:color="auto" w:fill="auto"/>
            <w:noWrap/>
            <w:vAlign w:val="bottom"/>
            <w:hideMark/>
          </w:tcPr>
          <w:p w14:paraId="488EB000"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0.02</w:t>
            </w:r>
          </w:p>
        </w:tc>
        <w:tc>
          <w:tcPr>
            <w:tcW w:w="663" w:type="dxa"/>
            <w:tcBorders>
              <w:top w:val="single" w:sz="4" w:space="0" w:color="8ED973"/>
              <w:left w:val="nil"/>
              <w:bottom w:val="single" w:sz="4" w:space="0" w:color="8ED973"/>
              <w:right w:val="nil"/>
            </w:tcBorders>
            <w:shd w:val="clear" w:color="auto" w:fill="auto"/>
            <w:noWrap/>
            <w:vAlign w:val="bottom"/>
            <w:hideMark/>
          </w:tcPr>
          <w:p w14:paraId="2502D90E"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0.01</w:t>
            </w:r>
          </w:p>
        </w:tc>
        <w:tc>
          <w:tcPr>
            <w:tcW w:w="663" w:type="dxa"/>
            <w:tcBorders>
              <w:top w:val="single" w:sz="4" w:space="0" w:color="8ED973"/>
              <w:left w:val="nil"/>
              <w:bottom w:val="single" w:sz="4" w:space="0" w:color="8ED973"/>
              <w:right w:val="nil"/>
            </w:tcBorders>
            <w:shd w:val="clear" w:color="auto" w:fill="auto"/>
            <w:noWrap/>
            <w:vAlign w:val="bottom"/>
            <w:hideMark/>
          </w:tcPr>
          <w:p w14:paraId="794DAB86"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0.01</w:t>
            </w:r>
          </w:p>
        </w:tc>
        <w:tc>
          <w:tcPr>
            <w:tcW w:w="663" w:type="dxa"/>
            <w:tcBorders>
              <w:top w:val="single" w:sz="4" w:space="0" w:color="8ED973"/>
              <w:left w:val="nil"/>
              <w:bottom w:val="single" w:sz="4" w:space="0" w:color="8ED973"/>
              <w:right w:val="nil"/>
            </w:tcBorders>
            <w:shd w:val="clear" w:color="auto" w:fill="auto"/>
            <w:noWrap/>
            <w:vAlign w:val="bottom"/>
            <w:hideMark/>
          </w:tcPr>
          <w:p w14:paraId="33BA31C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0.03</w:t>
            </w:r>
          </w:p>
        </w:tc>
        <w:tc>
          <w:tcPr>
            <w:tcW w:w="663" w:type="dxa"/>
            <w:tcBorders>
              <w:top w:val="single" w:sz="4" w:space="0" w:color="8ED973"/>
              <w:left w:val="nil"/>
              <w:bottom w:val="single" w:sz="4" w:space="0" w:color="8ED973"/>
              <w:right w:val="nil"/>
            </w:tcBorders>
            <w:shd w:val="clear" w:color="auto" w:fill="auto"/>
            <w:noWrap/>
            <w:vAlign w:val="bottom"/>
            <w:hideMark/>
          </w:tcPr>
          <w:p w14:paraId="0914BA79"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0.03</w:t>
            </w:r>
          </w:p>
        </w:tc>
        <w:tc>
          <w:tcPr>
            <w:tcW w:w="663" w:type="dxa"/>
            <w:tcBorders>
              <w:top w:val="single" w:sz="4" w:space="0" w:color="8ED973"/>
              <w:left w:val="nil"/>
              <w:bottom w:val="single" w:sz="4" w:space="0" w:color="8ED973"/>
              <w:right w:val="nil"/>
            </w:tcBorders>
            <w:shd w:val="clear" w:color="auto" w:fill="auto"/>
            <w:noWrap/>
            <w:vAlign w:val="bottom"/>
            <w:hideMark/>
          </w:tcPr>
          <w:p w14:paraId="7B426E3F"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0.02</w:t>
            </w:r>
          </w:p>
        </w:tc>
        <w:tc>
          <w:tcPr>
            <w:tcW w:w="663" w:type="dxa"/>
            <w:tcBorders>
              <w:top w:val="single" w:sz="4" w:space="0" w:color="8ED973"/>
              <w:left w:val="nil"/>
              <w:bottom w:val="single" w:sz="4" w:space="0" w:color="8ED973"/>
              <w:right w:val="nil"/>
            </w:tcBorders>
            <w:shd w:val="clear" w:color="auto" w:fill="auto"/>
            <w:noWrap/>
            <w:vAlign w:val="bottom"/>
            <w:hideMark/>
          </w:tcPr>
          <w:p w14:paraId="3E8C733A"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0.02</w:t>
            </w:r>
          </w:p>
        </w:tc>
        <w:tc>
          <w:tcPr>
            <w:tcW w:w="663" w:type="dxa"/>
            <w:tcBorders>
              <w:top w:val="single" w:sz="4" w:space="0" w:color="8ED973"/>
              <w:left w:val="nil"/>
              <w:bottom w:val="single" w:sz="4" w:space="0" w:color="8ED973"/>
              <w:right w:val="nil"/>
            </w:tcBorders>
            <w:shd w:val="clear" w:color="auto" w:fill="auto"/>
            <w:noWrap/>
            <w:vAlign w:val="bottom"/>
            <w:hideMark/>
          </w:tcPr>
          <w:p w14:paraId="2D2D5A2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0.03</w:t>
            </w:r>
          </w:p>
        </w:tc>
        <w:tc>
          <w:tcPr>
            <w:tcW w:w="663" w:type="dxa"/>
            <w:tcBorders>
              <w:top w:val="single" w:sz="4" w:space="0" w:color="8ED973"/>
              <w:left w:val="nil"/>
              <w:bottom w:val="single" w:sz="4" w:space="0" w:color="8ED973"/>
              <w:right w:val="nil"/>
            </w:tcBorders>
            <w:shd w:val="clear" w:color="auto" w:fill="auto"/>
            <w:noWrap/>
            <w:vAlign w:val="bottom"/>
            <w:hideMark/>
          </w:tcPr>
          <w:p w14:paraId="3FE85B17" w14:textId="77777777" w:rsidR="00231C46" w:rsidRPr="00231C46" w:rsidRDefault="00231C46" w:rsidP="00231C46">
            <w:pPr>
              <w:spacing w:after="0" w:line="240" w:lineRule="auto"/>
              <w:jc w:val="right"/>
              <w:rPr>
                <w:rFonts w:ascii="Aptos Narrow" w:eastAsia="Times New Roman" w:hAnsi="Aptos Narrow" w:cs="Times New Roman"/>
                <w:color w:val="000000"/>
              </w:rPr>
            </w:pPr>
            <w:r w:rsidRPr="00231C46">
              <w:rPr>
                <w:rFonts w:ascii="Aptos Narrow" w:eastAsia="Times New Roman" w:hAnsi="Aptos Narrow" w:cs="Times New Roman"/>
                <w:color w:val="000000"/>
              </w:rPr>
              <w:t>0.02</w:t>
            </w:r>
          </w:p>
        </w:tc>
      </w:tr>
    </w:tbl>
    <w:p w14:paraId="486F5382" w14:textId="77777777" w:rsidR="00F9434B" w:rsidRPr="00F9434B" w:rsidRDefault="00F9434B" w:rsidP="00F9434B">
      <w:pPr>
        <w:sectPr w:rsidR="00F9434B" w:rsidRPr="00F9434B" w:rsidSect="00CD404A">
          <w:pgSz w:w="15840" w:h="12240" w:orient="landscape"/>
          <w:pgMar w:top="1440" w:right="1440" w:bottom="1440" w:left="1440" w:header="720" w:footer="720" w:gutter="0"/>
          <w:pgNumType w:start="1"/>
          <w:cols w:space="720"/>
          <w:docGrid w:linePitch="299"/>
        </w:sectPr>
      </w:pPr>
    </w:p>
    <w:p w14:paraId="55052817" w14:textId="77777777" w:rsidR="00611F5E" w:rsidRDefault="00164B3C">
      <w:pPr>
        <w:pStyle w:val="Heading1"/>
      </w:pPr>
      <w:r>
        <w:lastRenderedPageBreak/>
        <w:t>Bibliography</w:t>
      </w:r>
    </w:p>
    <w:p w14:paraId="5BF20C25" w14:textId="77777777" w:rsidR="00692699" w:rsidRPr="00692699" w:rsidRDefault="00100C02" w:rsidP="00692699">
      <w:pPr>
        <w:pStyle w:val="Bibliography"/>
      </w:pPr>
      <w:r>
        <w:fldChar w:fldCharType="begin"/>
      </w:r>
      <w:r>
        <w:instrText xml:space="preserve"> ADDIN ZOTERO_BIBL {"uncited":[],"omitted":[],"custom":[]} CSL_BIBLIOGRAPHY </w:instrText>
      </w:r>
      <w:r>
        <w:fldChar w:fldCharType="separate"/>
      </w:r>
      <w:r w:rsidR="00692699" w:rsidRPr="00692699">
        <w:t>[1]</w:t>
      </w:r>
      <w:r w:rsidR="00692699" w:rsidRPr="00692699">
        <w:tab/>
        <w:t>Osorio S, van Ackere A, Larsen ER. Interdependencies in security of electricity supply. Energy 2017;135:598–609. https://doi.org/10.1016/j.energy.2017.06.095.</w:t>
      </w:r>
    </w:p>
    <w:p w14:paraId="6FC8C446" w14:textId="77777777" w:rsidR="00692699" w:rsidRPr="00692699" w:rsidRDefault="00692699" w:rsidP="00692699">
      <w:pPr>
        <w:pStyle w:val="Bibliography"/>
      </w:pPr>
      <w:r w:rsidRPr="00692699">
        <w:t>[2]</w:t>
      </w:r>
      <w:r w:rsidRPr="00692699">
        <w:tab/>
        <w:t>Sovacool BK, Mukherjee I. Conceptualizing and measuring energy security: A synthesized approach. Energy 2011;36:5343–55. https://doi.org/10.1016/j.energy.2011.06.043.</w:t>
      </w:r>
    </w:p>
    <w:p w14:paraId="041EB3A9" w14:textId="77777777" w:rsidR="00692699" w:rsidRPr="00692699" w:rsidRDefault="00692699" w:rsidP="00692699">
      <w:pPr>
        <w:pStyle w:val="Bibliography"/>
      </w:pPr>
      <w:r w:rsidRPr="00692699">
        <w:t>[3]</w:t>
      </w:r>
      <w:r w:rsidRPr="00692699">
        <w:tab/>
        <w:t>Lilliestam J, Ellenbeck S. Energy security and renewable electricity trade—Will Desertec make Europe vulnerable to the “energy weapon”? Energy Policy 2011;39:3380–91. https://doi.org/10.1016/J.ENPOL.2011.03.035.</w:t>
      </w:r>
    </w:p>
    <w:p w14:paraId="28DF022F" w14:textId="77777777" w:rsidR="00692699" w:rsidRPr="00692699" w:rsidRDefault="00692699" w:rsidP="00692699">
      <w:pPr>
        <w:pStyle w:val="Bibliography"/>
      </w:pPr>
      <w:r w:rsidRPr="00692699">
        <w:t>[4]</w:t>
      </w:r>
      <w:r w:rsidRPr="00692699">
        <w:tab/>
        <w:t>Ren J, Dong L. Evaluation of electricity supply sustainability and security: Multi-criteria decision analysis approach. Journal of Cleaner Production 2018;172:438–53. https://doi.org/10.1016/J.JCLEPRO.2017.10.167.</w:t>
      </w:r>
    </w:p>
    <w:p w14:paraId="0E6389DD" w14:textId="77777777" w:rsidR="00692699" w:rsidRPr="00692699" w:rsidRDefault="00692699" w:rsidP="00692699">
      <w:pPr>
        <w:pStyle w:val="Bibliography"/>
      </w:pPr>
      <w:r w:rsidRPr="00692699">
        <w:t>[5]</w:t>
      </w:r>
      <w:r w:rsidRPr="00692699">
        <w:tab/>
        <w:t>Das A, Halder A, Mazumder R, Saini VK, Parikh J, Parikh KS. Bangladesh power supply scenarios on renewables and electricity import. Energy 2018;155. https://doi.org/10.1016/j.energy.2018.04.169.</w:t>
      </w:r>
    </w:p>
    <w:p w14:paraId="1BAC8D06" w14:textId="77777777" w:rsidR="00692699" w:rsidRPr="00692699" w:rsidRDefault="00692699" w:rsidP="00692699">
      <w:pPr>
        <w:pStyle w:val="Bibliography"/>
      </w:pPr>
      <w:r w:rsidRPr="00692699">
        <w:t>[6]</w:t>
      </w:r>
      <w:r w:rsidRPr="00692699">
        <w:tab/>
        <w:t>Yuan M, Tapia-Ahumada K, Reilly J. The role of cross-border electricity trade in transition to a low-carbon economy in the Northeastern U.S. Energy Policy 2021;154:112261. https://doi.org/10.1016/j.enpol.2021.112261.</w:t>
      </w:r>
    </w:p>
    <w:p w14:paraId="45AAD953" w14:textId="77777777" w:rsidR="00692699" w:rsidRPr="00692699" w:rsidRDefault="00692699" w:rsidP="00692699">
      <w:pPr>
        <w:pStyle w:val="Bibliography"/>
      </w:pPr>
      <w:r w:rsidRPr="00692699">
        <w:t>[7]</w:t>
      </w:r>
      <w:r w:rsidRPr="00692699">
        <w:tab/>
        <w:t>Bahar H, Sauvage J. Cross-Border Trade in Electricity and the Development of Renewables-Based Electric Power: Lessons from Europe. Paris: OECD; 2013. https://doi.org/10.1787/5k4869cdwnzr-en.</w:t>
      </w:r>
    </w:p>
    <w:p w14:paraId="46601D31" w14:textId="77777777" w:rsidR="00692699" w:rsidRPr="00692699" w:rsidRDefault="00692699" w:rsidP="00692699">
      <w:pPr>
        <w:pStyle w:val="Bibliography"/>
      </w:pPr>
      <w:r w:rsidRPr="00692699">
        <w:t>[8]</w:t>
      </w:r>
      <w:r w:rsidRPr="00692699">
        <w:tab/>
        <w:t>Crozier C, Baker K. The effect of renewable electricity generation on the value of cross-border interconnection. Applied Energy 2022;324:119717. https://doi.org/10.1016/j.apenergy.2022.119717.</w:t>
      </w:r>
    </w:p>
    <w:p w14:paraId="704CCB0C" w14:textId="77777777" w:rsidR="00692699" w:rsidRPr="00692699" w:rsidRDefault="00692699" w:rsidP="00692699">
      <w:pPr>
        <w:pStyle w:val="Bibliography"/>
      </w:pPr>
      <w:r w:rsidRPr="00692699">
        <w:t>[9]</w:t>
      </w:r>
      <w:r w:rsidRPr="00692699">
        <w:tab/>
        <w:t>Abrell J, Rausch S. Cross-country electricity trade, renewable energy and European transmission infrastructure policy. Journal of Environmental Economics and Management 2016;79:87–113. https://doi.org/10.1016/j.jeem.2016.04.001.</w:t>
      </w:r>
    </w:p>
    <w:p w14:paraId="4D167AED" w14:textId="77777777" w:rsidR="00692699" w:rsidRPr="00692699" w:rsidRDefault="00692699" w:rsidP="00692699">
      <w:pPr>
        <w:pStyle w:val="Bibliography"/>
      </w:pPr>
      <w:r w:rsidRPr="00692699">
        <w:t>[10]</w:t>
      </w:r>
      <w:r w:rsidRPr="00692699">
        <w:tab/>
        <w:t>Dahlke S. Integrating energy markets: Implications of increasing electricity trade on prices and emissions in the Western United States. International Journal of Sustainable Energy Planning and Management 2020;25. https://doi.org/10.5278/ijsepm.3416.</w:t>
      </w:r>
    </w:p>
    <w:p w14:paraId="7276C1C4" w14:textId="77777777" w:rsidR="00692699" w:rsidRPr="00692699" w:rsidRDefault="00692699" w:rsidP="00692699">
      <w:pPr>
        <w:pStyle w:val="Bibliography"/>
      </w:pPr>
      <w:r w:rsidRPr="00692699">
        <w:t>[11]</w:t>
      </w:r>
      <w:r w:rsidRPr="00692699">
        <w:tab/>
        <w:t>Joskow PL. Lessons Learned From Electricity Market Liberalization. The Energy Journal 2008;29:9–42. https://doi.org/10.5547/ISSN0195-6574-EJ-Vol29-NoSI2-3.</w:t>
      </w:r>
    </w:p>
    <w:p w14:paraId="50F47D14" w14:textId="77777777" w:rsidR="00692699" w:rsidRPr="00692699" w:rsidRDefault="00692699" w:rsidP="00692699">
      <w:pPr>
        <w:pStyle w:val="Bibliography"/>
      </w:pPr>
      <w:r w:rsidRPr="00692699">
        <w:t>[12]</w:t>
      </w:r>
      <w:r w:rsidRPr="00692699">
        <w:tab/>
        <w:t>Blumsack S. Measuring the Benefits and Costs of Regional Electric Grid Integration. The Energy Law Journal 2007;28.</w:t>
      </w:r>
    </w:p>
    <w:p w14:paraId="4E6F524A" w14:textId="77777777" w:rsidR="00692699" w:rsidRPr="00692699" w:rsidRDefault="00692699" w:rsidP="00692699">
      <w:pPr>
        <w:pStyle w:val="Bibliography"/>
      </w:pPr>
      <w:r w:rsidRPr="00692699">
        <w:t>[13]</w:t>
      </w:r>
      <w:r w:rsidRPr="00692699">
        <w:tab/>
        <w:t>Oseni MO, Pollitt MG. The promotion of regional integration of electricity markets: Lessons for developing countries. Energy Policy 2016;88:628–38. https://doi.org/10.1016/j.enpol.2015.09.007.</w:t>
      </w:r>
    </w:p>
    <w:p w14:paraId="1FB4BB8C" w14:textId="77777777" w:rsidR="00692699" w:rsidRPr="00692699" w:rsidRDefault="00692699" w:rsidP="00692699">
      <w:pPr>
        <w:pStyle w:val="Bibliography"/>
      </w:pPr>
      <w:r w:rsidRPr="00692699">
        <w:t>[14]</w:t>
      </w:r>
      <w:r w:rsidRPr="00692699">
        <w:tab/>
        <w:t>Pineau P, Lefebvre V. The value of unused interregional transmission: Estimating the opportunity cost for Quebec (Canada). International Journal of Energy Sector Management 2009;3:406–23. https://doi.org/10.1108/17506220911005768.</w:t>
      </w:r>
    </w:p>
    <w:p w14:paraId="738BBB74" w14:textId="77777777" w:rsidR="00692699" w:rsidRPr="00692699" w:rsidRDefault="00692699" w:rsidP="00692699">
      <w:pPr>
        <w:pStyle w:val="Bibliography"/>
      </w:pPr>
      <w:r w:rsidRPr="00692699">
        <w:t>[15]</w:t>
      </w:r>
      <w:r w:rsidRPr="00692699">
        <w:tab/>
        <w:t>Moore S. Evaluating the energy security of electricity interdependence: Perspectives from Morocco. Energy Research &amp; Social Science 2017;24:21–9. https://doi.org/10.1016/j.erss.2016.12.008.</w:t>
      </w:r>
    </w:p>
    <w:p w14:paraId="52A349ED" w14:textId="77777777" w:rsidR="00692699" w:rsidRPr="00692699" w:rsidRDefault="00692699" w:rsidP="00692699">
      <w:pPr>
        <w:pStyle w:val="Bibliography"/>
      </w:pPr>
      <w:r w:rsidRPr="00692699">
        <w:t>[16]</w:t>
      </w:r>
      <w:r w:rsidRPr="00692699">
        <w:tab/>
        <w:t>Yang M, Shi X, Zhou Y, Xiang J, Zhang R. Deepening regional power connectivity: Beyond the industry-centric perspective. Energy Research &amp; Social Science 2022;90:102614. https://doi.org/10.1016/j.erss.2022.102614.</w:t>
      </w:r>
    </w:p>
    <w:p w14:paraId="5D57DB71" w14:textId="77777777" w:rsidR="00692699" w:rsidRPr="00692699" w:rsidRDefault="00692699" w:rsidP="00692699">
      <w:pPr>
        <w:pStyle w:val="Bibliography"/>
      </w:pPr>
      <w:r w:rsidRPr="00692699">
        <w:lastRenderedPageBreak/>
        <w:t>[17]</w:t>
      </w:r>
      <w:r w:rsidRPr="00692699">
        <w:tab/>
        <w:t>Shannon CE. A mathematical theory of communication. The Bell System Technical Journal 1948;27:379–423. https://doi.org/10.1002/j.1538-7305.1948.tb01338.x.</w:t>
      </w:r>
    </w:p>
    <w:p w14:paraId="0E8A6FCC" w14:textId="77777777" w:rsidR="00692699" w:rsidRPr="00692699" w:rsidRDefault="00692699" w:rsidP="00692699">
      <w:pPr>
        <w:pStyle w:val="Bibliography"/>
      </w:pPr>
      <w:r w:rsidRPr="00692699">
        <w:t>[18]</w:t>
      </w:r>
      <w:r w:rsidRPr="00692699">
        <w:tab/>
        <w:t>Ang BW, Choong WL, Ng TS. Energy security: Definitions, dimensions and indexes. Renewable and Sustainable Energy Reviews 2015;42:1077–93. https://doi.org/10.1016/j.rser.2014.10.064.</w:t>
      </w:r>
    </w:p>
    <w:p w14:paraId="6FEF8E3E" w14:textId="77777777" w:rsidR="00692699" w:rsidRPr="00692699" w:rsidRDefault="00692699" w:rsidP="00692699">
      <w:pPr>
        <w:pStyle w:val="Bibliography"/>
      </w:pPr>
      <w:r w:rsidRPr="00692699">
        <w:t>[19]</w:t>
      </w:r>
      <w:r w:rsidRPr="00692699">
        <w:tab/>
        <w:t>Ranjan A, Hughes L. Energy security and the diversity of energy flows in an energy system. Energy 2014;73:137–44. https://doi.org/10.1016/j.energy.2014.05.108.</w:t>
      </w:r>
    </w:p>
    <w:p w14:paraId="5430D603" w14:textId="77777777" w:rsidR="00692699" w:rsidRPr="00692699" w:rsidRDefault="00692699" w:rsidP="00692699">
      <w:pPr>
        <w:pStyle w:val="Bibliography"/>
      </w:pPr>
      <w:r w:rsidRPr="00692699">
        <w:t>[20]</w:t>
      </w:r>
      <w:r w:rsidRPr="00692699">
        <w:tab/>
        <w:t>Matsumoto K, Doumpos M, Andriosopoulos K. Historical energy security performance in EU countries. Renewable and Sustainable Energy Reviews 2018;82:1737–48. https://doi.org/10.1016/j.rser.2017.06.058.</w:t>
      </w:r>
    </w:p>
    <w:p w14:paraId="708F03BC" w14:textId="77777777" w:rsidR="00692699" w:rsidRPr="00692699" w:rsidRDefault="00692699" w:rsidP="00692699">
      <w:pPr>
        <w:pStyle w:val="Bibliography"/>
      </w:pPr>
      <w:r w:rsidRPr="00692699">
        <w:t>[21]</w:t>
      </w:r>
      <w:r w:rsidRPr="00692699">
        <w:tab/>
        <w:t>Erahman QF, Purwanto WW, Sudibandriyo M, Hidayatno A. An assessment of Indonesia’s energy security index and comparison with seventy countries. Energy 2016;111:364–76. https://doi.org/10.1016/j.energy.2016.05.100.</w:t>
      </w:r>
    </w:p>
    <w:p w14:paraId="398F2A8C" w14:textId="77777777" w:rsidR="00692699" w:rsidRPr="00692699" w:rsidRDefault="00692699" w:rsidP="00692699">
      <w:pPr>
        <w:pStyle w:val="Bibliography"/>
      </w:pPr>
      <w:r w:rsidRPr="00692699">
        <w:t>[22]</w:t>
      </w:r>
      <w:r w:rsidRPr="00692699">
        <w:tab/>
        <w:t>Chuang MC, Ma HW. Energy security and improvements in the function of diversity indices—Taiwan energy supply structure case study. Renewable and Sustainable Energy Reviews 2013;24:9–20. https://doi.org/10.1016/j.rser.2013.03.021.</w:t>
      </w:r>
    </w:p>
    <w:p w14:paraId="44602263" w14:textId="77777777" w:rsidR="00692699" w:rsidRPr="00692699" w:rsidRDefault="00692699" w:rsidP="00692699">
      <w:pPr>
        <w:pStyle w:val="Bibliography"/>
      </w:pPr>
      <w:r w:rsidRPr="00692699">
        <w:t>[23]</w:t>
      </w:r>
      <w:r w:rsidRPr="00692699">
        <w:tab/>
        <w:t>Zhang L, Yu J, Sovacool BK, Ren J. Measuring energy security performance within China: Toward an inter-provincial prospective. Energy 2017;125:825–36. https://doi.org/10.1016/j.energy.2016.12.030.</w:t>
      </w:r>
    </w:p>
    <w:p w14:paraId="37140E86" w14:textId="77777777" w:rsidR="00692699" w:rsidRPr="00692699" w:rsidRDefault="00692699" w:rsidP="00692699">
      <w:pPr>
        <w:pStyle w:val="Bibliography"/>
      </w:pPr>
      <w:r w:rsidRPr="00692699">
        <w:t>[24]</w:t>
      </w:r>
      <w:r w:rsidRPr="00692699">
        <w:tab/>
        <w:t>Ren J, Sovacool BK. Quantifying, measuring, and strategizing energy security: Determining the most meaningful dimensions and metrics. Energy 2014;76:838–49. https://doi.org/10.1016/j.energy.2014.08.083.</w:t>
      </w:r>
    </w:p>
    <w:p w14:paraId="177E0D5D" w14:textId="77777777" w:rsidR="00692699" w:rsidRPr="00692699" w:rsidRDefault="00692699" w:rsidP="00692699">
      <w:pPr>
        <w:pStyle w:val="Bibliography"/>
      </w:pPr>
      <w:r w:rsidRPr="00692699">
        <w:t>[25]</w:t>
      </w:r>
      <w:r w:rsidRPr="00692699">
        <w:tab/>
        <w:t>Wang D, Tian S, Fang L, Xu Y. A functional index model for dynamically evaluating China’s energy security. Energy Policy 2020;147:111706. https://doi.org/10.1016/j.enpol.2020.111706.</w:t>
      </w:r>
    </w:p>
    <w:p w14:paraId="59D364BA" w14:textId="77777777" w:rsidR="00692699" w:rsidRPr="00692699" w:rsidRDefault="00692699" w:rsidP="00692699">
      <w:pPr>
        <w:pStyle w:val="Bibliography"/>
      </w:pPr>
      <w:r w:rsidRPr="00692699">
        <w:t>[26]</w:t>
      </w:r>
      <w:r w:rsidRPr="00692699">
        <w:tab/>
        <w:t>Song Y, Zhang M, Sun R. Using a new aggregated indicator to evaluate China’s energy security. Energy Policy 2019;132:167–74. https://doi.org/10.1016/j.enpol.2019.05.036.</w:t>
      </w:r>
    </w:p>
    <w:p w14:paraId="1DCC1966" w14:textId="77777777" w:rsidR="00692699" w:rsidRPr="00692699" w:rsidRDefault="00692699" w:rsidP="00692699">
      <w:pPr>
        <w:pStyle w:val="Bibliography"/>
      </w:pPr>
      <w:r w:rsidRPr="00692699">
        <w:t>[27]</w:t>
      </w:r>
      <w:r w:rsidRPr="00692699">
        <w:tab/>
        <w:t>Martchamadol J, Kumar S. An aggregated energy security performance indicator. Applied Energy 2013;103:653–70. https://doi.org/10.1016/j.apenergy.2012.10.027.</w:t>
      </w:r>
    </w:p>
    <w:p w14:paraId="39F73220" w14:textId="77777777" w:rsidR="00692699" w:rsidRPr="00692699" w:rsidRDefault="00692699" w:rsidP="00692699">
      <w:pPr>
        <w:pStyle w:val="Bibliography"/>
      </w:pPr>
      <w:r w:rsidRPr="00692699">
        <w:t>[28]</w:t>
      </w:r>
      <w:r w:rsidRPr="00692699">
        <w:tab/>
        <w:t>Jewell J, Cherp A, Riahi K. Energy security under de-carbonization scenarios: An assessment framework and evaluation under different technology and policy choices. Energy Policy 2014;65:743–60. https://doi.org/10.1016/j.enpol.2013.10.051.</w:t>
      </w:r>
    </w:p>
    <w:p w14:paraId="5B4AC7D2" w14:textId="77777777" w:rsidR="00692699" w:rsidRPr="00692699" w:rsidRDefault="00692699" w:rsidP="00692699">
      <w:pPr>
        <w:pStyle w:val="Bibliography"/>
      </w:pPr>
      <w:r w:rsidRPr="00692699">
        <w:t>[29]</w:t>
      </w:r>
      <w:r w:rsidRPr="00692699">
        <w:tab/>
        <w:t>Jun E, Kim W, Chang SH. The analysis of security cost for different energy sources. Applied Energy 2009;86:1894–901. https://doi.org/10.1016/j.apenergy.2008.11.028.</w:t>
      </w:r>
    </w:p>
    <w:p w14:paraId="5EE0A718" w14:textId="77777777" w:rsidR="00692699" w:rsidRPr="00692699" w:rsidRDefault="00692699" w:rsidP="00692699">
      <w:pPr>
        <w:pStyle w:val="Bibliography"/>
      </w:pPr>
      <w:r w:rsidRPr="00692699">
        <w:t>[30]</w:t>
      </w:r>
      <w:r w:rsidRPr="00692699">
        <w:tab/>
        <w:t>Lin B, Raza MY. Analysis of energy security indicators and CO2 emissions. A case from a developing economy. Energy 2020;200:117575. https://doi.org/10.1016/j.energy.2020.117575.</w:t>
      </w:r>
    </w:p>
    <w:p w14:paraId="6B771B75" w14:textId="77777777" w:rsidR="00692699" w:rsidRPr="00692699" w:rsidRDefault="00692699" w:rsidP="00692699">
      <w:pPr>
        <w:pStyle w:val="Bibliography"/>
      </w:pPr>
      <w:r w:rsidRPr="00692699">
        <w:t>[31]</w:t>
      </w:r>
      <w:r w:rsidRPr="00692699">
        <w:tab/>
        <w:t>Kruyt B, van Vuuren DP, de Vries HJM, Groenenberg H. Indicators for energy security. Energy Policy 2009;37:2166–81. https://doi.org/10.1016/j.enpol.2009.02.006.</w:t>
      </w:r>
    </w:p>
    <w:p w14:paraId="53654C3E" w14:textId="77777777" w:rsidR="00692699" w:rsidRPr="00692699" w:rsidRDefault="00692699" w:rsidP="00692699">
      <w:pPr>
        <w:pStyle w:val="Bibliography"/>
      </w:pPr>
      <w:r w:rsidRPr="00692699">
        <w:t>[32]</w:t>
      </w:r>
      <w:r w:rsidRPr="00692699">
        <w:tab/>
        <w:t>Grubb M, Butler L, Twomey P. Diversity and security in UK electricity generation: The influence of low-carbon objectives. Energy Policy 2006;34:4050–62. https://doi.org/10.1016/J.ENPOL.2005.09.004.</w:t>
      </w:r>
    </w:p>
    <w:p w14:paraId="702AC05C" w14:textId="77777777" w:rsidR="00692699" w:rsidRPr="00692699" w:rsidRDefault="00692699" w:rsidP="00692699">
      <w:pPr>
        <w:pStyle w:val="Bibliography"/>
      </w:pPr>
      <w:r w:rsidRPr="00692699">
        <w:t>[33]</w:t>
      </w:r>
      <w:r w:rsidRPr="00692699">
        <w:tab/>
        <w:t>Chalvatzis KJ, Rubel K. Electricity portfolio innovation for energy security: The case of carbon constrained China. Technological Forecasting and Social Change 2015;100:267–76. https://doi.org/10.1016/J.TECHFORE.2015.07.012.</w:t>
      </w:r>
    </w:p>
    <w:p w14:paraId="33228175" w14:textId="77777777" w:rsidR="00692699" w:rsidRPr="00692699" w:rsidRDefault="00692699" w:rsidP="00692699">
      <w:pPr>
        <w:pStyle w:val="Bibliography"/>
      </w:pPr>
      <w:r w:rsidRPr="00692699">
        <w:t>[34]</w:t>
      </w:r>
      <w:r w:rsidRPr="00692699">
        <w:tab/>
        <w:t>Dilek S, Konak A. Resource Diversification in Turkey’s Electricity Generation. Journal of Original Studies 2022. https://doi.org/10.47243/jos.3.2.03.</w:t>
      </w:r>
    </w:p>
    <w:p w14:paraId="4DCD3F0B" w14:textId="77777777" w:rsidR="00692699" w:rsidRPr="00692699" w:rsidRDefault="00692699" w:rsidP="00692699">
      <w:pPr>
        <w:pStyle w:val="Bibliography"/>
      </w:pPr>
      <w:r w:rsidRPr="00692699">
        <w:t>[35]</w:t>
      </w:r>
      <w:r w:rsidRPr="00692699">
        <w:tab/>
        <w:t>Cox E. Assessing long-term energy security: The case of electricity in the United Kingdom. Renewable and Sustainable Energy Reviews 2018;82:2287–99. https://doi.org/10.1016/J.RSER.2017.08.084.</w:t>
      </w:r>
    </w:p>
    <w:p w14:paraId="1C2665F3" w14:textId="7D02F781" w:rsidR="00100C02" w:rsidRDefault="00100C02" w:rsidP="00100C02">
      <w:r>
        <w:fldChar w:fldCharType="end"/>
      </w:r>
    </w:p>
    <w:p w14:paraId="155304C9" w14:textId="77777777" w:rsidR="00100C02" w:rsidRPr="00100C02" w:rsidRDefault="00100C02" w:rsidP="00100C02"/>
    <w:p w14:paraId="41DFDCD0" w14:textId="77777777" w:rsidR="00611F5E" w:rsidRDefault="00164B3C">
      <w:pPr>
        <w:ind w:hanging="640"/>
        <w:rPr>
          <w:sz w:val="24"/>
          <w:szCs w:val="24"/>
        </w:rPr>
      </w:pPr>
      <w:r>
        <w:t>[1]</w:t>
      </w:r>
      <w:r>
        <w:tab/>
        <w:t>Osorio S, van Ackere A, Larsen ER. Interdependencies in security of electricity supply. Energy 2017;135. https://doi.org/10.1016/j.energy.2017.06.095.</w:t>
      </w:r>
    </w:p>
    <w:p w14:paraId="4426E4F7" w14:textId="77777777" w:rsidR="00611F5E" w:rsidRDefault="00164B3C">
      <w:pPr>
        <w:ind w:hanging="640"/>
      </w:pPr>
      <w:r>
        <w:t>[2]</w:t>
      </w:r>
      <w:r>
        <w:tab/>
        <w:t>Sovacool BK, Mukherjee I. Conceptualizing and measuring energy security: A synthesized approach. Energy 2011;36:5343–55. https://doi.org/10.1016/J.ENERGY.2011.06.043.</w:t>
      </w:r>
    </w:p>
    <w:p w14:paraId="232AA38F" w14:textId="77777777" w:rsidR="00611F5E" w:rsidRDefault="00164B3C">
      <w:pPr>
        <w:ind w:hanging="640"/>
      </w:pPr>
      <w:r>
        <w:t>[3]</w:t>
      </w:r>
      <w:r>
        <w:tab/>
        <w:t>Lilliestam J, Ellenbeck S. Energy security and renewable electricity trade—Will Desertec make Europe vulnerable to the “energy weapon”? Energy Policy 2011;39:3380–91. https://doi.org/10.1016/J.ENPOL.2011.03.035.</w:t>
      </w:r>
    </w:p>
    <w:p w14:paraId="35D177E5" w14:textId="77777777" w:rsidR="00611F5E" w:rsidRDefault="00164B3C">
      <w:pPr>
        <w:ind w:hanging="640"/>
      </w:pPr>
      <w:r>
        <w:t>[4]</w:t>
      </w:r>
      <w:r>
        <w:tab/>
        <w:t>Ren J, Dong L. Evaluation of electricity supply sustainability and security: Multi-criteria decision analysis approach. J Clean Prod 2018;172:438–53. https://doi.org/10.1016/J.JCLEPRO.2017.10.167.</w:t>
      </w:r>
    </w:p>
    <w:p w14:paraId="3FF168F4" w14:textId="77777777" w:rsidR="00611F5E" w:rsidRDefault="00164B3C">
      <w:pPr>
        <w:ind w:hanging="640"/>
      </w:pPr>
      <w:r>
        <w:t>[5]</w:t>
      </w:r>
      <w:r>
        <w:tab/>
        <w:t>Das A, Halder A, Mazumder R, Saini VK, Parikh J, Parikh KS. Bangladesh power supply scenarios on renewables and electricity import. Energy 2018;155. https://doi.org/10.1016/j.energy.2018.04.169.</w:t>
      </w:r>
    </w:p>
    <w:p w14:paraId="2B542D89" w14:textId="77777777" w:rsidR="00611F5E" w:rsidRDefault="00164B3C">
      <w:pPr>
        <w:ind w:hanging="640"/>
      </w:pPr>
      <w:r>
        <w:t>[6]</w:t>
      </w:r>
      <w:r>
        <w:tab/>
        <w:t>Yuan M, Tapia-Ahumada K, Reilly J. The role of cross-border electricity trade in transition to a low-carbon economy in the Northeastern U.S. Energy Policy 2021;154. https://doi.org/10.1016/j.enpol.2021.112261.</w:t>
      </w:r>
    </w:p>
    <w:p w14:paraId="5763B2E4" w14:textId="77777777" w:rsidR="00611F5E" w:rsidRDefault="00164B3C">
      <w:pPr>
        <w:ind w:hanging="640"/>
      </w:pPr>
      <w:r>
        <w:t>[7]</w:t>
      </w:r>
      <w:r>
        <w:tab/>
        <w:t>Bahar H, Sauvage J. Cross-Border Trade in Electricity and the Development of Renewables-Based Electric Power. OECD Trade and Environment Working Papers 2013. https://doi.org/10.1787/5k4869cdwnzr-en.</w:t>
      </w:r>
    </w:p>
    <w:p w14:paraId="26D2B1AB" w14:textId="77777777" w:rsidR="00611F5E" w:rsidRDefault="00164B3C">
      <w:pPr>
        <w:ind w:hanging="640"/>
      </w:pPr>
      <w:r>
        <w:t>[8]</w:t>
      </w:r>
      <w:r>
        <w:tab/>
        <w:t>Crozier C, Baker K. The effect of renewable electricity generation on the value of cross-border interconnection. Appl Energy 2022;324. https://doi.org/10.1016/j.apenergy.2022.119717.</w:t>
      </w:r>
    </w:p>
    <w:p w14:paraId="7BF6A29E" w14:textId="77777777" w:rsidR="00611F5E" w:rsidRDefault="00164B3C">
      <w:pPr>
        <w:ind w:hanging="640"/>
      </w:pPr>
      <w:r>
        <w:t>[9]</w:t>
      </w:r>
      <w:r>
        <w:tab/>
        <w:t>Abrell J, Rausch S. Cross-country electricity trade, renewable energy and European transmission infrastructure policy. J Environ Econ Manage 2016;79:87–113. https://doi.org/10.1016/j.jeem.2016.04.001.</w:t>
      </w:r>
    </w:p>
    <w:p w14:paraId="3FC97BC3" w14:textId="77777777" w:rsidR="00611F5E" w:rsidRDefault="00164B3C">
      <w:pPr>
        <w:ind w:hanging="640"/>
      </w:pPr>
      <w:r>
        <w:t>[10]</w:t>
      </w:r>
      <w:r>
        <w:tab/>
        <w:t>Dahlke S. Integrating energy markets: Implications of increasing electricity trade on prices and emissions in the Western United States. International Journal of Sustainable Energy Planning and Management 2020;25. https://doi.org/10.5278/ijsepm.3416.</w:t>
      </w:r>
    </w:p>
    <w:p w14:paraId="2F9DC520" w14:textId="77777777" w:rsidR="00611F5E" w:rsidRDefault="00164B3C">
      <w:pPr>
        <w:ind w:hanging="640"/>
      </w:pPr>
      <w:r>
        <w:t>[11]</w:t>
      </w:r>
      <w:r>
        <w:tab/>
        <w:t>Joskow PL. Lessons learned from electricity market liberalization. Energy Journal 2008;29:9–42. https://doi.org/10.5547/ISSN0195-6574-EJ-VOL29-NOSI2-3.</w:t>
      </w:r>
    </w:p>
    <w:p w14:paraId="52A03BEF" w14:textId="77777777" w:rsidR="00611F5E" w:rsidRDefault="00164B3C">
      <w:pPr>
        <w:ind w:hanging="640"/>
      </w:pPr>
      <w:r>
        <w:t>[12]</w:t>
      </w:r>
      <w:r>
        <w:tab/>
        <w:t>Blumsack S. Measuring the Benefits and Costs of Regional Electric Grid Integration. Energy Law Journal 2007;28.</w:t>
      </w:r>
    </w:p>
    <w:p w14:paraId="68281B76" w14:textId="77777777" w:rsidR="00611F5E" w:rsidRDefault="00164B3C">
      <w:pPr>
        <w:ind w:hanging="640"/>
      </w:pPr>
      <w:r>
        <w:t>[13]</w:t>
      </w:r>
      <w:r>
        <w:tab/>
        <w:t>Oseni MO, Pollitt MG. The promotion of regional integration of electricity markets: Lessons for developing countries. Energy Policy 2016;88. https://doi.org/10.1016/j.enpol.2015.09.007.</w:t>
      </w:r>
    </w:p>
    <w:p w14:paraId="65B25D53" w14:textId="77777777" w:rsidR="00611F5E" w:rsidRDefault="00164B3C">
      <w:pPr>
        <w:ind w:hanging="640"/>
      </w:pPr>
      <w:r>
        <w:t>[14]</w:t>
      </w:r>
      <w:r>
        <w:tab/>
        <w:t>Pineau PO, Lefebvre V. The value of unused interregional transmission: Estimating the opportunity cost for Quebec (Canada). International Journal of Energy Sector Management 2009;3:406–23. https://doi.org/10.1108/17506220911005768.</w:t>
      </w:r>
    </w:p>
    <w:p w14:paraId="06B322BB" w14:textId="77777777" w:rsidR="00611F5E" w:rsidRDefault="00164B3C">
      <w:pPr>
        <w:ind w:hanging="640"/>
      </w:pPr>
      <w:r>
        <w:lastRenderedPageBreak/>
        <w:t>[15]</w:t>
      </w:r>
      <w:r>
        <w:tab/>
        <w:t>Moore S. Evaluating the energy security of electricity interdependence: Perspectives from Morocco. Energy Res Soc Sci 2017;24:21–9. https://doi.org/10.1016/j.erss.2016.12.008.</w:t>
      </w:r>
    </w:p>
    <w:p w14:paraId="214810CA" w14:textId="77777777" w:rsidR="00611F5E" w:rsidRDefault="00164B3C">
      <w:pPr>
        <w:ind w:hanging="640"/>
      </w:pPr>
      <w:r>
        <w:t>[16]</w:t>
      </w:r>
      <w:r>
        <w:tab/>
        <w:t>Yang M, Shi X, Zhou Y, Xiang J, Zhang R. Deepening regional power connectivity: Beyond the industry-centric perspective. Energy Res Soc Sci 2022;90. https://doi.org/10.1016/j.erss.2022.102614.</w:t>
      </w:r>
    </w:p>
    <w:p w14:paraId="64B8D957" w14:textId="77777777" w:rsidR="00611F5E" w:rsidRDefault="00164B3C">
      <w:pPr>
        <w:ind w:hanging="640"/>
      </w:pPr>
      <w:r>
        <w:t>[17]</w:t>
      </w:r>
      <w:r>
        <w:tab/>
        <w:t>Ang BW, Choong WL, Ng TS. Energy security: Definitions, dimensions and indexes. Renewable and Sustainable Energy Reviews 2015;42:1077–93. https://doi.org/10.1016/J.RSER.2014.10.064.</w:t>
      </w:r>
    </w:p>
    <w:p w14:paraId="2276D525" w14:textId="77777777" w:rsidR="00611F5E" w:rsidRDefault="00164B3C">
      <w:pPr>
        <w:ind w:hanging="640"/>
      </w:pPr>
      <w:r>
        <w:t>[18]</w:t>
      </w:r>
      <w:r>
        <w:tab/>
        <w:t>Ranjan A, Hughes L. Energy security and the diversity of energy flows in an energy system. Energy 2014;73:137–44. https://doi.org/https://doi.org/10.1016/j.energy.2014.05.108.</w:t>
      </w:r>
    </w:p>
    <w:p w14:paraId="43DBAD8E" w14:textId="77777777" w:rsidR="00611F5E" w:rsidRDefault="00164B3C">
      <w:pPr>
        <w:ind w:hanging="640"/>
      </w:pPr>
      <w:r>
        <w:t>[19]</w:t>
      </w:r>
      <w:r>
        <w:tab/>
        <w:t>Matsumoto K, Doumpos M, Andriosopoulos K. Historical energy security performance in EU countries. Renewable and Sustainable Energy Reviews 2018;82:1737–48. https://doi.org/https://doi.org/10.1016/j.rser.2017.06.058.</w:t>
      </w:r>
    </w:p>
    <w:p w14:paraId="5D9DF481" w14:textId="77777777" w:rsidR="00611F5E" w:rsidRDefault="00164B3C">
      <w:pPr>
        <w:ind w:hanging="640"/>
      </w:pPr>
      <w:r>
        <w:t>[20]</w:t>
      </w:r>
      <w:r>
        <w:tab/>
        <w:t>Erahman QF, Purwanto WW, Sudibandriyo M, Hidayatno A. An assessment of Indonesia’s energy security index and comparison with seventy countries. Energy 2016;111:364–76. https://doi.org/https://doi.org/10.1016/j.energy.2016.05.100.</w:t>
      </w:r>
    </w:p>
    <w:p w14:paraId="0FB9E37D" w14:textId="77777777" w:rsidR="00611F5E" w:rsidRDefault="00164B3C">
      <w:pPr>
        <w:ind w:hanging="640"/>
      </w:pPr>
      <w:r>
        <w:t>[21]</w:t>
      </w:r>
      <w:r>
        <w:tab/>
        <w:t>Chuang MC, Ma HW. Energy security and improvements in the function of diversity indices—Taiwan energy supply structure case study. Renewable and Sustainable Energy Reviews 2013;24:9–20. https://doi.org/https://doi.org/10.1016/j.rser.2013.03.021.</w:t>
      </w:r>
    </w:p>
    <w:p w14:paraId="6958F817" w14:textId="77777777" w:rsidR="00611F5E" w:rsidRDefault="00164B3C">
      <w:pPr>
        <w:ind w:hanging="640"/>
      </w:pPr>
      <w:r>
        <w:t>[22]</w:t>
      </w:r>
      <w:r>
        <w:tab/>
        <w:t>Zhang L, Yu J, Sovacool BK, Ren J. Measuring energy security performance within China: Toward an inter-provincial prospective. Energy 2017;125:825–36. https://doi.org/https://doi.org/10.1016/j.energy.2016.12.030.</w:t>
      </w:r>
    </w:p>
    <w:p w14:paraId="153287B7" w14:textId="77777777" w:rsidR="00611F5E" w:rsidRDefault="00164B3C">
      <w:pPr>
        <w:ind w:hanging="640"/>
      </w:pPr>
      <w:r>
        <w:t>[23]</w:t>
      </w:r>
      <w:r>
        <w:tab/>
        <w:t>Ren J, Sovacool BK. Quantifying, measuring, and strategizing energy security: Determining the most meaningful dimensions and metrics. Energy 2014;76:838–49. https://doi.org/https://doi.org/10.1016/j.energy.2014.08.083.</w:t>
      </w:r>
    </w:p>
    <w:p w14:paraId="4E8D2689" w14:textId="77777777" w:rsidR="00611F5E" w:rsidRDefault="00164B3C">
      <w:pPr>
        <w:ind w:hanging="640"/>
      </w:pPr>
      <w:r>
        <w:t>[24]</w:t>
      </w:r>
      <w:r>
        <w:tab/>
        <w:t>Wang D, Tian S, Fang L, Xu Y. A functional index model for dynamically evaluating China’s energy security. Energy Policy 2020;147:111706. https://doi.org/https://doi.org/10.1016/j.enpol.2020.111706.</w:t>
      </w:r>
    </w:p>
    <w:p w14:paraId="180C324F" w14:textId="77777777" w:rsidR="00611F5E" w:rsidRDefault="00164B3C">
      <w:pPr>
        <w:ind w:hanging="640"/>
      </w:pPr>
      <w:r>
        <w:t>[25]</w:t>
      </w:r>
      <w:r>
        <w:tab/>
        <w:t>Song Y, Zhang M, Sun R. Using a new aggregated indicator to evaluate China’s energy security. Energy Policy 2019;132:167–74. https://doi.org/https://doi.org/10.1016/j.enpol.2019.05.036.</w:t>
      </w:r>
    </w:p>
    <w:p w14:paraId="26F2C0B1" w14:textId="77777777" w:rsidR="00611F5E" w:rsidRDefault="00164B3C">
      <w:pPr>
        <w:ind w:hanging="640"/>
      </w:pPr>
      <w:r>
        <w:t>[26]</w:t>
      </w:r>
      <w:r>
        <w:tab/>
        <w:t>Martchamadol J, Kumar S. An aggregated energy security performance indicator. Appl Energy 2013;103:653–70. https://doi.org/https://doi.org/10.1016/j.apenergy.2012.10.027.</w:t>
      </w:r>
    </w:p>
    <w:p w14:paraId="49D6FE6C" w14:textId="77777777" w:rsidR="00611F5E" w:rsidRDefault="00164B3C">
      <w:pPr>
        <w:ind w:hanging="640"/>
      </w:pPr>
      <w:r>
        <w:t>[27]</w:t>
      </w:r>
      <w:r>
        <w:tab/>
        <w:t>Jewell J, Cherp A, Riahi K. Energy security under de-carbonization scenarios: An assessment framework and evaluation under different technology and policy choices. Energy Policy 2014;65:743–60. https://doi.org/https://doi.org/10.1016/j.enpol.2013.10.051.</w:t>
      </w:r>
    </w:p>
    <w:p w14:paraId="57EB50F2" w14:textId="77777777" w:rsidR="00611F5E" w:rsidRDefault="00164B3C">
      <w:pPr>
        <w:ind w:hanging="640"/>
      </w:pPr>
      <w:r>
        <w:t>[28]</w:t>
      </w:r>
      <w:r>
        <w:tab/>
        <w:t>Jun E, Kim W, Chang SH. The analysis of security cost for different energy sources. Appl Energy 2009;86:1894–901. https://doi.org/https://doi.org/10.1016/j.apenergy.2008.11.028.</w:t>
      </w:r>
    </w:p>
    <w:p w14:paraId="798D3A56" w14:textId="77777777" w:rsidR="00611F5E" w:rsidRDefault="00164B3C">
      <w:pPr>
        <w:ind w:hanging="640"/>
      </w:pPr>
      <w:r>
        <w:lastRenderedPageBreak/>
        <w:t>[29]</w:t>
      </w:r>
      <w:r>
        <w:tab/>
        <w:t>Lin B, Raza MY. Analysis of energy security indicators and CO2 emissions. A case from a developing economy. Energy 2020;200:117575. https://doi.org/https://doi.org/10.1016/j.energy.2020.117575.</w:t>
      </w:r>
    </w:p>
    <w:p w14:paraId="3A04010F" w14:textId="77777777" w:rsidR="00611F5E" w:rsidRDefault="00164B3C">
      <w:pPr>
        <w:ind w:hanging="640"/>
      </w:pPr>
      <w:r>
        <w:t>[30]</w:t>
      </w:r>
      <w:r>
        <w:tab/>
        <w:t>Kruyt B, van Vuuren DP, de Vries HJM, Groenenberg H. Indicators for energy security. Energy Policy 2009;37:2166–81. https://doi.org/10.1016/J.ENPOL.2009.02.006.</w:t>
      </w:r>
    </w:p>
    <w:p w14:paraId="46A97431" w14:textId="77777777" w:rsidR="00611F5E" w:rsidRDefault="00164B3C">
      <w:pPr>
        <w:ind w:hanging="640"/>
      </w:pPr>
      <w:r>
        <w:t>[31]</w:t>
      </w:r>
      <w:r>
        <w:tab/>
        <w:t>Grubb M, Butler L, Twomey P. Diversity and security in UK electricity generation: The influence of low-carbon objectives. Energy Policy 2006;34:4050–62. https://doi.org/10.1016/J.ENPOL.2005.09.004.</w:t>
      </w:r>
    </w:p>
    <w:p w14:paraId="6DDB4A2C" w14:textId="77777777" w:rsidR="00611F5E" w:rsidRDefault="00164B3C">
      <w:pPr>
        <w:ind w:hanging="640"/>
      </w:pPr>
      <w:r>
        <w:t>[32]</w:t>
      </w:r>
      <w:r>
        <w:tab/>
        <w:t>Chalvatzis KJ, Rubel K. Electricity portfolio innovation for energy security: The case of carbon constrained China. Technol Forecast Soc Change 2015;100:267–76. https://doi.org/10.1016/J.TECHFORE.2015.07.012.</w:t>
      </w:r>
    </w:p>
    <w:p w14:paraId="10B97A0A" w14:textId="77777777" w:rsidR="00611F5E" w:rsidRDefault="00164B3C">
      <w:pPr>
        <w:ind w:hanging="640"/>
      </w:pPr>
      <w:r>
        <w:t>[33]</w:t>
      </w:r>
      <w:r>
        <w:tab/>
        <w:t>Dilek S, Konak A. Resource Diversification in Turkey’s Electricity generation. Journal of Original Studies 2022;3. https://doi.org/10.47243/os.3.2.03.</w:t>
      </w:r>
    </w:p>
    <w:p w14:paraId="368B9572" w14:textId="77777777" w:rsidR="00611F5E" w:rsidRDefault="00164B3C">
      <w:pPr>
        <w:ind w:hanging="640"/>
      </w:pPr>
      <w:r>
        <w:t>[34]</w:t>
      </w:r>
      <w:r>
        <w:tab/>
        <w:t>Cox E. Assessing long-term energy security: The case of electricity in the United Kingdom. Renewable and Sustainable Energy Reviews 2018;82:2287–99. https://doi.org/10.1016/J.RSER.2017.08.084.</w:t>
      </w:r>
    </w:p>
    <w:p w14:paraId="23F0F8A7" w14:textId="77777777" w:rsidR="00611F5E" w:rsidRDefault="00164B3C">
      <w:pPr>
        <w:ind w:hanging="640"/>
      </w:pPr>
      <w:r>
        <w:t>[35]</w:t>
      </w:r>
      <w:r>
        <w:tab/>
        <w:t>United States Department of Homeland Security. Homeland Infrastructure Foundation-Level Data, Control Areas. Https://Hifld-GeoplatformHubArcgisCom/Datasets/Geoplatform::Control-Areas/About n.d.</w:t>
      </w:r>
    </w:p>
    <w:p w14:paraId="6E7FE805" w14:textId="77777777" w:rsidR="00611F5E" w:rsidRPr="000061B1" w:rsidRDefault="00164B3C">
      <w:pPr>
        <w:ind w:hanging="640"/>
        <w:rPr>
          <w:highlight w:val="yellow"/>
        </w:rPr>
      </w:pPr>
      <w:r w:rsidRPr="000061B1">
        <w:rPr>
          <w:highlight w:val="yellow"/>
        </w:rPr>
        <w:t>[36]</w:t>
      </w:r>
      <w:r w:rsidRPr="000061B1">
        <w:rPr>
          <w:highlight w:val="yellow"/>
        </w:rPr>
        <w:tab/>
        <w:t>Shannon CE. A mathematical theory of communication. The Bell System Technical Journal 1948;27:379–423. https://doi.org/10.1002/j.1538-7305.1948.tb01338.x.</w:t>
      </w:r>
    </w:p>
    <w:p w14:paraId="3BF5015A" w14:textId="77777777" w:rsidR="00611F5E" w:rsidRPr="000061B1" w:rsidRDefault="00164B3C">
      <w:pPr>
        <w:ind w:hanging="640"/>
        <w:rPr>
          <w:highlight w:val="yellow"/>
        </w:rPr>
      </w:pPr>
      <w:r w:rsidRPr="000061B1">
        <w:rPr>
          <w:highlight w:val="yellow"/>
        </w:rPr>
        <w:t>[37]</w:t>
      </w:r>
      <w:r w:rsidRPr="000061B1">
        <w:rPr>
          <w:highlight w:val="yellow"/>
        </w:rPr>
        <w:tab/>
        <w:t>Margalef R. Information Theory in Ecology. General Systems 1958.</w:t>
      </w:r>
    </w:p>
    <w:p w14:paraId="4141A526" w14:textId="77777777" w:rsidR="00611F5E" w:rsidRPr="000061B1" w:rsidRDefault="00164B3C">
      <w:pPr>
        <w:ind w:hanging="640"/>
        <w:rPr>
          <w:highlight w:val="yellow"/>
        </w:rPr>
      </w:pPr>
      <w:r w:rsidRPr="000061B1">
        <w:rPr>
          <w:highlight w:val="yellow"/>
        </w:rPr>
        <w:t>[38]</w:t>
      </w:r>
      <w:r w:rsidRPr="000061B1">
        <w:rPr>
          <w:highlight w:val="yellow"/>
        </w:rPr>
        <w:tab/>
        <w:t>Pielou EC. The measurement of diversity in different types of biological collections. J Theor Biol 1966;13:131–44. https://doi.org/10.1016/0022-5193(66)90013-0.</w:t>
      </w:r>
    </w:p>
    <w:p w14:paraId="0E697946" w14:textId="77777777" w:rsidR="00611F5E" w:rsidRPr="000061B1" w:rsidRDefault="00164B3C">
      <w:pPr>
        <w:ind w:hanging="640"/>
        <w:rPr>
          <w:highlight w:val="yellow"/>
        </w:rPr>
      </w:pPr>
      <w:r w:rsidRPr="000061B1">
        <w:rPr>
          <w:highlight w:val="yellow"/>
        </w:rPr>
        <w:t>[39]</w:t>
      </w:r>
      <w:r w:rsidRPr="000061B1">
        <w:rPr>
          <w:highlight w:val="yellow"/>
        </w:rPr>
        <w:tab/>
        <w:t>Peet, Robert K. The Measurement of Species Diversity Robert K. Peet Annual Review of Ecology and Systematics , Vol. 5. (1974), pp. 285-307. Annu Rev Ecol Syst 1974;5.</w:t>
      </w:r>
    </w:p>
    <w:p w14:paraId="7F5E3D6E" w14:textId="77777777" w:rsidR="00611F5E" w:rsidRDefault="00164B3C">
      <w:pPr>
        <w:ind w:hanging="640"/>
      </w:pPr>
      <w:r w:rsidRPr="000061B1">
        <w:rPr>
          <w:highlight w:val="yellow"/>
        </w:rPr>
        <w:t>[40]</w:t>
      </w:r>
      <w:r w:rsidRPr="000061B1">
        <w:rPr>
          <w:highlight w:val="yellow"/>
        </w:rPr>
        <w:tab/>
        <w:t>Hill MO. Diversity and Evenness: A Unifying Notation and Its Consequences. Ecology 1973;54:427–32. https://doi.org/https://doi.org/10.2307/1934352.</w:t>
      </w:r>
    </w:p>
    <w:p w14:paraId="5D679E58" w14:textId="77777777" w:rsidR="00611F5E" w:rsidRDefault="00164B3C">
      <w:r>
        <w:t> </w:t>
      </w:r>
    </w:p>
    <w:sectPr w:rsidR="00611F5E" w:rsidSect="00CD404A">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A3B3C9" w14:textId="77777777" w:rsidR="00C952DD" w:rsidRDefault="00C952DD">
      <w:pPr>
        <w:spacing w:after="0" w:line="240" w:lineRule="auto"/>
      </w:pPr>
      <w:r>
        <w:separator/>
      </w:r>
    </w:p>
  </w:endnote>
  <w:endnote w:type="continuationSeparator" w:id="0">
    <w:p w14:paraId="7E70AAC8" w14:textId="77777777" w:rsidR="00C952DD" w:rsidRDefault="00C952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20DC344-2EDA-434D-86BE-BA6E6A9559D9}"/>
  </w:font>
  <w:font w:name="Aptos">
    <w:charset w:val="00"/>
    <w:family w:val="swiss"/>
    <w:pitch w:val="variable"/>
    <w:sig w:usb0="20000287" w:usb1="00000003" w:usb2="00000000" w:usb3="00000000" w:csb0="0000019F" w:csb1="00000000"/>
    <w:embedRegular r:id="rId2" w:fontKey="{A54F796A-CA60-4891-9BBE-4066B8A9B14E}"/>
    <w:embedBold r:id="rId3" w:fontKey="{B9BB8EA7-78FC-41E0-9144-9391E683A448}"/>
    <w:embedItalic r:id="rId4" w:fontKey="{6D170291-EB40-4692-8210-9BA095359148}"/>
  </w:font>
  <w:font w:name="Aptos Display">
    <w:charset w:val="00"/>
    <w:family w:val="swiss"/>
    <w:pitch w:val="variable"/>
    <w:sig w:usb0="20000287" w:usb1="00000003" w:usb2="00000000" w:usb3="00000000" w:csb0="0000019F" w:csb1="00000000"/>
    <w:embedRegular r:id="rId5" w:fontKey="{4676F06D-0923-4210-A2E9-9E19F8CAC838}"/>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6" w:fontKey="{AE313B70-C56E-499E-A84E-E2DA7F18B2A6}"/>
    <w:embedItalic r:id="rId7" w:fontKey="{6208A9F1-E1D8-4CC7-91B2-50E7CAEB6464}"/>
  </w:font>
  <w:font w:name="Aptos Narrow">
    <w:charset w:val="00"/>
    <w:family w:val="swiss"/>
    <w:pitch w:val="variable"/>
    <w:sig w:usb0="20000287" w:usb1="00000003" w:usb2="00000000" w:usb3="00000000" w:csb0="0000019F" w:csb1="00000000"/>
    <w:embedRegular r:id="rId8" w:fontKey="{432632E2-887E-45AF-94F7-ED4F47630A40}"/>
    <w:embedBold r:id="rId9" w:fontKey="{92E32BA3-1D8F-4FCA-920A-ECB311024A6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D4979C" w14:textId="77777777" w:rsidR="00C952DD" w:rsidRDefault="00C952DD">
      <w:pPr>
        <w:spacing w:after="0" w:line="240" w:lineRule="auto"/>
      </w:pPr>
      <w:r>
        <w:separator/>
      </w:r>
    </w:p>
  </w:footnote>
  <w:footnote w:type="continuationSeparator" w:id="0">
    <w:p w14:paraId="12C705B9" w14:textId="77777777" w:rsidR="00C952DD" w:rsidRDefault="00C952DD">
      <w:pPr>
        <w:spacing w:after="0" w:line="240" w:lineRule="auto"/>
      </w:pPr>
      <w:r>
        <w:continuationSeparator/>
      </w:r>
    </w:p>
  </w:footnote>
  <w:footnote w:id="1">
    <w:p w14:paraId="29010E21" w14:textId="01CCECF8" w:rsidR="00611F5E" w:rsidRDefault="00611F5E">
      <w:pPr>
        <w:pBdr>
          <w:top w:val="nil"/>
          <w:left w:val="nil"/>
          <w:bottom w:val="nil"/>
          <w:right w:val="nil"/>
          <w:between w:val="nil"/>
        </w:pBdr>
        <w:spacing w:after="0" w:line="240" w:lineRule="auto"/>
        <w:rPr>
          <w:color w:val="000000"/>
          <w:sz w:val="20"/>
          <w:szCs w:val="20"/>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CC25E5"/>
    <w:multiLevelType w:val="hybridMultilevel"/>
    <w:tmpl w:val="DEBC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7279CF"/>
    <w:multiLevelType w:val="multilevel"/>
    <w:tmpl w:val="799E42D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2A14010"/>
    <w:multiLevelType w:val="multilevel"/>
    <w:tmpl w:val="DFCC1C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FFD3C68"/>
    <w:multiLevelType w:val="hybridMultilevel"/>
    <w:tmpl w:val="47866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7907DC"/>
    <w:multiLevelType w:val="multilevel"/>
    <w:tmpl w:val="54DAA6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C2913D8"/>
    <w:multiLevelType w:val="multilevel"/>
    <w:tmpl w:val="E9A031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72200F91"/>
    <w:multiLevelType w:val="hybridMultilevel"/>
    <w:tmpl w:val="E1D2B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3694938">
    <w:abstractNumId w:val="2"/>
  </w:num>
  <w:num w:numId="2" w16cid:durableId="205027588">
    <w:abstractNumId w:val="1"/>
  </w:num>
  <w:num w:numId="3" w16cid:durableId="989599762">
    <w:abstractNumId w:val="5"/>
  </w:num>
  <w:num w:numId="4" w16cid:durableId="833421845">
    <w:abstractNumId w:val="4"/>
  </w:num>
  <w:num w:numId="5" w16cid:durableId="1195802485">
    <w:abstractNumId w:val="0"/>
  </w:num>
  <w:num w:numId="6" w16cid:durableId="1298491011">
    <w:abstractNumId w:val="6"/>
  </w:num>
  <w:num w:numId="7" w16cid:durableId="1515457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F5E"/>
    <w:rsid w:val="000061B1"/>
    <w:rsid w:val="00012C55"/>
    <w:rsid w:val="000229B4"/>
    <w:rsid w:val="00055BEF"/>
    <w:rsid w:val="00071EE9"/>
    <w:rsid w:val="00085A0C"/>
    <w:rsid w:val="00086E56"/>
    <w:rsid w:val="000D0D91"/>
    <w:rsid w:val="000D5038"/>
    <w:rsid w:val="000E7334"/>
    <w:rsid w:val="000F3A8A"/>
    <w:rsid w:val="000F3DF6"/>
    <w:rsid w:val="000F685F"/>
    <w:rsid w:val="00100C02"/>
    <w:rsid w:val="00113D37"/>
    <w:rsid w:val="00133BDB"/>
    <w:rsid w:val="001501E9"/>
    <w:rsid w:val="00164034"/>
    <w:rsid w:val="00164476"/>
    <w:rsid w:val="00164B3C"/>
    <w:rsid w:val="001759DF"/>
    <w:rsid w:val="001803CB"/>
    <w:rsid w:val="0018286A"/>
    <w:rsid w:val="001B35E7"/>
    <w:rsid w:val="001B5630"/>
    <w:rsid w:val="001B7B13"/>
    <w:rsid w:val="001C163D"/>
    <w:rsid w:val="001C19CE"/>
    <w:rsid w:val="001E144A"/>
    <w:rsid w:val="00231C46"/>
    <w:rsid w:val="00262EBC"/>
    <w:rsid w:val="00291921"/>
    <w:rsid w:val="00295051"/>
    <w:rsid w:val="00297A9D"/>
    <w:rsid w:val="002D3FF5"/>
    <w:rsid w:val="002F4913"/>
    <w:rsid w:val="002F7F93"/>
    <w:rsid w:val="003023F3"/>
    <w:rsid w:val="00302E6C"/>
    <w:rsid w:val="00341DA7"/>
    <w:rsid w:val="003531E5"/>
    <w:rsid w:val="00356A74"/>
    <w:rsid w:val="003578CE"/>
    <w:rsid w:val="00366E02"/>
    <w:rsid w:val="00395F1B"/>
    <w:rsid w:val="003A5894"/>
    <w:rsid w:val="003B20BA"/>
    <w:rsid w:val="003B6EC3"/>
    <w:rsid w:val="003C1DBD"/>
    <w:rsid w:val="003E678E"/>
    <w:rsid w:val="003F5630"/>
    <w:rsid w:val="0041185E"/>
    <w:rsid w:val="00423B94"/>
    <w:rsid w:val="004311B5"/>
    <w:rsid w:val="00433099"/>
    <w:rsid w:val="004468CA"/>
    <w:rsid w:val="00462C44"/>
    <w:rsid w:val="00466BE8"/>
    <w:rsid w:val="00471B15"/>
    <w:rsid w:val="00484A83"/>
    <w:rsid w:val="00495E1C"/>
    <w:rsid w:val="004C058C"/>
    <w:rsid w:val="004C6C11"/>
    <w:rsid w:val="00507F3F"/>
    <w:rsid w:val="0053694A"/>
    <w:rsid w:val="005400ED"/>
    <w:rsid w:val="00542C0B"/>
    <w:rsid w:val="005472CA"/>
    <w:rsid w:val="00564466"/>
    <w:rsid w:val="00566684"/>
    <w:rsid w:val="00574B2E"/>
    <w:rsid w:val="005B3AF6"/>
    <w:rsid w:val="005B4A77"/>
    <w:rsid w:val="005C3B3D"/>
    <w:rsid w:val="005D401F"/>
    <w:rsid w:val="005E3093"/>
    <w:rsid w:val="005E444D"/>
    <w:rsid w:val="005F0494"/>
    <w:rsid w:val="005F24C5"/>
    <w:rsid w:val="005F67C7"/>
    <w:rsid w:val="00611F5E"/>
    <w:rsid w:val="00612085"/>
    <w:rsid w:val="006144D9"/>
    <w:rsid w:val="00654660"/>
    <w:rsid w:val="00660673"/>
    <w:rsid w:val="00692699"/>
    <w:rsid w:val="006B7189"/>
    <w:rsid w:val="006C358B"/>
    <w:rsid w:val="006C7F6A"/>
    <w:rsid w:val="006D4547"/>
    <w:rsid w:val="006F083C"/>
    <w:rsid w:val="006F38CC"/>
    <w:rsid w:val="00713E20"/>
    <w:rsid w:val="007163D9"/>
    <w:rsid w:val="00716829"/>
    <w:rsid w:val="007171E7"/>
    <w:rsid w:val="00745963"/>
    <w:rsid w:val="00752271"/>
    <w:rsid w:val="00753760"/>
    <w:rsid w:val="007937F8"/>
    <w:rsid w:val="00796EEB"/>
    <w:rsid w:val="007E6D96"/>
    <w:rsid w:val="007F5E77"/>
    <w:rsid w:val="008008C3"/>
    <w:rsid w:val="00800CEF"/>
    <w:rsid w:val="008124B0"/>
    <w:rsid w:val="0083091C"/>
    <w:rsid w:val="00842BF6"/>
    <w:rsid w:val="00844012"/>
    <w:rsid w:val="00856351"/>
    <w:rsid w:val="00885A02"/>
    <w:rsid w:val="008979D4"/>
    <w:rsid w:val="008A3776"/>
    <w:rsid w:val="008B648B"/>
    <w:rsid w:val="008C4692"/>
    <w:rsid w:val="008D03E6"/>
    <w:rsid w:val="008D6774"/>
    <w:rsid w:val="008E0700"/>
    <w:rsid w:val="008E5C0B"/>
    <w:rsid w:val="00955682"/>
    <w:rsid w:val="009612F2"/>
    <w:rsid w:val="009620F7"/>
    <w:rsid w:val="00964E82"/>
    <w:rsid w:val="0099141B"/>
    <w:rsid w:val="009D3D18"/>
    <w:rsid w:val="009F1A6E"/>
    <w:rsid w:val="00A00FE4"/>
    <w:rsid w:val="00A03800"/>
    <w:rsid w:val="00A06FE0"/>
    <w:rsid w:val="00A21ADD"/>
    <w:rsid w:val="00A423C3"/>
    <w:rsid w:val="00A708A0"/>
    <w:rsid w:val="00A745B1"/>
    <w:rsid w:val="00A857B2"/>
    <w:rsid w:val="00AB58B5"/>
    <w:rsid w:val="00AC14B3"/>
    <w:rsid w:val="00AD51B2"/>
    <w:rsid w:val="00AE18AB"/>
    <w:rsid w:val="00AE5985"/>
    <w:rsid w:val="00B106C2"/>
    <w:rsid w:val="00B11319"/>
    <w:rsid w:val="00B119D8"/>
    <w:rsid w:val="00B12680"/>
    <w:rsid w:val="00B27818"/>
    <w:rsid w:val="00B56AD5"/>
    <w:rsid w:val="00B57AB9"/>
    <w:rsid w:val="00B74918"/>
    <w:rsid w:val="00B92C25"/>
    <w:rsid w:val="00BB1DE2"/>
    <w:rsid w:val="00BB4357"/>
    <w:rsid w:val="00BD2E66"/>
    <w:rsid w:val="00BE3817"/>
    <w:rsid w:val="00BF1009"/>
    <w:rsid w:val="00C0132E"/>
    <w:rsid w:val="00C0483D"/>
    <w:rsid w:val="00C13917"/>
    <w:rsid w:val="00C15A3C"/>
    <w:rsid w:val="00C22B21"/>
    <w:rsid w:val="00C3235B"/>
    <w:rsid w:val="00C46ABF"/>
    <w:rsid w:val="00C46E1B"/>
    <w:rsid w:val="00C829D0"/>
    <w:rsid w:val="00C952DD"/>
    <w:rsid w:val="00C96A6C"/>
    <w:rsid w:val="00C97318"/>
    <w:rsid w:val="00CB6C5F"/>
    <w:rsid w:val="00CC2639"/>
    <w:rsid w:val="00CD08CF"/>
    <w:rsid w:val="00CD3992"/>
    <w:rsid w:val="00CD404A"/>
    <w:rsid w:val="00CD652D"/>
    <w:rsid w:val="00D07350"/>
    <w:rsid w:val="00D12B5B"/>
    <w:rsid w:val="00D12EDC"/>
    <w:rsid w:val="00D13C42"/>
    <w:rsid w:val="00D511A2"/>
    <w:rsid w:val="00D561C5"/>
    <w:rsid w:val="00D5627C"/>
    <w:rsid w:val="00D8436A"/>
    <w:rsid w:val="00D95658"/>
    <w:rsid w:val="00DA21EE"/>
    <w:rsid w:val="00DB0FD3"/>
    <w:rsid w:val="00DC383A"/>
    <w:rsid w:val="00DC6488"/>
    <w:rsid w:val="00DC67E9"/>
    <w:rsid w:val="00DD4861"/>
    <w:rsid w:val="00DD6380"/>
    <w:rsid w:val="00DE5112"/>
    <w:rsid w:val="00DF533E"/>
    <w:rsid w:val="00E05440"/>
    <w:rsid w:val="00E14019"/>
    <w:rsid w:val="00E25254"/>
    <w:rsid w:val="00E4785A"/>
    <w:rsid w:val="00E72091"/>
    <w:rsid w:val="00E74F5D"/>
    <w:rsid w:val="00ED2401"/>
    <w:rsid w:val="00EF463C"/>
    <w:rsid w:val="00EF76E0"/>
    <w:rsid w:val="00F11EFC"/>
    <w:rsid w:val="00F25179"/>
    <w:rsid w:val="00F42BDF"/>
    <w:rsid w:val="00F531DE"/>
    <w:rsid w:val="00F573A4"/>
    <w:rsid w:val="00F76E2E"/>
    <w:rsid w:val="00F77F3E"/>
    <w:rsid w:val="00F87103"/>
    <w:rsid w:val="00F9434B"/>
    <w:rsid w:val="00F9451B"/>
    <w:rsid w:val="00FA6790"/>
    <w:rsid w:val="00FB5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1D743"/>
  <w15:docId w15:val="{C84F5FD2-94BB-496D-9466-D5366DB2A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A59"/>
  </w:style>
  <w:style w:type="paragraph" w:styleId="Heading1">
    <w:name w:val="heading 1"/>
    <w:basedOn w:val="Normal"/>
    <w:next w:val="Normal"/>
    <w:link w:val="Heading1Char"/>
    <w:uiPriority w:val="9"/>
    <w:qFormat/>
    <w:rsid w:val="00944F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44F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44F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44F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F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F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F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F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F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44F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4F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44F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44F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F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F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F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F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F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F9E"/>
    <w:rPr>
      <w:rFonts w:eastAsiaTheme="majorEastAsia" w:cstheme="majorBidi"/>
      <w:color w:val="272727" w:themeColor="text1" w:themeTint="D8"/>
    </w:rPr>
  </w:style>
  <w:style w:type="character" w:customStyle="1" w:styleId="TitleChar">
    <w:name w:val="Title Char"/>
    <w:basedOn w:val="DefaultParagraphFont"/>
    <w:link w:val="Title"/>
    <w:uiPriority w:val="10"/>
    <w:rsid w:val="00944F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44F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F9E"/>
    <w:pPr>
      <w:spacing w:before="160"/>
      <w:jc w:val="center"/>
    </w:pPr>
    <w:rPr>
      <w:i/>
      <w:iCs/>
      <w:color w:val="404040" w:themeColor="text1" w:themeTint="BF"/>
    </w:rPr>
  </w:style>
  <w:style w:type="character" w:customStyle="1" w:styleId="QuoteChar">
    <w:name w:val="Quote Char"/>
    <w:basedOn w:val="DefaultParagraphFont"/>
    <w:link w:val="Quote"/>
    <w:uiPriority w:val="29"/>
    <w:rsid w:val="00944F9E"/>
    <w:rPr>
      <w:i/>
      <w:iCs/>
      <w:color w:val="404040" w:themeColor="text1" w:themeTint="BF"/>
    </w:rPr>
  </w:style>
  <w:style w:type="paragraph" w:styleId="ListParagraph">
    <w:name w:val="List Paragraph"/>
    <w:basedOn w:val="Normal"/>
    <w:uiPriority w:val="34"/>
    <w:qFormat/>
    <w:rsid w:val="00944F9E"/>
    <w:pPr>
      <w:ind w:left="720"/>
      <w:contextualSpacing/>
    </w:pPr>
  </w:style>
  <w:style w:type="character" w:styleId="IntenseEmphasis">
    <w:name w:val="Intense Emphasis"/>
    <w:basedOn w:val="DefaultParagraphFont"/>
    <w:uiPriority w:val="21"/>
    <w:qFormat/>
    <w:rsid w:val="00944F9E"/>
    <w:rPr>
      <w:i/>
      <w:iCs/>
      <w:color w:val="0F4761" w:themeColor="accent1" w:themeShade="BF"/>
    </w:rPr>
  </w:style>
  <w:style w:type="paragraph" w:styleId="IntenseQuote">
    <w:name w:val="Intense Quote"/>
    <w:basedOn w:val="Normal"/>
    <w:next w:val="Normal"/>
    <w:link w:val="IntenseQuoteChar"/>
    <w:uiPriority w:val="30"/>
    <w:qFormat/>
    <w:rsid w:val="00944F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F9E"/>
    <w:rPr>
      <w:i/>
      <w:iCs/>
      <w:color w:val="0F4761" w:themeColor="accent1" w:themeShade="BF"/>
    </w:rPr>
  </w:style>
  <w:style w:type="character" w:styleId="IntenseReference">
    <w:name w:val="Intense Reference"/>
    <w:basedOn w:val="DefaultParagraphFont"/>
    <w:uiPriority w:val="32"/>
    <w:qFormat/>
    <w:rsid w:val="00944F9E"/>
    <w:rPr>
      <w:b/>
      <w:bCs/>
      <w:smallCaps/>
      <w:color w:val="0F4761" w:themeColor="accent1" w:themeShade="BF"/>
      <w:spacing w:val="5"/>
    </w:rPr>
  </w:style>
  <w:style w:type="character" w:styleId="Hyperlink">
    <w:name w:val="Hyperlink"/>
    <w:basedOn w:val="DefaultParagraphFont"/>
    <w:uiPriority w:val="99"/>
    <w:semiHidden/>
    <w:unhideWhenUsed/>
    <w:rsid w:val="00E14BEE"/>
    <w:rPr>
      <w:color w:val="0000FF"/>
      <w:u w:val="single"/>
    </w:rPr>
  </w:style>
  <w:style w:type="character" w:styleId="PlaceholderText">
    <w:name w:val="Placeholder Text"/>
    <w:basedOn w:val="DefaultParagraphFont"/>
    <w:uiPriority w:val="99"/>
    <w:semiHidden/>
    <w:rsid w:val="005B779D"/>
    <w:rPr>
      <w:color w:val="666666"/>
    </w:rPr>
  </w:style>
  <w:style w:type="character" w:styleId="FollowedHyperlink">
    <w:name w:val="FollowedHyperlink"/>
    <w:basedOn w:val="DefaultParagraphFont"/>
    <w:uiPriority w:val="99"/>
    <w:semiHidden/>
    <w:unhideWhenUsed/>
    <w:rsid w:val="00CA6F7E"/>
    <w:rPr>
      <w:color w:val="96607D" w:themeColor="followedHyperlink"/>
      <w:u w:val="single"/>
    </w:rPr>
  </w:style>
  <w:style w:type="table" w:styleId="TableGrid">
    <w:name w:val="Table Grid"/>
    <w:basedOn w:val="TableNormal"/>
    <w:uiPriority w:val="39"/>
    <w:rsid w:val="00A35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D1D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D1D66"/>
    <w:rPr>
      <w:sz w:val="20"/>
      <w:szCs w:val="20"/>
    </w:rPr>
  </w:style>
  <w:style w:type="character" w:styleId="FootnoteReference">
    <w:name w:val="footnote reference"/>
    <w:basedOn w:val="DefaultParagraphFont"/>
    <w:uiPriority w:val="99"/>
    <w:semiHidden/>
    <w:unhideWhenUsed/>
    <w:rsid w:val="003D1D66"/>
    <w:rPr>
      <w:vertAlign w:val="superscript"/>
    </w:rPr>
  </w:style>
  <w:style w:type="paragraph" w:styleId="Caption">
    <w:name w:val="caption"/>
    <w:basedOn w:val="Normal"/>
    <w:next w:val="Normal"/>
    <w:uiPriority w:val="35"/>
    <w:unhideWhenUsed/>
    <w:qFormat/>
    <w:rsid w:val="00B53759"/>
    <w:pPr>
      <w:spacing w:after="200" w:line="240" w:lineRule="auto"/>
    </w:pPr>
    <w:rPr>
      <w:i/>
      <w:iCs/>
      <w:color w:val="0E2841" w:themeColor="text2"/>
      <w:sz w:val="18"/>
      <w:szCs w:val="18"/>
    </w:rPr>
  </w:style>
  <w:style w:type="table" w:styleId="GridTable4-Accent1">
    <w:name w:val="Grid Table 4 Accent 1"/>
    <w:basedOn w:val="TableNormal"/>
    <w:uiPriority w:val="49"/>
    <w:rsid w:val="00C62BE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4-Accent4">
    <w:name w:val="Grid Table 4 Accent 4"/>
    <w:basedOn w:val="TableNormal"/>
    <w:uiPriority w:val="49"/>
    <w:rsid w:val="00C62BED"/>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1">
    <w:name w:val="List Table 3 Accent 1"/>
    <w:basedOn w:val="TableNormal"/>
    <w:uiPriority w:val="48"/>
    <w:rsid w:val="00C62BED"/>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shd w:val="clear" w:color="auto" w:fill="156082"/>
      </w:tcPr>
    </w:tblStylePr>
    <w:tblStylePr w:type="lastRow">
      <w:rPr>
        <w:b/>
      </w:rPr>
      <w:tblPr/>
      <w:tcPr>
        <w:tcBorders>
          <w:top w:val="single" w:sz="4" w:space="0" w:color="156082"/>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156082"/>
          <w:right w:val="single" w:sz="4" w:space="0" w:color="156082"/>
        </w:tcBorders>
      </w:tcPr>
    </w:tblStylePr>
    <w:tblStylePr w:type="band1Horz">
      <w:tblPr/>
      <w:tcPr>
        <w:tcBorders>
          <w:top w:val="single" w:sz="4" w:space="0" w:color="156082"/>
          <w:bottom w:val="single" w:sz="4" w:space="0" w:color="15608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156082"/>
          <w:left w:val="nil"/>
        </w:tcBorders>
      </w:tcPr>
    </w:tblStylePr>
    <w:tblStylePr w:type="swCell">
      <w:tblPr/>
      <w:tcPr>
        <w:tcBorders>
          <w:top w:val="single" w:sz="4" w:space="0" w:color="156082"/>
          <w:right w:val="nil"/>
        </w:tcBorders>
      </w:tc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paragraph" w:styleId="Bibliography">
    <w:name w:val="Bibliography"/>
    <w:basedOn w:val="Normal"/>
    <w:next w:val="Normal"/>
    <w:uiPriority w:val="37"/>
    <w:unhideWhenUsed/>
    <w:rsid w:val="00CB6C5F"/>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423495">
      <w:bodyDiv w:val="1"/>
      <w:marLeft w:val="0"/>
      <w:marRight w:val="0"/>
      <w:marTop w:val="0"/>
      <w:marBottom w:val="0"/>
      <w:divBdr>
        <w:top w:val="none" w:sz="0" w:space="0" w:color="auto"/>
        <w:left w:val="none" w:sz="0" w:space="0" w:color="auto"/>
        <w:bottom w:val="none" w:sz="0" w:space="0" w:color="auto"/>
        <w:right w:val="none" w:sz="0" w:space="0" w:color="auto"/>
      </w:divBdr>
    </w:div>
    <w:div w:id="20148685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https://www.nerc.com/pa/Stand/Glossary%20of%20Terms/Glossary_of_Terms.pdf" TargetMode="External"/><Relationship Id="rId14" Type="http://schemas.openxmlformats.org/officeDocument/2006/relationships/glossaryDocument" Target="glossary/document.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C89F300641C4A5996DC2494C2F86625"/>
        <w:category>
          <w:name w:val="General"/>
          <w:gallery w:val="placeholder"/>
        </w:category>
        <w:types>
          <w:type w:val="bbPlcHdr"/>
        </w:types>
        <w:behaviors>
          <w:behavior w:val="content"/>
        </w:behaviors>
        <w:guid w:val="{61F384A0-A295-4B2D-A387-2AA247AA31E4}"/>
      </w:docPartPr>
      <w:docPartBody>
        <w:p w:rsidR="00297DC2" w:rsidRDefault="00297DC2" w:rsidP="00297DC2">
          <w:pPr>
            <w:pStyle w:val="1C89F300641C4A5996DC2494C2F86625"/>
          </w:pPr>
          <w:r w:rsidRPr="00924B8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B4F"/>
    <w:rsid w:val="00012B83"/>
    <w:rsid w:val="000F3A8A"/>
    <w:rsid w:val="00113D37"/>
    <w:rsid w:val="00297DC2"/>
    <w:rsid w:val="007E4B4F"/>
    <w:rsid w:val="007E6D96"/>
    <w:rsid w:val="007F5E77"/>
    <w:rsid w:val="00C13917"/>
    <w:rsid w:val="00D833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B4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97DC2"/>
    <w:rPr>
      <w:color w:val="666666"/>
    </w:rPr>
  </w:style>
  <w:style w:type="paragraph" w:customStyle="1" w:styleId="1C89F300641C4A5996DC2494C2F86625">
    <w:name w:val="1C89F300641C4A5996DC2494C2F86625"/>
    <w:rsid w:val="00297D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8B69-7801-407A-946A-67BCBB8D6897}">
  <we:reference id="wa104382081" version="1.55.1.0" store="en-US" storeType="OMEX"/>
  <we:alternateReferences>
    <we:reference id="wa104382081" version="1.55.1.0" store="" storeType="OMEX"/>
  </we:alternateReferences>
  <we:properties>
    <we:property name="MENDELEY_CITATIONS" value="[{&quot;citationID&quot;:&quot;MENDELEY_CITATION_55b44e44-65e6-4d62-8b09-3208cc49b594&quot;,&quot;properties&quot;:{&quot;noteIndex&quot;:0},&quot;isEdited&quot;:false,&quot;manualOverride&quot;:{&quot;isManuallyOverridden&quot;:false,&quot;citeprocText&quot;:&quot;[1]&quot;,&quot;manualOverrideText&quot;:&quot;&quot;},&quot;citationTag&quot;:&quot;MENDELEY_CITATION_v3_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&quot;,&quot;citationItems&quot;:[{&quot;id&quot;:&quot;e9055982-bc99-3749-9bb3-50f9349428c2&quot;,&quot;itemData&quot;:{&quot;type&quot;:&quot;article-journal&quot;,&quot;id&quot;:&quot;e9055982-bc99-3749-9bb3-50f9349428c2&quot;,&quot;title&quot;:&quot;The Measurement of Species Diversity Robert K. Peet Annual Review of Ecology and Systematics , Vol. 5. (1974), pp. 285-307.&quot;,&quot;author&quot;:[{&quot;family&quot;:&quot;Peet, Robert&quot;,&quot;given&quot;:&quot;K.&quot;,&quot;parse-names&quot;:false,&quot;dropping-particle&quot;:&quot;&quot;,&quot;non-dropping-particle&quot;:&quot;&quot;}],&quot;container-title&quot;:&quot;Annual Review of Ecology and Systematics&quot;,&quot;container-title-short&quot;:&quot;Annu Rev Ecol Syst&quot;,&quot;issued&quot;:{&quot;date-parts&quot;:[[1974]]},&quot;abstract&quot;:&quot;Inspired significantly by the provocative papers of MacArthur (34, 35, 38) and Hutchinson (22), ecologists over the past twenty years have devoted considerable energy to the explanation of patterns of diversity in ecologic systems. Despite considerable interest, however, no generally accepted definition of diversity has emerged. \&quot;Diversity per se does not exist,\&quot; was the contention of Hurlbert (20), who suggested abandoning the term because of the multiplicity of meanings and interpre- tations attached to it. MacArthur (37) also considered the term had outlived its usefulness, and Eberhardt (10), Austin (2), and McIntosh (40) all complained of the lack of a definition. Eberhardt considered that diversity \&quot;mostly suggests a consider- able confusion of concepts, definitions, models, and measures (or indices).\&quot; If diver- sity is to continue toplay a productive role in ecological investigations, agreement is needed on the definitions of the many constituent concepts included in its current application. At the community level of synthesis many phenomena are complex and open to multiple interpretation. Consequently, many authors have suggested diversity in- dices appropriate for their own studies, no one of which can be considered a priori correct for general application (12, 19, 20, 32, 40). Diversity, in essence, has always been defined by the indices used to measure it, and this has not fostered the sort of uniformity which allows the clear statement of ideas and hypotheses. Progress in ecology, as in all science, depends upon precise and unambiguous definition of terms and concepts (2, 40, 44). The present contribution attempts to define in a precise, but still generalized manner, what is or should be meant by the many terms sur- rounding the concept-cluster diversity. Guidelines are also suggested for the applica- tion of the many available diversity indice&quot;,&quot;volume&quot;:&quot;5&quot;},&quot;isTemporary&quot;:false}]}]"/>
    <we:property name="MENDELEY_CITATIONS_LOCALE_CODE" value="&quot;en-US&quot;"/>
    <we:property name="MENDELEY_CITATIONS_STYLE" value="{&quot;id&quot;:&quot;https://www.zotero.org/styles/applied-energy&quot;,&quot;title&quot;:&quot;Applied Energy&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rhDruxJsXGVkKJL8Dq1P4ggrhw==">CgMxLjAyCGguZ2pkZ3hzOAByITFNWUZVT25PVE9iMzE5VTZGN3N4bVo5a1JIQ0xOUnVuWg==</go:docsCustomData>
</go:gDocsCustomXmlDataStorage>
</file>

<file path=customXml/itemProps1.xml><?xml version="1.0" encoding="utf-8"?>
<ds:datastoreItem xmlns:ds="http://schemas.openxmlformats.org/officeDocument/2006/customXml" ds:itemID="{4A4D33B7-20AD-4F9B-AEBE-EB4F6ACA2BD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2636</TotalTime>
  <Pages>17</Pages>
  <Words>15548</Words>
  <Characters>88625</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Dahlke, Steven</dc:creator>
  <cp:lastModifiedBy>Dahlke, Steven</cp:lastModifiedBy>
  <cp:revision>156</cp:revision>
  <dcterms:created xsi:type="dcterms:W3CDTF">2024-04-17T11:41:00Z</dcterms:created>
  <dcterms:modified xsi:type="dcterms:W3CDTF">2024-08-30T03:46:00Z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id="ToPFT2tN"/&gt;&lt;style id="http://www.zotero.org/styles/applied-energy" hasBibliography="1" bibliographyStyleHasBeenSet="1"/&gt;&lt;prefs&gt;&lt;pref name="fieldType" value="Field"/&gt;&lt;/prefs&gt;&lt;/data&gt;</vt:lpwstr>
  </property>
</Properties>
</file>