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AA597" w14:textId="79C8046F" w:rsidR="00FD50A4" w:rsidRPr="00FD50A4" w:rsidRDefault="00FD50A4" w:rsidP="003B483A">
      <w:pPr>
        <w:pStyle w:val="Title"/>
      </w:pPr>
      <w:r w:rsidRPr="00FD50A4">
        <w:t>Balancing the Grid:</w:t>
      </w:r>
      <w:r w:rsidR="008A72F2">
        <w:t xml:space="preserve"> </w:t>
      </w:r>
      <w:r w:rsidR="008A72F2" w:rsidRPr="008A72F2">
        <w:t xml:space="preserve">Metrics for Import Reliance and Diversity in </w:t>
      </w:r>
      <w:r w:rsidR="008A72F2">
        <w:t>Electricity Systems</w:t>
      </w:r>
    </w:p>
    <w:p w14:paraId="0F41AE4C" w14:textId="61173575" w:rsidR="00611F5E" w:rsidRDefault="00164B3C">
      <w:pPr>
        <w:pStyle w:val="Heading1"/>
      </w:pPr>
      <w:r>
        <w:t>Next Steps</w:t>
      </w:r>
    </w:p>
    <w:p w14:paraId="53A076D3" w14:textId="7362599F" w:rsidR="00611F5E" w:rsidRDefault="00B544CF">
      <w:r>
        <w:t>Review draft body of paper</w:t>
      </w:r>
      <w:r w:rsidR="00D93E2B">
        <w:t>, then decide next step(s)</w:t>
      </w:r>
    </w:p>
    <w:p w14:paraId="4DFB549E" w14:textId="77777777" w:rsidR="00611F5E" w:rsidRDefault="00164B3C">
      <w:pPr>
        <w:spacing w:after="0"/>
      </w:pPr>
      <w:r>
        <w:t xml:space="preserve">Do a case-study approach that looks at import performance </w:t>
      </w:r>
      <w:proofErr w:type="spellStart"/>
      <w:r>
        <w:t>etc</w:t>
      </w:r>
      <w:proofErr w:type="spellEnd"/>
      <w:r>
        <w:t xml:space="preserve"> during selected extreme events in certain BAs </w:t>
      </w:r>
    </w:p>
    <w:p w14:paraId="3DEA14AE" w14:textId="77777777" w:rsidR="00611F5E" w:rsidRDefault="00164B3C">
      <w:pPr>
        <w:numPr>
          <w:ilvl w:val="0"/>
          <w:numId w:val="3"/>
        </w:numPr>
        <w:pBdr>
          <w:top w:val="nil"/>
          <w:left w:val="nil"/>
          <w:bottom w:val="nil"/>
          <w:right w:val="nil"/>
          <w:between w:val="nil"/>
        </w:pBdr>
        <w:spacing w:after="0"/>
      </w:pPr>
      <w:r>
        <w:rPr>
          <w:color w:val="000000"/>
        </w:rPr>
        <w:t>Winter Storm Uri in Texas</w:t>
      </w:r>
    </w:p>
    <w:p w14:paraId="58282489" w14:textId="77777777" w:rsidR="00611F5E" w:rsidRPr="00E100CA" w:rsidRDefault="00164B3C">
      <w:pPr>
        <w:numPr>
          <w:ilvl w:val="0"/>
          <w:numId w:val="3"/>
        </w:numPr>
        <w:pBdr>
          <w:top w:val="nil"/>
          <w:left w:val="nil"/>
          <w:bottom w:val="nil"/>
          <w:right w:val="nil"/>
          <w:between w:val="nil"/>
        </w:pBdr>
        <w:spacing w:after="0"/>
      </w:pPr>
      <w:r>
        <w:rPr>
          <w:color w:val="000000"/>
        </w:rPr>
        <w:t>As the events of August 2020 in California and February 2021 in Texas demonstrate, supply shortfalls can have large economic and public health consequences</w:t>
      </w:r>
    </w:p>
    <w:p w14:paraId="010AF25E" w14:textId="77777777" w:rsidR="00E100CA" w:rsidRDefault="00E100CA" w:rsidP="00E100CA">
      <w:pPr>
        <w:pBdr>
          <w:top w:val="nil"/>
          <w:left w:val="nil"/>
          <w:bottom w:val="nil"/>
          <w:right w:val="nil"/>
          <w:between w:val="nil"/>
        </w:pBdr>
        <w:spacing w:after="0"/>
        <w:rPr>
          <w:color w:val="000000"/>
        </w:rPr>
      </w:pPr>
    </w:p>
    <w:p w14:paraId="519B570E" w14:textId="77777777" w:rsidR="00E100CA" w:rsidRDefault="00E100CA" w:rsidP="00E100CA">
      <w:r>
        <w:t>Consider counting # of HV connections (and incorporate voltage ratings of each connection) to neighbors by BA (from HILFD network data overlain with BA shapefile?)</w:t>
      </w:r>
    </w:p>
    <w:p w14:paraId="646D5679" w14:textId="3EDAF5EA" w:rsidR="00E100CA" w:rsidRDefault="00014F09" w:rsidP="00014F09">
      <w:pPr>
        <w:pStyle w:val="Heading1"/>
      </w:pPr>
      <w:r>
        <w:t>Abstract</w:t>
      </w:r>
    </w:p>
    <w:p w14:paraId="6364BDC7" w14:textId="6B29693A" w:rsidR="00014F09" w:rsidRPr="00014F09" w:rsidRDefault="004E5689" w:rsidP="00D677B0">
      <w:r w:rsidRPr="004E5689">
        <w:t xml:space="preserve">This study evaluates electricity import reliance and diversity across U.S. balancing authorities, providing novel insights into grid reliability and risk management. Using formal metrics, including a diversity index and </w:t>
      </w:r>
      <w:r w:rsidR="00D82F84">
        <w:t xml:space="preserve">import </w:t>
      </w:r>
      <w:r w:rsidRPr="004E5689">
        <w:t xml:space="preserve">reliance calculations, the analysis quantifies the extent and variability of electricity imports across regions. Key findings reveal that larger </w:t>
      </w:r>
      <w:r w:rsidR="00D82F84">
        <w:t xml:space="preserve">balancing authorities </w:t>
      </w:r>
      <w:r w:rsidRPr="004E5689">
        <w:t xml:space="preserve">with broader trading relationships tend to exhibit higher diversity and lower reliance on imports, suggesting robust local supply. Conversely, for highly import-reliant </w:t>
      </w:r>
      <w:r w:rsidR="00766BAF">
        <w:t>balancing authorities</w:t>
      </w:r>
      <w:r w:rsidRPr="004E5689">
        <w:t>, maintaining a diverse portfolio of suppliers is critical for ensuring reliability. Importantly, this research highlights that while diversity and reliance metrics are valuable comparative tools, t</w:t>
      </w:r>
      <w:r>
        <w:t>he national data</w:t>
      </w:r>
      <w:r w:rsidR="0019066D">
        <w:t xml:space="preserve"> applied in this analysis </w:t>
      </w:r>
      <w:r w:rsidRPr="004E5689">
        <w:t>do</w:t>
      </w:r>
      <w:r w:rsidR="0019066D">
        <w:t>es</w:t>
      </w:r>
      <w:r w:rsidRPr="004E5689">
        <w:t xml:space="preserve"> not account for </w:t>
      </w:r>
      <w:r w:rsidR="0019066D">
        <w:t>local complexities that are important for reliability</w:t>
      </w:r>
      <w:r w:rsidR="006C6EAC">
        <w:t xml:space="preserve">, and additional engineering and socio-economic analysis is required to assess </w:t>
      </w:r>
      <w:r w:rsidR="004B2D7E">
        <w:t>individual systems</w:t>
      </w:r>
      <w:r w:rsidR="006C6EAC">
        <w:t xml:space="preserve"> in more detail</w:t>
      </w:r>
      <w:r w:rsidR="0019066D">
        <w:t xml:space="preserve">. This </w:t>
      </w:r>
      <w:r w:rsidRPr="004E5689">
        <w:t xml:space="preserve">study is the first </w:t>
      </w:r>
      <w:r w:rsidR="0019066D">
        <w:t xml:space="preserve">in the literature </w:t>
      </w:r>
      <w:r w:rsidRPr="004E5689">
        <w:t xml:space="preserve">to apply a formal diversity index to assess electricity import patterns among U.S. </w:t>
      </w:r>
      <w:r w:rsidR="0019066D">
        <w:t>balancing authorities</w:t>
      </w:r>
      <w:r w:rsidRPr="004E5689">
        <w:t>, offering a unique framework for understanding interconnections and informing future reliability planning.</w:t>
      </w:r>
    </w:p>
    <w:p w14:paraId="170E86FF" w14:textId="77777777" w:rsidR="00611F5E" w:rsidRDefault="00164B3C">
      <w:pPr>
        <w:pStyle w:val="Heading1"/>
      </w:pPr>
      <w:r>
        <w:t>Introduction</w:t>
      </w:r>
    </w:p>
    <w:p w14:paraId="0BEF9A92" w14:textId="77777777" w:rsidR="00A147B5" w:rsidRPr="00A147B5" w:rsidRDefault="00A147B5" w:rsidP="00A147B5">
      <w:r w:rsidRPr="00A147B5">
        <w:t xml:space="preserve">In recent years, the electricity sector has faced unprecedented challenges, making reliability a more critical and complex concern than ever before. Traditional planning and operational paradigms, which were largely sufficient for decades, are increasingly strained by transformative changes in supply, demand, and external risks. Key drivers include the rapid integration of variable renewable energy sources such as wind and solar, the retirement of conventional generation </w:t>
      </w:r>
      <w:r w:rsidRPr="00A147B5">
        <w:lastRenderedPageBreak/>
        <w:t>resources, accelerating electrification across various sectors, and the growing prevalence of extreme weather events. Together, these trends demand innovative approaches to ensure that electricity systems can reliably serve demand across all conditions, especially during periods of stress.</w:t>
      </w:r>
    </w:p>
    <w:p w14:paraId="020990B6" w14:textId="77777777" w:rsidR="00A147B5" w:rsidRPr="00A147B5" w:rsidRDefault="00A147B5" w:rsidP="00A147B5">
      <w:r w:rsidRPr="00A147B5">
        <w:t>A central focus of contemporary research is developing planning strategies that ensure adequate resources are available year-round and under extreme conditions. However, one area that remains understudied is the role of electricity imports in maintaining reliability. Imports, defined as electricity supplied from outside a system's immediate jurisdiction, can play a vital role during periods of high demand or low supply. Yet, they also present significant uncertainties compared to local resources. Import availability depends on excess capacity in neighboring systems, and these resources are generally outside the direct control of the importing entity, introducing complexities into reliability assessments and planning efforts.</w:t>
      </w:r>
    </w:p>
    <w:p w14:paraId="44013609" w14:textId="77777777" w:rsidR="00A147B5" w:rsidRPr="00A147B5" w:rsidRDefault="00A147B5" w:rsidP="00A147B5">
      <w:r w:rsidRPr="00A147B5">
        <w:t>This study explores the dual dimensions of electricity imports: reliance and diversity. Import reliance, or the proportion of a system’s electricity consumption sourced externally, is a straightforward measure that highlights dependency levels across balancing authorities. In contrast, import diversity, measured using the Shannon Diversity Index, provides insight into the range and balance of import sources. Together, these metrics offer complementary perspectives on the opportunities and risks associated with electricity imports.</w:t>
      </w:r>
    </w:p>
    <w:p w14:paraId="7D82DFA5" w14:textId="77777777" w:rsidR="00A147B5" w:rsidRPr="00A147B5" w:rsidRDefault="00A147B5" w:rsidP="00A147B5">
      <w:r w:rsidRPr="00A147B5">
        <w:t>While high import reliance may not inherently signify reliability concerns, its implications vary based on the diversity of supply sources and contractual arrangements. For instance, reliance on a single exporter could introduce risks during periods of simultaneous system stress, whereas a diversified portfolio of imports may enhance resilience. Additionally, economic and political factors, such as market rules, transmission infrastructure, and interregional cooperation, influence the feasibility and reliability of electricity trade.</w:t>
      </w:r>
    </w:p>
    <w:p w14:paraId="20CAAEC2" w14:textId="77777777" w:rsidR="00A147B5" w:rsidRPr="00A147B5" w:rsidRDefault="00A147B5" w:rsidP="00A147B5">
      <w:r w:rsidRPr="00A147B5">
        <w:t>This paper addresses a critical gap by examining import reliance and diversity across U.S. balancing authorities, highlighting patterns that illuminate both economic and reliability considerations. It further investigates how these metrics shift during periods of high net demand, a critical time for assessing system stress. By integrating quantitative and contextual analysis, the study aims to provide actionable insights for planners, policymakers, and researchers navigating the evolving landscape of grid reliability.</w:t>
      </w:r>
    </w:p>
    <w:p w14:paraId="272A24A5" w14:textId="77777777" w:rsidR="00A147B5" w:rsidRPr="00A147B5" w:rsidRDefault="00A147B5" w:rsidP="00A147B5"/>
    <w:p w14:paraId="235D9558" w14:textId="77777777" w:rsidR="00611F5E" w:rsidRDefault="00164B3C">
      <w:pPr>
        <w:numPr>
          <w:ilvl w:val="0"/>
          <w:numId w:val="3"/>
        </w:numPr>
        <w:pBdr>
          <w:top w:val="nil"/>
          <w:left w:val="nil"/>
          <w:bottom w:val="nil"/>
          <w:right w:val="nil"/>
          <w:between w:val="nil"/>
        </w:pBdr>
        <w:spacing w:after="0"/>
      </w:pPr>
      <w:r>
        <w:rPr>
          <w:color w:val="000000"/>
        </w:rPr>
        <w:t>Explain how reliability has become more of a concern today than it historically has been.</w:t>
      </w:r>
    </w:p>
    <w:p w14:paraId="583706FE" w14:textId="39CA3C06" w:rsidR="00611F5E" w:rsidRDefault="00164B3C">
      <w:pPr>
        <w:numPr>
          <w:ilvl w:val="1"/>
          <w:numId w:val="3"/>
        </w:numPr>
        <w:pBdr>
          <w:top w:val="nil"/>
          <w:left w:val="nil"/>
          <w:bottom w:val="nil"/>
          <w:right w:val="nil"/>
          <w:between w:val="nil"/>
        </w:pBdr>
        <w:spacing w:after="0"/>
      </w:pPr>
      <w:r>
        <w:rPr>
          <w:color w:val="000000"/>
        </w:rPr>
        <w:t xml:space="preserve">Today’s system: increasing variable supply like wind and solar and </w:t>
      </w:r>
      <w:proofErr w:type="gramStart"/>
      <w:r>
        <w:rPr>
          <w:color w:val="000000"/>
        </w:rPr>
        <w:t>Retiring</w:t>
      </w:r>
      <w:proofErr w:type="gramEnd"/>
      <w:r>
        <w:rPr>
          <w:color w:val="000000"/>
        </w:rPr>
        <w:t xml:space="preserve"> </w:t>
      </w:r>
      <w:r w:rsidR="00E4785A">
        <w:rPr>
          <w:color w:val="000000"/>
        </w:rPr>
        <w:t>conventional</w:t>
      </w:r>
      <w:r>
        <w:rPr>
          <w:color w:val="000000"/>
        </w:rPr>
        <w:t xml:space="preserve"> generation.</w:t>
      </w:r>
    </w:p>
    <w:p w14:paraId="521416B0" w14:textId="77777777" w:rsidR="00611F5E" w:rsidRDefault="00164B3C">
      <w:pPr>
        <w:numPr>
          <w:ilvl w:val="1"/>
          <w:numId w:val="3"/>
        </w:numPr>
        <w:pBdr>
          <w:top w:val="nil"/>
          <w:left w:val="nil"/>
          <w:bottom w:val="nil"/>
          <w:right w:val="nil"/>
          <w:between w:val="nil"/>
        </w:pBdr>
        <w:spacing w:after="0"/>
      </w:pPr>
      <w:r>
        <w:rPr>
          <w:color w:val="000000"/>
        </w:rPr>
        <w:t>Electrification and demand growth</w:t>
      </w:r>
    </w:p>
    <w:p w14:paraId="67B744A9" w14:textId="77777777" w:rsidR="00611F5E" w:rsidRDefault="00164B3C">
      <w:pPr>
        <w:numPr>
          <w:ilvl w:val="1"/>
          <w:numId w:val="3"/>
        </w:numPr>
        <w:pBdr>
          <w:top w:val="nil"/>
          <w:left w:val="nil"/>
          <w:bottom w:val="nil"/>
          <w:right w:val="nil"/>
          <w:between w:val="nil"/>
        </w:pBdr>
        <w:spacing w:after="0"/>
      </w:pPr>
      <w:r>
        <w:rPr>
          <w:color w:val="000000"/>
        </w:rPr>
        <w:t>Extreme events (increasing?)</w:t>
      </w:r>
    </w:p>
    <w:p w14:paraId="7CD208B8" w14:textId="2D45D487" w:rsidR="00611F5E" w:rsidRDefault="00164B3C">
      <w:pPr>
        <w:numPr>
          <w:ilvl w:val="0"/>
          <w:numId w:val="3"/>
        </w:numPr>
        <w:pBdr>
          <w:top w:val="nil"/>
          <w:left w:val="nil"/>
          <w:bottom w:val="nil"/>
          <w:right w:val="nil"/>
          <w:between w:val="nil"/>
        </w:pBdr>
        <w:spacing w:after="0"/>
      </w:pPr>
      <w:r>
        <w:rPr>
          <w:color w:val="000000"/>
        </w:rPr>
        <w:t>Understandably, planning approaches to ensure sufficient resources</w:t>
      </w:r>
      <w:r w:rsidR="00D630F4">
        <w:rPr>
          <w:color w:val="000000"/>
        </w:rPr>
        <w:t xml:space="preserve"> are</w:t>
      </w:r>
      <w:r>
        <w:rPr>
          <w:color w:val="000000"/>
        </w:rPr>
        <w:t xml:space="preserve"> available to serve demand across the full year and under stressful grid conditions is an active area of research. </w:t>
      </w:r>
      <w:r>
        <w:rPr>
          <w:i/>
          <w:color w:val="000000"/>
        </w:rPr>
        <w:t>(opportunities for unused citation dump)</w:t>
      </w:r>
      <w:r>
        <w:rPr>
          <w:color w:val="000000"/>
        </w:rPr>
        <w:t xml:space="preserve">. </w:t>
      </w:r>
    </w:p>
    <w:p w14:paraId="20A56851" w14:textId="77777777" w:rsidR="00611F5E" w:rsidRDefault="00164B3C">
      <w:pPr>
        <w:numPr>
          <w:ilvl w:val="0"/>
          <w:numId w:val="3"/>
        </w:numPr>
        <w:pBdr>
          <w:top w:val="nil"/>
          <w:left w:val="nil"/>
          <w:bottom w:val="nil"/>
          <w:right w:val="nil"/>
          <w:between w:val="nil"/>
        </w:pBdr>
        <w:spacing w:after="0"/>
      </w:pPr>
      <w:r>
        <w:rPr>
          <w:color w:val="000000"/>
        </w:rPr>
        <w:t>One important component of this that is understudied is the role of imports in supporting future reliability for individual systems.</w:t>
      </w:r>
    </w:p>
    <w:p w14:paraId="049FAD71" w14:textId="4BD3C171" w:rsidR="00611F5E" w:rsidRDefault="000F45AD">
      <w:pPr>
        <w:numPr>
          <w:ilvl w:val="1"/>
          <w:numId w:val="3"/>
        </w:numPr>
        <w:pBdr>
          <w:top w:val="nil"/>
          <w:left w:val="nil"/>
          <w:bottom w:val="nil"/>
          <w:right w:val="nil"/>
          <w:between w:val="nil"/>
        </w:pBdr>
        <w:spacing w:after="0"/>
      </w:pPr>
      <w:r>
        <w:rPr>
          <w:color w:val="000000"/>
        </w:rPr>
        <w:lastRenderedPageBreak/>
        <w:t>This is a d</w:t>
      </w:r>
      <w:r w:rsidR="00164B3C">
        <w:rPr>
          <w:color w:val="000000"/>
        </w:rPr>
        <w:t xml:space="preserve">ifficult question: depending on the system, imports may play a </w:t>
      </w:r>
      <w:proofErr w:type="spellStart"/>
      <w:r w:rsidR="00164B3C">
        <w:rPr>
          <w:color w:val="000000"/>
        </w:rPr>
        <w:t>significnat</w:t>
      </w:r>
      <w:proofErr w:type="spellEnd"/>
      <w:r w:rsidR="00164B3C">
        <w:rPr>
          <w:color w:val="000000"/>
        </w:rPr>
        <w:t xml:space="preserve"> role in supporting reliability during stressful </w:t>
      </w:r>
      <w:proofErr w:type="gramStart"/>
      <w:r w:rsidR="00164B3C">
        <w:rPr>
          <w:color w:val="000000"/>
        </w:rPr>
        <w:t>conditions, but</w:t>
      </w:r>
      <w:proofErr w:type="gramEnd"/>
      <w:r w:rsidR="00164B3C">
        <w:rPr>
          <w:color w:val="000000"/>
        </w:rPr>
        <w:t xml:space="preserve"> </w:t>
      </w:r>
      <w:proofErr w:type="gramStart"/>
      <w:r w:rsidR="00164B3C">
        <w:rPr>
          <w:color w:val="000000"/>
        </w:rPr>
        <w:t>is</w:t>
      </w:r>
      <w:proofErr w:type="gramEnd"/>
      <w:r w:rsidR="00164B3C">
        <w:rPr>
          <w:color w:val="000000"/>
        </w:rPr>
        <w:t xml:space="preserve"> more uncertain than reliance on local resources. Imported resources are generally outside the direct of the local planning entity and depend on </w:t>
      </w:r>
      <w:proofErr w:type="gramStart"/>
      <w:r w:rsidR="00164B3C">
        <w:rPr>
          <w:color w:val="000000"/>
        </w:rPr>
        <w:t>excess  capacity</w:t>
      </w:r>
      <w:proofErr w:type="gramEnd"/>
      <w:r w:rsidR="00164B3C">
        <w:rPr>
          <w:color w:val="000000"/>
        </w:rPr>
        <w:t xml:space="preserve"> in neighboring systems. </w:t>
      </w:r>
    </w:p>
    <w:p w14:paraId="2F98788C" w14:textId="77777777" w:rsidR="004E75EE" w:rsidRDefault="004E75EE">
      <w:pPr>
        <w:rPr>
          <w:rFonts w:ascii="Arial" w:eastAsia="Arial" w:hAnsi="Arial" w:cs="Arial"/>
          <w:i/>
          <w:color w:val="2E2E2E"/>
          <w:sz w:val="21"/>
          <w:szCs w:val="21"/>
        </w:rPr>
      </w:pPr>
    </w:p>
    <w:p w14:paraId="140FD5BB" w14:textId="77777777" w:rsidR="00C4042C" w:rsidRPr="006B6426" w:rsidRDefault="00C4042C" w:rsidP="00C4042C">
      <w:pPr>
        <w:rPr>
          <w:rFonts w:ascii="Arial" w:eastAsia="Arial" w:hAnsi="Arial" w:cs="Arial"/>
          <w:i/>
          <w:color w:val="2E2E2E"/>
          <w:sz w:val="21"/>
          <w:szCs w:val="21"/>
          <w:highlight w:val="white"/>
        </w:rPr>
      </w:pPr>
      <w:r w:rsidRPr="006B6426">
        <w:rPr>
          <w:rFonts w:ascii="Arial" w:eastAsia="Arial" w:hAnsi="Arial" w:cs="Arial"/>
          <w:i/>
          <w:color w:val="2E2E2E"/>
          <w:sz w:val="21"/>
          <w:szCs w:val="21"/>
          <w:highlight w:val="white"/>
        </w:rPr>
        <w:t xml:space="preserve">Some [Newberry (2016)] make the case that capacity of interconnections with neighboring systems and the reliance on imports for reliability should be recognized in planning. </w:t>
      </w:r>
    </w:p>
    <w:p w14:paraId="3E8730E3" w14:textId="77777777" w:rsidR="00C4042C" w:rsidRDefault="00C4042C" w:rsidP="00C4042C">
      <w:pPr>
        <w:pBdr>
          <w:top w:val="nil"/>
          <w:left w:val="nil"/>
          <w:bottom w:val="nil"/>
          <w:right w:val="nil"/>
          <w:between w:val="nil"/>
        </w:pBdr>
        <w:spacing w:after="0"/>
      </w:pPr>
    </w:p>
    <w:p w14:paraId="636B5904" w14:textId="77777777" w:rsidR="00C4042C" w:rsidRPr="00C80DA4" w:rsidRDefault="00C4042C" w:rsidP="00C4042C">
      <w:pPr>
        <w:pBdr>
          <w:top w:val="nil"/>
          <w:left w:val="nil"/>
          <w:bottom w:val="nil"/>
          <w:right w:val="nil"/>
          <w:between w:val="nil"/>
        </w:pBdr>
        <w:spacing w:after="0"/>
      </w:pPr>
      <w:r w:rsidRPr="00C80DA4">
        <w:t xml:space="preserve">The GB transmission system operator, National Grid, currently uses a variety of economic approaches (historical extrapolation and modelling) to determine the capacity value [8] of </w:t>
      </w:r>
      <w:proofErr w:type="gramStart"/>
      <w:r w:rsidRPr="00C80DA4">
        <w:t>interconnection.”</w:t>
      </w:r>
      <w:proofErr w:type="gramEnd"/>
      <w:r>
        <w:t xml:space="preserve"> - </w:t>
      </w:r>
      <w:r w:rsidRPr="008803D5">
        <w:t>“National Grid EMR Electricity Capacity Report,” National Grid, Tech. Rep., 2018.</w:t>
      </w:r>
    </w:p>
    <w:p w14:paraId="2842E584" w14:textId="77777777" w:rsidR="00C4042C" w:rsidRPr="00E100CA" w:rsidRDefault="00C4042C" w:rsidP="00C4042C">
      <w:pPr>
        <w:pBdr>
          <w:top w:val="nil"/>
          <w:left w:val="nil"/>
          <w:bottom w:val="nil"/>
          <w:right w:val="nil"/>
          <w:between w:val="nil"/>
        </w:pBdr>
        <w:spacing w:after="0"/>
      </w:pPr>
    </w:p>
    <w:p w14:paraId="296BC47C" w14:textId="77777777" w:rsidR="00C4042C" w:rsidRPr="00A85888" w:rsidRDefault="00C4042C" w:rsidP="00C4042C">
      <w:r>
        <w:t xml:space="preserve">Two papers that model the adequacy contribution of interconnections and conclude that national coordination is needed, and sub-national adequacy metrics are sub-optimal (Cepeda 2009, Astier 2022, </w:t>
      </w:r>
      <w:proofErr w:type="spellStart"/>
      <w:r>
        <w:t>Hagspiel</w:t>
      </w:r>
      <w:proofErr w:type="spellEnd"/>
      <w:r>
        <w:t xml:space="preserve"> 2018)</w:t>
      </w:r>
    </w:p>
    <w:p w14:paraId="265D801F" w14:textId="77777777" w:rsidR="00C4042C" w:rsidRDefault="00C4042C" w:rsidP="00C4042C">
      <w:pPr>
        <w:pStyle w:val="Heading1"/>
      </w:pPr>
      <w:r>
        <w:t>Other Data characteristics</w:t>
      </w:r>
    </w:p>
    <w:p w14:paraId="6C08EC24" w14:textId="77777777" w:rsidR="00C4042C" w:rsidRDefault="00C4042C" w:rsidP="00C4042C">
      <w:r>
        <w:t>Hourly Demand and interchange variables can cover 2016-2023</w:t>
      </w:r>
    </w:p>
    <w:p w14:paraId="2D581AD7" w14:textId="77777777" w:rsidR="00C4042C" w:rsidRDefault="00C4042C" w:rsidP="00C4042C">
      <w:r>
        <w:t>Generation by fuel type covers 2018-2023</w:t>
      </w:r>
    </w:p>
    <w:p w14:paraId="280A6407" w14:textId="77777777" w:rsidR="00C4042C" w:rsidRDefault="00C4042C" w:rsidP="00C4042C">
      <w:pPr>
        <w:pStyle w:val="Heading1"/>
      </w:pPr>
      <w:r>
        <w:t>Balancing Authority Shapefile</w:t>
      </w:r>
    </w:p>
    <w:p w14:paraId="31AC23AE" w14:textId="77777777" w:rsidR="00C4042C" w:rsidRDefault="00C4042C" w:rsidP="00C4042C">
      <w:r>
        <w:t xml:space="preserve">Balancing area shapefiles were used from Homeland Infrastructure Foundation-Level Data (HIFLD)’s “Control Areas” dataset </w:t>
      </w:r>
      <w:r>
        <w:rPr>
          <w:color w:val="000000"/>
        </w:rPr>
        <w:t>CITE</w:t>
      </w:r>
    </w:p>
    <w:p w14:paraId="33E19A76" w14:textId="77777777" w:rsidR="00C4042C" w:rsidRDefault="00C4042C" w:rsidP="00C4042C">
      <w:pPr>
        <w:pStyle w:val="Heading1"/>
      </w:pPr>
      <w:r>
        <w:t>Literature review and discussion</w:t>
      </w:r>
    </w:p>
    <w:p w14:paraId="70EF68F2" w14:textId="77777777" w:rsidR="00C4042C" w:rsidRDefault="00C4042C" w:rsidP="00C4042C">
      <w:pPr>
        <w:pBdr>
          <w:top w:val="nil"/>
          <w:left w:val="nil"/>
          <w:bottom w:val="nil"/>
          <w:right w:val="nil"/>
          <w:between w:val="nil"/>
        </w:pBdr>
        <w:spacing w:after="0"/>
        <w:ind w:left="1440"/>
        <w:rPr>
          <w:color w:val="000000"/>
        </w:rPr>
      </w:pPr>
    </w:p>
    <w:p w14:paraId="2B9A0214" w14:textId="77777777" w:rsidR="00C4042C" w:rsidRDefault="00C4042C" w:rsidP="00C4042C">
      <w:pPr>
        <w:numPr>
          <w:ilvl w:val="0"/>
          <w:numId w:val="2"/>
        </w:numPr>
        <w:pBdr>
          <w:top w:val="nil"/>
          <w:left w:val="nil"/>
          <w:bottom w:val="nil"/>
          <w:right w:val="nil"/>
          <w:between w:val="nil"/>
        </w:pBdr>
        <w:spacing w:after="0"/>
        <w:rPr>
          <w:color w:val="000000"/>
        </w:rPr>
      </w:pPr>
      <w:r>
        <w:rPr>
          <w:color w:val="000000"/>
        </w:rPr>
        <w:t xml:space="preserve">From a reliability </w:t>
      </w:r>
      <w:proofErr w:type="spellStart"/>
      <w:r>
        <w:rPr>
          <w:color w:val="000000"/>
        </w:rPr>
        <w:t>perspetive</w:t>
      </w:r>
      <w:proofErr w:type="spellEnd"/>
      <w:r>
        <w:rPr>
          <w:color w:val="000000"/>
        </w:rPr>
        <w:t>, it is important to evaluate how “import dependent” BAs operate during times when demand is highest and/or the available supply and reliability of the grid is stretched near the limit.</w:t>
      </w:r>
    </w:p>
    <w:p w14:paraId="4E4E7DF9" w14:textId="77777777" w:rsidR="00C4042C" w:rsidRDefault="00C4042C" w:rsidP="00C4042C">
      <w:pPr>
        <w:rPr>
          <w:color w:val="000000"/>
        </w:rPr>
      </w:pPr>
    </w:p>
    <w:p w14:paraId="3C849B33" w14:textId="77777777" w:rsidR="00C4042C" w:rsidRDefault="00C4042C">
      <w:pPr>
        <w:rPr>
          <w:rFonts w:ascii="Arial" w:eastAsia="Arial" w:hAnsi="Arial" w:cs="Arial"/>
          <w:i/>
          <w:color w:val="2E2E2E"/>
          <w:sz w:val="21"/>
          <w:szCs w:val="21"/>
        </w:rPr>
      </w:pPr>
    </w:p>
    <w:p w14:paraId="0CD2F50E" w14:textId="77777777" w:rsidR="00C4042C" w:rsidRDefault="00C4042C">
      <w:pPr>
        <w:rPr>
          <w:rFonts w:ascii="Arial" w:eastAsia="Arial" w:hAnsi="Arial" w:cs="Arial"/>
          <w:i/>
          <w:color w:val="2E2E2E"/>
          <w:sz w:val="21"/>
          <w:szCs w:val="21"/>
        </w:rPr>
      </w:pPr>
    </w:p>
    <w:p w14:paraId="721372B8" w14:textId="461C3C2A" w:rsidR="00F93EE0" w:rsidRDefault="00F93EE0">
      <w:r>
        <w:t>Introduce and motivate the (4?) categories of metrics analyzed and discussed in this paper.</w:t>
      </w:r>
    </w:p>
    <w:p w14:paraId="1DCE866E" w14:textId="77777777" w:rsidR="001C5925" w:rsidRDefault="001C5925" w:rsidP="001C5925">
      <w:r>
        <w:t xml:space="preserve">Analysis at BA level. Not much research </w:t>
      </w:r>
      <w:proofErr w:type="gramStart"/>
      <w:r>
        <w:t>done</w:t>
      </w:r>
      <w:proofErr w:type="gramEnd"/>
      <w:r>
        <w:t xml:space="preserve"> at this scale. Etc.</w:t>
      </w:r>
    </w:p>
    <w:p w14:paraId="1707DCB1" w14:textId="77777777" w:rsidR="001C5925" w:rsidRDefault="001C5925" w:rsidP="001C5925">
      <w:pPr>
        <w:numPr>
          <w:ilvl w:val="0"/>
          <w:numId w:val="2"/>
        </w:numPr>
        <w:pBdr>
          <w:top w:val="nil"/>
          <w:left w:val="nil"/>
          <w:bottom w:val="nil"/>
          <w:right w:val="nil"/>
          <w:between w:val="nil"/>
        </w:pBdr>
        <w:spacing w:after="0"/>
        <w:rPr>
          <w:i/>
          <w:color w:val="000000"/>
        </w:rPr>
      </w:pPr>
      <w:r>
        <w:rPr>
          <w:color w:val="000000"/>
        </w:rPr>
        <w:lastRenderedPageBreak/>
        <w:t xml:space="preserve">Balancing Authority: </w:t>
      </w:r>
      <w:r>
        <w:rPr>
          <w:i/>
          <w:color w:val="000000"/>
        </w:rPr>
        <w:t xml:space="preserve">The responsible entity that integrated resource </w:t>
      </w:r>
      <w:proofErr w:type="gramStart"/>
      <w:r>
        <w:rPr>
          <w:i/>
          <w:color w:val="000000"/>
        </w:rPr>
        <w:t>plans ahead</w:t>
      </w:r>
      <w:proofErr w:type="gramEnd"/>
      <w:r>
        <w:rPr>
          <w:i/>
          <w:color w:val="000000"/>
        </w:rPr>
        <w:t xml:space="preserve"> of time, maintains Demand and resource balancing </w:t>
      </w:r>
      <w:proofErr w:type="spellStart"/>
      <w:r>
        <w:rPr>
          <w:i/>
          <w:color w:val="000000"/>
        </w:rPr>
        <w:t>wihin</w:t>
      </w:r>
      <w:proofErr w:type="spellEnd"/>
      <w:r>
        <w:rPr>
          <w:i/>
          <w:color w:val="000000"/>
        </w:rPr>
        <w:t xml:space="preserve"> a Balancing Authority Area, and supports Interconnection frequency in real time</w:t>
      </w:r>
    </w:p>
    <w:p w14:paraId="23AA24A8" w14:textId="77777777" w:rsidR="001C5925" w:rsidRDefault="001C5925" w:rsidP="001C5925">
      <w:pPr>
        <w:numPr>
          <w:ilvl w:val="0"/>
          <w:numId w:val="2"/>
        </w:numPr>
        <w:pBdr>
          <w:top w:val="nil"/>
          <w:left w:val="nil"/>
          <w:bottom w:val="nil"/>
          <w:right w:val="nil"/>
          <w:between w:val="nil"/>
        </w:pBdr>
        <w:spacing w:after="0"/>
        <w:rPr>
          <w:i/>
          <w:color w:val="000000"/>
        </w:rPr>
      </w:pPr>
      <w:r>
        <w:rPr>
          <w:color w:val="000000"/>
        </w:rPr>
        <w:t xml:space="preserve">Balancing Authority Area: </w:t>
      </w:r>
      <w:r>
        <w:rPr>
          <w:i/>
          <w:color w:val="000000"/>
        </w:rPr>
        <w:t>The collection of generation, transmission, and loads within the metered boundaries of the Balancing Authority. The Balancing Authority maintains load-resource balance within this area.</w:t>
      </w:r>
    </w:p>
    <w:p w14:paraId="514CF6E7" w14:textId="77777777" w:rsidR="001C5925" w:rsidRDefault="001C5925" w:rsidP="001C5925">
      <w:pPr>
        <w:numPr>
          <w:ilvl w:val="1"/>
          <w:numId w:val="2"/>
        </w:numPr>
        <w:pBdr>
          <w:top w:val="nil"/>
          <w:left w:val="nil"/>
          <w:bottom w:val="nil"/>
          <w:right w:val="nil"/>
          <w:between w:val="nil"/>
        </w:pBdr>
        <w:rPr>
          <w:color w:val="0000FF"/>
          <w:u w:val="single"/>
        </w:rPr>
      </w:pPr>
      <w:hyperlink r:id="rId9">
        <w:r>
          <w:rPr>
            <w:color w:val="0000FF"/>
            <w:u w:val="single"/>
          </w:rPr>
          <w:t>Glossary_of_Terms.pdf (nerc.com)</w:t>
        </w:r>
      </w:hyperlink>
    </w:p>
    <w:p w14:paraId="10A8ECC3" w14:textId="3939AD71" w:rsidR="001C5925" w:rsidRDefault="001C5925" w:rsidP="001C5925">
      <w:r>
        <w:t>Mention descriptive data analysis and cite EIA hourly data source</w:t>
      </w:r>
      <w:r w:rsidR="008B1FE1">
        <w:t>, mention data sample period.</w:t>
      </w:r>
    </w:p>
    <w:p w14:paraId="4065D5F9" w14:textId="77777777" w:rsidR="001C5925" w:rsidRDefault="001C5925"/>
    <w:p w14:paraId="4E11F851" w14:textId="77777777" w:rsidR="00611F5E" w:rsidRDefault="00164B3C">
      <w:pPr>
        <w:pStyle w:val="Heading1"/>
      </w:pPr>
      <w:r>
        <w:t>Import Reliance</w:t>
      </w:r>
    </w:p>
    <w:p w14:paraId="227017E4" w14:textId="68301273" w:rsidR="00611F5E" w:rsidRDefault="00164B3C">
      <w:r>
        <w:t>Import reliance is defined as the fraction of domestic consumption covered by net electricity imports over a period</w:t>
      </w:r>
      <w:r w:rsidR="00AE0B6D">
        <w:t xml:space="preserve"> of interest</w:t>
      </w:r>
      <w:r>
        <w:t xml:space="preserve">. This is a simple metric that is easy to interpret and commonly identified in the research literature on electricity supply security </w:t>
      </w:r>
      <w:r w:rsidR="006144D9">
        <w:fldChar w:fldCharType="begin"/>
      </w:r>
      <w:r w:rsidR="00EC4DCC">
        <w:instrText xml:space="preserve"> ADDIN ZOTERO_ITEM CSL_CITATION {"citationID":"vEhQMpVC","properties":{"formattedCitation":"[1\\uc0\\u8211{}4]","plainCitation":"[1–4]","noteIndex":0},"citationItems":[{"id":490,"uris":["http://zotero.org/users/9332412/items/ZNU3RJYM"],"itemData":{"id":490,"type":"article-journal","abstract":"The analysis of security of electricity supply (SoES) is particularly complex due to, among others, the liberalisation process and the increasing penetration of renewable energies. Larsen et al. [1] propose a framework based on twelve dimensions to evaluate SoES for a single jurisdiction. However, actions aimed at improving one dimension might impact others negatively, adversely affecting the overall system. Understanding how these dimensions are interrelated is thus a prerequisite for appropriate planning and resource allocation. We apply a Cross Impact Analysis (CIA) to these dimensions to determine the degree to which the different dimensions depend on each other. From this we derive an influence diagram to visualise the interdependencies and a scatter plot to categorise the dimensions as independent, driver, connector or outcome. Actions targeting the drivers or connectors are potentially the more effective ones a regulator can take, as the consequences will gradually ripple through the system. Having an integral view of the dimensions' interdependencies provides a better understanding of the higher-order changes an intervention may cause. This enables policymakers and regulators to identifying where in the system to intervene to achieve the desired effect with the least amount of resources and with as few undesirable side-effects as possible.","container-title":"Energy","DOI":"10.1016/j.energy.2017.06.095","ISSN":"0360-5442","journalAbbreviation":"Energy","page":"598-609","source":"ScienceDirect","title":"Interdependencies in security of electricity supply","volume":"135","author":[{"family":"Osorio","given":"Sebastian"},{"family":"Ackere","given":"Ann","non-dropping-particle":"van"},{"family":"Larsen","given":"Erik R."}],"issued":{"date-parts":[["2017",9,15]]}}},{"id":489,"uris":["http://zotero.org/users/9332412/items/T7QNQXF9"],"itemData":{"id":489,"type":"article-journal","abstract":"This article provides a synthesized, workable framework for analyzing national energy security policies and performance. Drawn from research interviews, survey results, a focused workshop, and an extensive literature review, this article proposes that energy security ought to be comprised of five dimensions related to availability, affordability, technology development, sustainability, and regulation. We then break these five dimensions down into 20 components related to security of supply and production, dependency, and diversification for availability; price stability, access and equity, decentralization, and low prices for affordability; innovation and research, safety and reliability, resilience, energy efficiency, and investment for technology development; land use, water, climate change, and air pollution for sustainability; and governance, trade, competition, and knowledge for sound regulation. Further still, our synthesis lists 320 simple indicators and 52 complex indicators that policymakers and scholars can use to analyze, measure, track, and compare national performance on energy security. The article concludes by offering implications for energy policy more broadly.","collection-title":"PRES 2010","container-title":"Energy","DOI":"10.1016/j.energy.2011.06.043","ISSN":"0360-5442","issue":"8","journalAbbreviation":"Energy","page":"5343-5355","source":"ScienceDirect","title":"Conceptualizing and measuring energy security: A synthesized approach","title-short":"Conceptualizing and measuring energy security","volume":"36","author":[{"family":"Sovacool","given":"Benjamin K."},{"family":"Mukherjee","given":"Ishani"}],"issued":{"date-parts":[["2011",8,1]]}}},{"id":530,"uris":["http://zotero.org/users/9332412/items/VIGYWWVW"],"itemData":{"id":530,"type":"article-journal","abstract":"Solar power imports to Europe from the deserts of North Africa, as foreseen in the Desertec concept, is one possible way to help decarbonising the European power sector by 2050. However, this approach raises questions of threats to European energy security in such an import scenario, particularly in the light of increasing import dependency and Russia's use of the \"energy weapon\" in recent years. In this paper we investigate the threat of North African countries using the Desertec electricity exports as an \"energy weapon\". We develop and use a new model to assess the interdependence - the bargaining power symmetry, operationalised as costs - of a disruption in a future renewable electricity trade between North Africa and Europe. If Europe maintains current capacity buffers, some demand-response capability and does not import much more than what is described in the Desertec scenario, it is susceptible to extortion and political pressure only if all five exporter countries unite in using the energy weapon. Europe is not vulnerable to extortion by an export cut from only one country, as the European capacity buffers are sufficient to restore the power supply: no single exporter country would have sustained bargaining power over Europe. © 2011 Elsevier Ltd.","container-title":"Energy Policy","DOI":"10.1016/J.ENPOL.2011.03.035","issue":"6","note":"publisher: Elsevier","page":"3380-3391","title":"Energy security and renewable electricity trade—Will Desertec make Europe vulnerable to the “energy weapon”?","volume":"39","author":[{"family":"Lilliestam","given":"Johan"},{"family":"Ellenbeck","given":"Saskia"}],"issued":{"date-parts":[["2011",6]]}}},{"id":524,"uris":["http://zotero.org/users/9332412/items/2U5U7MX3"],"itemData":{"id":524,"type":"article-journal","abstract":"Electricity supply plays a significantly important role in national economy and society development. Accordingly, the evaluation of electricity supply sustainability and security as an early warning method is beneficial for the decision-makers/policy-makers to take various measures to enhance electricity supply sustainability and security. This study aims at developing a multi-criteria decision analysis framework for electricity supply sustainability and security evaluation, and a total of nine metrics (i.e. Shannon-Weiner index, electricity import dependence, supply adequacy, rural electrification rate, electric power losses ratio, residential consumption ratio, electricity per Gross Domestic Product, electric power consumption per capita, and fossil fuel dependence) in four dimensions including availability and security of supply, affordability and reliability, energy and economic efficiency, and environmental stewardship were employed for electricity supply sustainability and security evaluation. Fuzzy Analytic Hierarchy Process which allows the users to use linguistic terms to express their opinions was used to determine the weights of the criteria which represent their relative importance in the evaluation of electricity supply sustainability and security. Grey Rational Analysis was used to prioritize the status of electricity supply sustainability and security of different countries in different years. The electricity supply sustainability and security of the five major emerging national economies (Brazil, Russia, India, China and South Africa) was studied in Chinese perspective by the proposed method.","container-title":"Journal of Cleaner Production","DOI":"10.1016/J.JCLEPRO.2017.10.167","note":"publisher: Elsevier","page":"438-453","title":"Evaluation of electricity supply sustainability and security: Multi-criteria decision analysis approach","volume":"172","author":[{"family":"Ren","given":"Jingzheng"},{"family":"Dong","given":"Liang"}],"issued":{"date-parts":[["2018",1]]}}}],"schema":"https://github.com/citation-style-language/schema/raw/master/csl-citation.json"} </w:instrText>
      </w:r>
      <w:r w:rsidR="006144D9">
        <w:fldChar w:fldCharType="separate"/>
      </w:r>
      <w:r w:rsidR="006144D9" w:rsidRPr="006144D9">
        <w:rPr>
          <w:rFonts w:cs="Times New Roman"/>
        </w:rPr>
        <w:t>[1–4]</w:t>
      </w:r>
      <w:r w:rsidR="006144D9">
        <w:fldChar w:fldCharType="end"/>
      </w:r>
      <w:r>
        <w:rPr>
          <w:color w:val="000000"/>
        </w:rPr>
        <w:t>, sometimes also referred to “import dependence</w:t>
      </w:r>
      <w:r>
        <w:t xml:space="preserve">.”  </w:t>
      </w:r>
    </w:p>
    <w:p w14:paraId="44394779" w14:textId="524B0E5B" w:rsidR="00297A9D" w:rsidRDefault="00DC6488" w:rsidP="00A708A0">
      <w:r>
        <w:fldChar w:fldCharType="begin"/>
      </w:r>
      <w:r>
        <w:instrText xml:space="preserve"> REF _Ref164131523 \h </w:instrText>
      </w:r>
      <w:r>
        <w:fldChar w:fldCharType="separate"/>
      </w:r>
      <w:r>
        <w:t xml:space="preserve">Figure </w:t>
      </w:r>
      <w:r>
        <w:rPr>
          <w:noProof/>
        </w:rPr>
        <w:t>1</w:t>
      </w:r>
      <w:r>
        <w:fldChar w:fldCharType="end"/>
      </w:r>
      <w:r>
        <w:t xml:space="preserve"> displays import reliance by balancing authority. </w:t>
      </w:r>
      <w:r w:rsidR="00BD2E66">
        <w:t xml:space="preserve">In general, it shows the areas in the U.S. with relatively higher levels of imports include the Northwest, Southwest, and Northeast. </w:t>
      </w:r>
      <w:r w:rsidR="00E74F5D">
        <w:t>T</w:t>
      </w:r>
      <w:r w:rsidR="00C0483D">
        <w:t>he highest levels of import reliance</w:t>
      </w:r>
      <w:r w:rsidR="008B1FE1">
        <w:t xml:space="preserve"> in the U.S.</w:t>
      </w:r>
      <w:r w:rsidR="00E74F5D">
        <w:t xml:space="preserve"> from 2016-2023</w:t>
      </w:r>
      <w:r w:rsidR="00C0483D">
        <w:t xml:space="preserve"> were among</w:t>
      </w:r>
      <w:r w:rsidR="00E74F5D">
        <w:t xml:space="preserve"> </w:t>
      </w:r>
      <w:r w:rsidR="008F3B00">
        <w:t>balancing authorities</w:t>
      </w:r>
      <w:r w:rsidR="00E74F5D">
        <w:t xml:space="preserve"> in the Northwest U.S. Specifically, Portland General Electric Company, Puget Sound Energy, and the City of Tacoma Department of Public Utilities had the highest shares of imports at 0.70, 0.57, and 0.48, respectively.</w:t>
      </w:r>
      <w:r w:rsidR="00302E6C">
        <w:t xml:space="preserve"> Nearly all the imports into these</w:t>
      </w:r>
      <w:r w:rsidR="00C829D0">
        <w:t xml:space="preserve"> three</w:t>
      </w:r>
      <w:r w:rsidR="00302E6C">
        <w:t xml:space="preserve"> regions came from the Bonneville Power Administration </w:t>
      </w:r>
      <w:r w:rsidR="00A808A6">
        <w:t>balancing authority</w:t>
      </w:r>
      <w:r w:rsidR="00C15A3C">
        <w:t>.</w:t>
      </w:r>
      <w:r w:rsidR="00791645">
        <w:t xml:space="preserve"> </w:t>
      </w:r>
      <w:r w:rsidR="00791645">
        <w:fldChar w:fldCharType="begin"/>
      </w:r>
      <w:r w:rsidR="00791645">
        <w:instrText xml:space="preserve"> REF _Ref177631068 \h </w:instrText>
      </w:r>
      <w:r w:rsidR="00791645">
        <w:fldChar w:fldCharType="separate"/>
      </w:r>
      <w:r w:rsidR="00791645">
        <w:t xml:space="preserve">Table </w:t>
      </w:r>
      <w:r w:rsidR="00791645">
        <w:rPr>
          <w:noProof/>
        </w:rPr>
        <w:t>1</w:t>
      </w:r>
      <w:r w:rsidR="00791645">
        <w:fldChar w:fldCharType="end"/>
      </w:r>
      <w:r w:rsidR="00791645">
        <w:t xml:space="preserve"> in the Appendix provides </w:t>
      </w:r>
      <w:r w:rsidR="00567ABD">
        <w:t xml:space="preserve">the import reliance numbers annually and across the full sample, for </w:t>
      </w:r>
      <w:r w:rsidR="00607A65">
        <w:t xml:space="preserve">U.S. </w:t>
      </w:r>
      <w:r w:rsidR="00A808A6">
        <w:t xml:space="preserve">balancing authorities </w:t>
      </w:r>
      <w:r w:rsidR="00567ABD">
        <w:t>with average demand greater than 500 MW.</w:t>
      </w:r>
    </w:p>
    <w:p w14:paraId="7FDE6966" w14:textId="427D89FC" w:rsidR="00DC6488" w:rsidRDefault="00CD652D" w:rsidP="00DC6488">
      <w:pPr>
        <w:keepNext/>
      </w:pPr>
      <w:r>
        <w:rPr>
          <w:noProof/>
        </w:rPr>
        <w:drawing>
          <wp:inline distT="0" distB="0" distL="0" distR="0" wp14:anchorId="53D22490" wp14:editId="10623A86">
            <wp:extent cx="5048250" cy="2724210"/>
            <wp:effectExtent l="0" t="0" r="0" b="0"/>
            <wp:docPr id="92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4183" cy="2738204"/>
                    </a:xfrm>
                    <a:prstGeom prst="rect">
                      <a:avLst/>
                    </a:prstGeom>
                    <a:noFill/>
                  </pic:spPr>
                </pic:pic>
              </a:graphicData>
            </a:graphic>
          </wp:inline>
        </w:drawing>
      </w:r>
    </w:p>
    <w:p w14:paraId="0CD68C4C" w14:textId="2CE4A58A" w:rsidR="00611F5E" w:rsidRPr="005F0494" w:rsidRDefault="00DC6488" w:rsidP="005F0494">
      <w:pPr>
        <w:pStyle w:val="Caption"/>
      </w:pPr>
      <w:bookmarkStart w:id="0" w:name="_Ref164131523"/>
      <w:r>
        <w:t xml:space="preserve">Figure </w:t>
      </w:r>
      <w:r w:rsidR="00672EC5">
        <w:fldChar w:fldCharType="begin"/>
      </w:r>
      <w:r w:rsidR="00672EC5">
        <w:instrText xml:space="preserve"> SEQ Figure \* ARABIC </w:instrText>
      </w:r>
      <w:r w:rsidR="00672EC5">
        <w:fldChar w:fldCharType="separate"/>
      </w:r>
      <w:r w:rsidR="00672EC5">
        <w:rPr>
          <w:noProof/>
        </w:rPr>
        <w:t>1</w:t>
      </w:r>
      <w:r w:rsidR="00672EC5">
        <w:rPr>
          <w:noProof/>
        </w:rPr>
        <w:fldChar w:fldCharType="end"/>
      </w:r>
      <w:bookmarkEnd w:id="0"/>
      <w:r>
        <w:t xml:space="preserve"> </w:t>
      </w:r>
      <w:r w:rsidR="00FE22F8">
        <w:t xml:space="preserve">Import share of </w:t>
      </w:r>
      <w:r w:rsidRPr="007D4D6F">
        <w:t>total electricity consumption by U.S. Balancing Authority, 2016-2023.</w:t>
      </w:r>
      <w:bookmarkStart w:id="1" w:name="_heading=h.gjdgxs" w:colFirst="0" w:colLast="0"/>
      <w:bookmarkEnd w:id="1"/>
    </w:p>
    <w:p w14:paraId="17F27C3B" w14:textId="1790CD6D" w:rsidR="00356A74" w:rsidRDefault="00A708A0" w:rsidP="00A708A0">
      <w:r>
        <w:lastRenderedPageBreak/>
        <w:t xml:space="preserve">There are a few additional import-dependent </w:t>
      </w:r>
      <w:r w:rsidR="008F3B00">
        <w:t>balancing authorities</w:t>
      </w:r>
      <w:r>
        <w:t xml:space="preserve"> shown in </w:t>
      </w:r>
      <w:r w:rsidR="005F0494">
        <w:fldChar w:fldCharType="begin"/>
      </w:r>
      <w:r w:rsidR="005F0494">
        <w:instrText xml:space="preserve"> REF _Ref164131523 \h </w:instrText>
      </w:r>
      <w:r w:rsidR="005F0494">
        <w:fldChar w:fldCharType="separate"/>
      </w:r>
      <w:r w:rsidR="005F0494">
        <w:t xml:space="preserve">Figure </w:t>
      </w:r>
      <w:r w:rsidR="005F0494">
        <w:rPr>
          <w:noProof/>
        </w:rPr>
        <w:t>1</w:t>
      </w:r>
      <w:r w:rsidR="005F0494">
        <w:fldChar w:fldCharType="end"/>
      </w:r>
      <w:r w:rsidR="005F0494">
        <w:t xml:space="preserve"> that appear to be outliers relative to their neighbors.</w:t>
      </w:r>
      <w:r w:rsidR="003B6EC3">
        <w:t xml:space="preserve"> El Paso Electric Company in southwest Texas</w:t>
      </w:r>
      <w:r w:rsidR="00654660">
        <w:t xml:space="preserve"> was </w:t>
      </w:r>
      <w:r w:rsidR="003B6EC3">
        <w:t xml:space="preserve">44% reliant on imports over the sample </w:t>
      </w:r>
      <w:r w:rsidR="004311B5">
        <w:t>period</w:t>
      </w:r>
      <w:r w:rsidR="00D5627C">
        <w:t xml:space="preserve">; 67% of its imports were from Public Service Company of New Mexico and 30% from </w:t>
      </w:r>
      <w:r w:rsidR="006C7898">
        <w:t>Tucson</w:t>
      </w:r>
      <w:r w:rsidR="00D5627C">
        <w:t xml:space="preserve"> Electric Power</w:t>
      </w:r>
      <w:r w:rsidR="008D03E6">
        <w:t>.</w:t>
      </w:r>
    </w:p>
    <w:p w14:paraId="6AF08065" w14:textId="3751C4B5" w:rsidR="00A708A0" w:rsidRDefault="00F573A4" w:rsidP="00A708A0">
      <w:r>
        <w:t xml:space="preserve">Duke Energy Progress </w:t>
      </w:r>
      <w:r w:rsidR="0041185E">
        <w:t>(DEP)</w:t>
      </w:r>
      <w:r w:rsidR="006C7898">
        <w:t xml:space="preserve"> </w:t>
      </w:r>
      <w:r w:rsidR="00356A74">
        <w:t xml:space="preserve">in the Carolinas is administratively split into two BAs in the west and the east part of its footprint. </w:t>
      </w:r>
      <w:r w:rsidR="0041185E">
        <w:t xml:space="preserve">DEP west is 42% reliant on imports and </w:t>
      </w:r>
      <w:r w:rsidR="00356A74">
        <w:t xml:space="preserve">significantly smaller than </w:t>
      </w:r>
      <w:r w:rsidR="0041185E">
        <w:t xml:space="preserve">DEP east. </w:t>
      </w:r>
      <w:r w:rsidR="006144D9">
        <w:t>Most</w:t>
      </w:r>
      <w:r w:rsidR="009620F7">
        <w:t xml:space="preserve"> </w:t>
      </w:r>
      <w:r w:rsidR="0041185E">
        <w:t xml:space="preserve">DEP west imports </w:t>
      </w:r>
      <w:r w:rsidR="00356A74">
        <w:t xml:space="preserve">come from its neighboring Duke-controlled BAs. </w:t>
      </w:r>
      <w:r w:rsidR="00DA21EE">
        <w:t xml:space="preserve">In this way, the </w:t>
      </w:r>
      <w:r w:rsidR="00356A74">
        <w:t xml:space="preserve">high level of import reliance </w:t>
      </w:r>
      <w:r w:rsidR="00D67994">
        <w:t xml:space="preserve">in </w:t>
      </w:r>
      <w:r w:rsidR="002F4913">
        <w:t xml:space="preserve">DEP west </w:t>
      </w:r>
      <w:r w:rsidR="00356A74">
        <w:t xml:space="preserve">may not reflect </w:t>
      </w:r>
      <w:r w:rsidR="009F1A6E">
        <w:t xml:space="preserve">significant </w:t>
      </w:r>
      <w:r w:rsidR="00356A74">
        <w:t xml:space="preserve">import reliance </w:t>
      </w:r>
      <w:r w:rsidR="009F1A6E">
        <w:t xml:space="preserve">risk </w:t>
      </w:r>
      <w:r w:rsidR="00D67994">
        <w:t xml:space="preserve">if the </w:t>
      </w:r>
      <w:proofErr w:type="gramStart"/>
      <w:r w:rsidR="00356A74">
        <w:t>Duke</w:t>
      </w:r>
      <w:proofErr w:type="gramEnd"/>
      <w:r w:rsidR="00356A74">
        <w:t xml:space="preserve"> parent company likely owns and controls much of the resources being traded across the multiple B</w:t>
      </w:r>
      <w:r w:rsidR="0099141B">
        <w:t>A</w:t>
      </w:r>
      <w:r w:rsidR="00356A74">
        <w:t>s it administers in the Carolinas</w:t>
      </w:r>
      <w:r w:rsidR="0099141B">
        <w:t>.</w:t>
      </w:r>
      <w:r w:rsidR="00356A74">
        <w:t xml:space="preserve"> </w:t>
      </w:r>
    </w:p>
    <w:p w14:paraId="7ECAADCA" w14:textId="0A198D3E" w:rsidR="00611F5E" w:rsidRDefault="005F24C5" w:rsidP="00DF533E">
      <w:r>
        <w:t xml:space="preserve">Duke Energy Florida </w:t>
      </w:r>
      <w:r w:rsidR="0041185E">
        <w:t xml:space="preserve">(DEF) </w:t>
      </w:r>
      <w:r>
        <w:t xml:space="preserve">is also relatively import-reliant at 24% compared to its neighboring </w:t>
      </w:r>
      <w:r w:rsidR="008F3B00">
        <w:t xml:space="preserve">systems. </w:t>
      </w:r>
      <w:r w:rsidR="00CD08CF">
        <w:t xml:space="preserve">It is relatively diverse in its sources of imports and, unlike the </w:t>
      </w:r>
      <w:proofErr w:type="gramStart"/>
      <w:r w:rsidR="00CD08CF">
        <w:t>Duke</w:t>
      </w:r>
      <w:proofErr w:type="gramEnd"/>
      <w:r w:rsidR="00CD08CF">
        <w:t xml:space="preserve"> </w:t>
      </w:r>
      <w:r w:rsidR="008F3B00">
        <w:t xml:space="preserve">balancing authorities </w:t>
      </w:r>
      <w:r w:rsidR="00CD08CF">
        <w:t xml:space="preserve">in the Carolinas, does not trade with company affiliates. Rather, 32% of its imports were from Florida Power &amp; Light, 26% from Florida Municipal Power Pool, </w:t>
      </w:r>
      <w:r w:rsidR="00F02149">
        <w:t xml:space="preserve">and </w:t>
      </w:r>
      <w:r w:rsidR="00CD08CF">
        <w:t>24% from Seminole Electric Cooperative. It also receives smaller levels of imports from Gainesville Regional Utilities, Southern Company, and Tampa Electric Company.</w:t>
      </w:r>
    </w:p>
    <w:p w14:paraId="3CE82663" w14:textId="6D400696" w:rsidR="000701D3" w:rsidRDefault="00164B3C" w:rsidP="000701D3">
      <w:r>
        <w:t xml:space="preserve">The import reliance metric is simple to calculate and interpret and provides an accurate perspective on the reliance of a balancing authority on electricity supply outside its </w:t>
      </w:r>
      <w:r w:rsidR="00A8344D">
        <w:t>control</w:t>
      </w:r>
      <w:r>
        <w:t xml:space="preserve">. In this way it presents a useful starting point for </w:t>
      </w:r>
      <w:proofErr w:type="gramStart"/>
      <w:r>
        <w:t>an analysis</w:t>
      </w:r>
      <w:proofErr w:type="gramEnd"/>
      <w:r>
        <w:t xml:space="preserve">. </w:t>
      </w:r>
      <w:r w:rsidR="000701D3">
        <w:t>The import reliance metric, while a useful descriptive statistic, is somewhat limited in describing reliability risk because it does not account for relevant characteristics of the contractual arrangements underlying electricity imports. For example, a balancing authority whose imports are provided under firm delivery arrangements may have lower reliability risk than a BA that relies on significant imports purchased from a spot market.</w:t>
      </w:r>
    </w:p>
    <w:p w14:paraId="1462778B" w14:textId="62A620E1" w:rsidR="00611F5E" w:rsidRDefault="00164B3C">
      <w:r>
        <w:t xml:space="preserve">It is </w:t>
      </w:r>
      <w:proofErr w:type="spellStart"/>
      <w:proofErr w:type="gramStart"/>
      <w:r w:rsidR="000E09B6">
        <w:t>a;sp</w:t>
      </w:r>
      <w:proofErr w:type="spellEnd"/>
      <w:proofErr w:type="gramEnd"/>
      <w:r w:rsidR="000E09B6">
        <w:t xml:space="preserve"> </w:t>
      </w:r>
      <w:r>
        <w:t>important to note that</w:t>
      </w:r>
      <w:r w:rsidR="000E09B6">
        <w:t xml:space="preserve"> high</w:t>
      </w:r>
      <w:r>
        <w:t xml:space="preserve"> “import reliance” is not necessarily a concern- there are likely good reasons when a </w:t>
      </w:r>
      <w:r w:rsidR="000E09B6">
        <w:t>system operator</w:t>
      </w:r>
      <w:r>
        <w:t xml:space="preserve"> imports electricity to supply local demand. </w:t>
      </w:r>
      <w:r w:rsidR="00287BDE">
        <w:t>Several</w:t>
      </w:r>
      <w:r>
        <w:t xml:space="preserve"> studies have shown economic efficiency gains from trade available when two regions </w:t>
      </w:r>
      <w:r w:rsidR="0042466D">
        <w:t xml:space="preserve">increase </w:t>
      </w:r>
      <w:r>
        <w:t>electricity trade</w:t>
      </w:r>
      <w:r w:rsidR="0042466D">
        <w:t xml:space="preserve"> </w:t>
      </w:r>
      <w:r w:rsidR="006144D9">
        <w:fldChar w:fldCharType="begin"/>
      </w:r>
      <w:r w:rsidR="00287BDE">
        <w:instrText xml:space="preserve"> ADDIN ZOTERO_ITEM CSL_CITATION {"citationID":"hpkC9jaG","properties":{"formattedCitation":"[5\\uc0\\u8211{}8]","plainCitation":"[5–8]","noteIndex":0},"citationItems":[{"id":538,"uris":["http://zotero.org/users/9332412/items/GLYVAGDT"],"itemData":{"id":538,"type":"article-journal","abstract":"Bangladesh, currently a low middle-income economy aspires to become a high middle income country by 2021. To achieve such aspiration, the country will have to ensure adequate power supply for its fast growing economy. Bangladesh lacks energy resources for power generation. This paper explores some of the power supply scenarios with special focus on power imports and higher use of renewables. Using the technology rich, least cost optimization model ‘The Integrated MARKAL-EFOM System (TIMES)’ the authors developed four possible future power supply scenarios for Bangladesh. These scenarios include an energy security framework (based on the Power System Master Plan (PSMP) 2016 report), a high power import scenario, a scenario with higher use of renewables and a combined high power import - high renewables development scenario. The analysis indicates that the present energy security framework ensures energy security with diversifying fuels used for power generation, however, scenarios with high power imports and a high share of renewables (including the combined scenario) bring down the cost of supplying power along with a reduction in expensive fossil fuel imports while maintaining energy security as fuel sources for power generation still remain diversified.","container-title":"Energy","DOI":"10.1016/j.energy.2018.04.169","title":"Bangladesh power supply scenarios on renewables and electricity import","volume":"155","author":[{"family":"Das","given":"Anjana"},{"family":"Halder","given":"Arideep"},{"family":"Mazumder","given":"Rahul"},{"family":"Saini","given":"Vinay Kumar"},{"family":"Parikh","given":"Jyoti"},{"family":"Parikh","given":"Kirit S."}],"issued":{"date-parts":[["2018"]]}},"label":"page"},{"id":485,"uris":["http://zotero.org/users/9332412/items/G2LQIN7I"],"itemData":{"id":485,"type":"article-journal","abstract":"Canadian hydropower resources offer a potentially attractive option for meeting decarbonization targets in the US Northeast region, where there are ambitious climate goals and nearby hydro resources in Quebec. Existing transmission capacity is, however, a limiting factor in expanding hydropower imports to the region. To examine the value of expanding transmission capacity from Quebec to the Northeast, we employ an integrated top-down bottom-up modeling framework (USREP-EleMod). This research was part of an Energy Modeling Forum effort, EMF34, with a goal of better characterizing linkages in energy markets across North America. The scenarios we examine exogenously expand transmission capacity by 10, 30, and 50% above existing capacity into the US Northeast (New York/New England), finding the value to the economy of these expansions ranging from $.38-$.49 per kWh imported into New York, and $.30-$.33 per kWh imported into New England by 2050. The scenarios include economy-wide emissions goals these states have set for themselves. The carbon limits we imposed raise fuel prices more than electricity prices and as a result we found greater electrification in the US Northeast region from 2030 onward, a result that one would not see using just an electricity sector model, demonstrating a main hypothesis of EMF34, that models that looked at more integration across energy markets would give deeper insight than more narrowly focused models.","container-title":"Energy Policy","DOI":"10.1016/j.enpol.2021.112261","ISSN":"0301-4215","journalAbbreviation":"Energy Policy","page":"112261","source":"ScienceDirect","title":"The role of cross-border electricity trade in transition to a low-carbon economy in the Northeastern U.S","volume":"154","author":[{"family":"Yuan","given":"Mei"},{"family":"Tapia-Ahumada","given":"Karen"},{"family":"Reilly","given":"John"}],"issued":{"date-parts":[["2021",7,1]]}},"label":"page"},{"id":484,"uris":["http://zotero.org/users/9332412/items/XQRBSMGK"],"itemData":{"id":484,"type":"report","abstract":"The uptake of renewable energy (RE) has been identified by a number of governments as a primary means for mitigating CO2 emissions from the electricity sector, and for making the transition to a low-carbon economy. The electric power output of some RE technologies, however, including those based on intermittent wind and solar energy, can vary considerably over short periods of time and thereby introduce instability into the electricity system. The risk of instability increases with higher shares of intermittent power sources connected to the electrical grid. Different means have been used to deal with this intermittency problem. Cross-border trade in electricity appears to be one of them since it enables countries to gain access to a more diversified portfolio of plants, producing over a wider geographic area. Preliminary results from an examination of the European electricity market confirm the importance of cross-border electricity trade in increasing the effective capacity factor of intermittent plants in the context of a growing share of intermittent renewables in the power sector. There are a number of policy issues that must first be addressed though, with some financial and administrative incentives provided to variable RE technologies discouraging RE producers from fully participating in electricity market operations and exerting downward pressure on wholesale electricity prices. The positive contribution that cross-border trade in electricity can make to address the variability problem not only depends on addressing challenges that renewable-energy technologies pose to electricity markets, but also necessitates the existence of an efficient cross-border electricity trading regime. Addressing those regulatory and administrative measures that are inhibiting growth in cross-border trade and the smooth operation of regional electricity markets would therefore help increase the potential for trade in electricity to facilitate growth in renewable energy.","event-place":"Paris","language":"en","note":"DOI: 10.1787/5k4869cdwnzr-en","publisher":"OECD","publisher-place":"Paris","source":"OECD iLibrary","title":"Cross-Border Trade in Electricity and the Development of Renewables-Based Electric Power: Lessons from Europe","title-short":"Cross-Border Trade in Electricity and the Development of Renewables-Based Electric Power","URL":"https://www.oecd-ilibrary.org/trade/cross-border-trade-in-electricity-and-the-development-of-renewables-based-electric-power_5k4869cdwnzr-en","author":[{"family":"Bahar","given":"Heymi"},{"family":"Sauvage","given":"Jehan"}],"accessed":{"date-parts":[["2024",8,26]]},"issued":{"date-parts":[["2013",4,8]]}},"label":"page"},{"id":483,"uris":["http://zotero.org/users/9332412/items/KLHGQ95J"],"itemData":{"id":483,"type":"article-journal","abstract":"Connecting two electrical grids allows power to be traded between the areas, which can improve reliability and lower electricity prices. Over the coming years, electrical networks will have to adapt to larger amounts of intermittent renewable generation. Here we use hourly data from 155 world-wide geographic regions to investigate how the value of connecting electrical grids changes as renewable generation is incorporated. We show across five continents that significantly more interconnections are cost effective in a 100% renewables scenario, and that the investment savings they result in can be 100 times higher. Furthermore, we show that many interconnections that are profitable with dispatchable generation are not profitable in a renewable generation scenario. Finally, we show that in many cases the interconnection only reduces the investments costs of one of the two regions — with the larger electricity market, in general, seeing a greater cost reduction.","container-title":"Applied Energy","DOI":"10.1016/j.apenergy.2022.119717","ISSN":"0306-2619","journalAbbreviation":"Applied Energy","page":"119717","source":"ScienceDirect","title":"The effect of renewable electricity generation on the value of cross-border interconnection","volume":"324","author":[{"family":"Crozier","given":"Constance"},{"family":"Baker","given":"Kyri"}],"issued":{"date-parts":[["2022",10,15]]}}}],"schema":"https://github.com/citation-style-language/schema/raw/master/csl-citation.json"} </w:instrText>
      </w:r>
      <w:r w:rsidR="006144D9">
        <w:fldChar w:fldCharType="separate"/>
      </w:r>
      <w:r w:rsidR="00287BDE" w:rsidRPr="00287BDE">
        <w:rPr>
          <w:rFonts w:cs="Times New Roman"/>
        </w:rPr>
        <w:t>[5–8]</w:t>
      </w:r>
      <w:r w:rsidR="006144D9">
        <w:fldChar w:fldCharType="end"/>
      </w:r>
      <w:r>
        <w:t xml:space="preserve">. </w:t>
      </w:r>
      <w:r w:rsidR="0042466D">
        <w:t xml:space="preserve">The </w:t>
      </w:r>
      <w:r>
        <w:t xml:space="preserve">magnitude and characteristics of electricity trade </w:t>
      </w:r>
      <w:r w:rsidR="00BD174B">
        <w:t xml:space="preserve">in any given system </w:t>
      </w:r>
      <w:r>
        <w:t>vary depending on the underlying characteristics of individual systems, including resource mix</w:t>
      </w:r>
      <w:r w:rsidR="00BD174B">
        <w:t>es</w:t>
      </w:r>
      <w:r>
        <w:t>, demand characteristics, geographic traits</w:t>
      </w:r>
      <w:r w:rsidR="00BD174B">
        <w:t xml:space="preserve">, and </w:t>
      </w:r>
      <w:r w:rsidR="00576746">
        <w:t xml:space="preserve">local </w:t>
      </w:r>
      <w:r w:rsidR="00BF0C31">
        <w:t>politics</w:t>
      </w:r>
      <w:r>
        <w:t xml:space="preserve">. </w:t>
      </w:r>
    </w:p>
    <w:p w14:paraId="62218963" w14:textId="77777777" w:rsidR="003F5689" w:rsidRDefault="00E94F0E">
      <w:r>
        <w:t xml:space="preserve">Despite economic efficiencies that can be realized from </w:t>
      </w:r>
      <w:r w:rsidR="0078182C">
        <w:t xml:space="preserve">regional trade, there </w:t>
      </w:r>
      <w:r w:rsidR="00164B3C">
        <w:t>are reasons why expanding electricity trade could be more costly than the available benefits.  One potentially significant barrier is if physical links connecting two BAs are already congested, alongside the sometimes-prohibitive cost of building new electric transmission lines</w:t>
      </w:r>
      <w:r w:rsidR="00F25179">
        <w:t xml:space="preserve"> </w:t>
      </w:r>
      <w:r w:rsidR="00F25179">
        <w:fldChar w:fldCharType="begin"/>
      </w:r>
      <w:r w:rsidR="00287BDE">
        <w:instrText xml:space="preserve"> ADDIN ZOTERO_ITEM CSL_CITATION {"citationID":"NQyvMDTo","properties":{"formattedCitation":"[9]","plainCitation":"[9]","noteIndex":0},"citationItems":[{"id":480,"uris":["http://zotero.org/users/9332412/items/G6UNYVVJ"],"itemData":{"id":480,"type":"article-journal","abstract":"This paper discusses the lessons learned from electricity sector liberalization over the last 20 years. The attributes of reform models that have exhibited good performance attributes are identified, drawing on empirical analysis of market structure, behavior and performance in many countries. Wholesale and retail market competition and network regulation performance evidence are discussed. Technical, economic, and political challenges to improving the efficiency of what continue to be partial liberalization programs in many countries are considered.","container-title":"The Energy Journal","DOI":"10.5547/ISSN0195-6574-EJ-Vol29-NoSI2-3","ISSN":"0195-6574","issue":"2_suppl","language":"en","note":"publisher: SAGE Publications","page":"9-42","source":"SAGE Journals","title":"Lessons Learned From Electricity Market Liberalization","volume":"29","author":[{"family":"Joskow","given":"Paul L."}],"issued":{"date-parts":[["2008",12,1]]}}}],"schema":"https://github.com/citation-style-language/schema/raw/master/csl-citation.json"} </w:instrText>
      </w:r>
      <w:r w:rsidR="00F25179">
        <w:fldChar w:fldCharType="separate"/>
      </w:r>
      <w:r w:rsidR="00287BDE" w:rsidRPr="00287BDE">
        <w:t>[9]</w:t>
      </w:r>
      <w:r w:rsidR="00F25179">
        <w:fldChar w:fldCharType="end"/>
      </w:r>
      <w:r w:rsidR="00164B3C">
        <w:t xml:space="preserve">. </w:t>
      </w:r>
      <w:r w:rsidR="005D0CB8">
        <w:t xml:space="preserve">Furthermore, the </w:t>
      </w:r>
      <w:r w:rsidR="00164B3C">
        <w:t xml:space="preserve">integration and associated regional efficiencies associated with electricity price equalization will produce some </w:t>
      </w:r>
      <w:r w:rsidR="005D0CB8">
        <w:t xml:space="preserve">economic </w:t>
      </w:r>
      <w:r w:rsidR="00164B3C">
        <w:t xml:space="preserve">losers </w:t>
      </w:r>
      <w:r w:rsidR="00F25179">
        <w:fldChar w:fldCharType="begin"/>
      </w:r>
      <w:r w:rsidR="00287BDE">
        <w:instrText xml:space="preserve"> ADDIN ZOTERO_ITEM CSL_CITATION {"citationID":"0fq0Tm6u","properties":{"formattedCitation":"[10]","plainCitation":"[10]","noteIndex":0},"citationItems":[{"id":479,"uris":["http://zotero.org/users/9332412/items/G4DI4CWX"],"itemData":{"id":479,"type":"article-journal","container-title":"The Energy Law Journal","language":"en","source":"Zotero","title":"Measuring the Benefits and Costs of Regional Electric Grid Integration","URL":"https://www.eba-net.org/wp-content/uploads/2023/02/10-147-184.pdf","volume":"28","author":[{"family":"Blumsack","given":"Seth"}],"issued":{"date-parts":[["2007"]]}}}],"schema":"https://github.com/citation-style-language/schema/raw/master/csl-citation.json"} </w:instrText>
      </w:r>
      <w:r w:rsidR="00F25179">
        <w:fldChar w:fldCharType="separate"/>
      </w:r>
      <w:r w:rsidR="00287BDE" w:rsidRPr="00287BDE">
        <w:t>[10]</w:t>
      </w:r>
      <w:r w:rsidR="00F25179">
        <w:fldChar w:fldCharType="end"/>
      </w:r>
      <w:r w:rsidR="00DD6F1C">
        <w:t xml:space="preserve">, </w:t>
      </w:r>
      <w:r w:rsidR="00164B3C">
        <w:t>includ</w:t>
      </w:r>
      <w:r w:rsidR="00DD6F1C">
        <w:t>ing</w:t>
      </w:r>
      <w:r w:rsidR="00164B3C">
        <w:t xml:space="preserve"> electricity customers </w:t>
      </w:r>
      <w:r w:rsidR="00DD6F1C">
        <w:t xml:space="preserve">who </w:t>
      </w:r>
      <w:r w:rsidR="00164B3C">
        <w:t>fac</w:t>
      </w:r>
      <w:r w:rsidR="00DD6F1C">
        <w:t>e</w:t>
      </w:r>
      <w:r w:rsidR="00164B3C">
        <w:t xml:space="preserve"> higher </w:t>
      </w:r>
      <w:r w:rsidR="007B5645">
        <w:t xml:space="preserve">prices after increasing </w:t>
      </w:r>
      <w:r w:rsidR="00164B3C">
        <w:t>expor</w:t>
      </w:r>
      <w:r w:rsidR="007B5645">
        <w:t xml:space="preserve">ts, </w:t>
      </w:r>
      <w:r w:rsidR="00164B3C">
        <w:t xml:space="preserve">and producers facing reduced profits </w:t>
      </w:r>
      <w:r w:rsidR="007B5645">
        <w:t xml:space="preserve">from imports </w:t>
      </w:r>
      <w:r w:rsidR="00F25179">
        <w:fldChar w:fldCharType="begin"/>
      </w:r>
      <w:r w:rsidR="00287BDE">
        <w:instrText xml:space="preserve"> ADDIN ZOTERO_ITEM CSL_CITATION {"citationID":"pwbBXZis","properties":{"formattedCitation":"[11]","plainCitation":"[11]","noteIndex":0},"citationItems":[{"id":478,"uris":["http://zotero.org/users/9332412/items/RDBJ4WKT"],"itemData":{"id":478,"type":"article-journal","abstract":"This paper focuses on how to promote regional cooperation in electricity. We begin by discussing the theory of international trade cooperation in electricity, with a view to discussing what preconditions might be important in facilitating wide area trading across national borders. We then develop lessons based on the comparison of four case studies. These include three regional developing country power pools – the Southern African Power pool (SAPP), West African Power pool (WAPP) and the Central American Power Market (MER). We contrast these with Northern Europe's Nord Pool. These cases highlight both the potential and difficulty of having cross-jurisdictional power pools. In the light of the theory and evidence we present, we draw key lessons in the areas of: preconditions for trading; necessary institutional arrangements; practicalities of timetabling; reasons to be hopeful about future prospects.","container-title":"Energy Policy","DOI":"10.1016/j.enpol.2015.09.007","ISSN":"0301-4215","journalAbbreviation":"Energy Policy","page":"628-638","source":"ScienceDirect","title":"The promotion of regional integration of electricity markets: Lessons for developing countries","title-short":"The promotion of regional integration of electricity markets","volume":"88","author":[{"family":"Oseni","given":"Musiliu O."},{"family":"Pollitt","given":"Michael G."}],"issued":{"date-parts":[["2016",1,1]]}}}],"schema":"https://github.com/citation-style-language/schema/raw/master/csl-citation.json"} </w:instrText>
      </w:r>
      <w:r w:rsidR="00F25179">
        <w:fldChar w:fldCharType="separate"/>
      </w:r>
      <w:r w:rsidR="00287BDE" w:rsidRPr="00287BDE">
        <w:t>[11]</w:t>
      </w:r>
      <w:r w:rsidR="00F25179">
        <w:fldChar w:fldCharType="end"/>
      </w:r>
      <w:r w:rsidR="00164B3C">
        <w:t xml:space="preserve">. </w:t>
      </w:r>
    </w:p>
    <w:p w14:paraId="2090D45C" w14:textId="6B2A7FB9" w:rsidR="00611F5E" w:rsidRDefault="00164B3C">
      <w:r>
        <w:t xml:space="preserve">Other factors to consider for a better understanding of the observed trading situation between </w:t>
      </w:r>
      <w:r w:rsidR="00423564">
        <w:t xml:space="preserve">two electricity systems include the </w:t>
      </w:r>
      <w:r>
        <w:t>political relationship</w:t>
      </w:r>
      <w:r w:rsidR="00423564">
        <w:t>s</w:t>
      </w:r>
      <w:r>
        <w:t xml:space="preserve"> between regions, market trading rules, and other institutional realities that could create to</w:t>
      </w:r>
      <w:r w:rsidR="004907D2">
        <w:t xml:space="preserve"> trad</w:t>
      </w:r>
      <w:r>
        <w:t>ing friction or other sources of risk associated with expanded trade</w:t>
      </w:r>
      <w:r w:rsidR="001803CB">
        <w:t xml:space="preserve"> </w:t>
      </w:r>
      <w:r w:rsidR="001803CB">
        <w:fldChar w:fldCharType="begin"/>
      </w:r>
      <w:r w:rsidR="00287BDE">
        <w:instrText xml:space="preserve"> ADDIN ZOTERO_ITEM CSL_CITATION {"citationID":"YYPPckXo","properties":{"formattedCitation":"[12]","plainCitation":"[12]","noteIndex":0},"citationItems":[{"id":477,"uris":["http://zotero.org/users/9332412/items/8CJS2Y7E"],"itemData":{"id":477,"type":"article-journal","abstract":"Purpose – This paper aims at assessing the actual use of interregional transmission lines and the opportunity cost of unused capacity. The 13 electric power lines connecting the province of Quebec (Canada) to its neighbours (New Brunswick, New England, New York, Ontario) are analysed for the years 2006, 2007 and 2008. Design/methodology/approach – Hourly electricity transmission data from the Quebec Open Access Same</w:instrText>
      </w:r>
      <w:r w:rsidR="00287BDE">
        <w:rPr>
          <w:rFonts w:ascii="Cambria Math" w:hAnsi="Cambria Math" w:cs="Cambria Math"/>
        </w:rPr>
        <w:instrText>‐</w:instrText>
      </w:r>
      <w:r w:rsidR="00287BDE">
        <w:instrText>Time Information System (OASIS) are analysed and matched with hourly market prices in New Brunswick, New England, New York and Ontario, for the years 2006, 2007 and 2008. Findings – Capacity factors of about 50 per cent are found for these lines. Although increasing from 2006 to 2008, this finding shows that interregional lines are far from being heavily congested. Furthermore, about 25 TWh of additional profitable exports could have taken place every year, given the market conditions and the availability of transmission lines. These exports represented an opportunity cost of about $1 billion per year. Research limitations/implications – Other network constraints and transaction costs could explain why these profitable transactions have not taken place. However, the lack of available energy most likely explains why exports were limited. The opportunity cost could also be overestimated by not taking into account the price impact of additional exports. Practical implications – Price regulation in Quebec (with priority given to local loads) should be reviewed to maximize economic efficiency and environmental benefits in the Northeast region. Originality/value – This is the first analysis of the use of interregional electricity transmission lines. It provides a preliminary estimate of the economic cost of not further integrating different neighbouring regions.","container-title":"International Journal of Energy Sector Management","DOI":"10.1108/17506220911005768","ISSN":"1750-6220","issue":"4","note":"publisher: Emerald Group Publishing Limited","page":"406-423","source":"Emerald Insight","title":"The value of unused interregional transmission: Estimating the opportunity cost for Quebec (Canada)","title-short":"The value of unused interregional transmission","volume":"3","author":[{"family":"Pineau","given":"Pierre</w:instrText>
      </w:r>
      <w:r w:rsidR="00287BDE">
        <w:rPr>
          <w:rFonts w:ascii="Cambria Math" w:hAnsi="Cambria Math" w:cs="Cambria Math"/>
        </w:rPr>
        <w:instrText>‐</w:instrText>
      </w:r>
      <w:r w:rsidR="00287BDE">
        <w:instrText xml:space="preserve">Olivier"},{"family":"Lefebvre","given":"Vincent"}],"issued":{"date-parts":[["2009",1,1]]}}}],"schema":"https://github.com/citation-style-language/schema/raw/master/csl-citation.json"} </w:instrText>
      </w:r>
      <w:r w:rsidR="001803CB">
        <w:fldChar w:fldCharType="separate"/>
      </w:r>
      <w:r w:rsidR="00287BDE" w:rsidRPr="00287BDE">
        <w:t>[12]</w:t>
      </w:r>
      <w:r w:rsidR="001803CB">
        <w:fldChar w:fldCharType="end"/>
      </w:r>
      <w:r>
        <w:t xml:space="preserve">. Sometimes regional integration is accompanied by efforts to expand BA territory, which can involve an expansion of centralized control over dispatch and resource </w:t>
      </w:r>
      <w:r>
        <w:lastRenderedPageBreak/>
        <w:t xml:space="preserve">adequacy </w:t>
      </w:r>
      <w:r w:rsidR="00C15D05">
        <w:t>for</w:t>
      </w:r>
      <w:r>
        <w:t xml:space="preserve"> a grid operator in one of the regions</w:t>
      </w:r>
      <w:r w:rsidR="00C15D05">
        <w:t xml:space="preserve">, </w:t>
      </w:r>
      <w:r w:rsidR="00A524F7">
        <w:t>which requires a level of acceptance from all local market participants and stakeholders</w:t>
      </w:r>
      <w:r>
        <w:t xml:space="preserve">. It is </w:t>
      </w:r>
      <w:r w:rsidR="00C03E8F">
        <w:t xml:space="preserve">often </w:t>
      </w:r>
      <w:r>
        <w:t xml:space="preserve">tempting </w:t>
      </w:r>
      <w:r w:rsidR="00C03E8F">
        <w:t xml:space="preserve">for analysts to consider </w:t>
      </w:r>
      <w:r>
        <w:t xml:space="preserve">trading opportunities from an economic efficiency lens without </w:t>
      </w:r>
      <w:r w:rsidR="00680ED5">
        <w:t xml:space="preserve">similarly </w:t>
      </w:r>
      <w:r>
        <w:t xml:space="preserve">considering the potentially significant political cooperation needed as a foundation for </w:t>
      </w:r>
      <w:r w:rsidR="00103B8C">
        <w:t xml:space="preserve">successful and </w:t>
      </w:r>
      <w:r>
        <w:t xml:space="preserve">lasting economic integration </w:t>
      </w:r>
      <w:r w:rsidR="00103B8C">
        <w:t xml:space="preserve">of regional electricity systems </w:t>
      </w:r>
      <w:r w:rsidR="001803CB">
        <w:fldChar w:fldCharType="begin"/>
      </w:r>
      <w:r w:rsidR="00287BDE">
        <w:instrText xml:space="preserve"> ADDIN ZOTERO_ITEM CSL_CITATION {"citationID":"GqPFt2Aj","properties":{"formattedCitation":"[13,14]","plainCitation":"[13,14]","noteIndex":0},"citationItems":[{"id":476,"uris":["http://zotero.org/users/9332412/items/YJZ8A5LD"],"itemData":{"id":476,"type":"article-journal","abstract":"Much focus has been placed in public policy discourses on defining energy security as independence from reliance on external hydrocarbon fuels. This definition provides little guidance about the benefits and risks to energy security from the integration of electrical power systems across nation-state lines. Instead of assuming energy independence is intrinsically more secure, this paper argues for utilizing a multi-dimensional energy security framework for evaluating electricity integration by evaluating perceptions of the energy security for shallow and deep electricity integration for Morocco. It argues that conceiving of Moroccan policymaker’s energy security goals only in terms of energy independence misunderstands the broader sustainable development and human security context of Morocco’s renewable electricity plans and overlooks its motivations for increasing electricity interdependence. The paper concludes with policy recommendations for global governance geared toward improving the security of transnational grids. First, electricity integration offers numerous energy security benefits, but these benefits could be negated if technological integration lacks a strong political foundation. Second, policymakers should distinguish between dependence and interdependence and prioritize the latter. Third, given the urgency of climate change, pollution, and energy poverty challenges, decision-makers should approach energy security, human security, and sustainable development as inseparable challenges.","collection-title":"Conflict, Cooperation, and Change in the Politics of Energy Interdependence","container-title":"Energy Research &amp; Social Science","DOI":"10.1016/j.erss.2016.12.008","ISSN":"2214-6296","journalAbbreviation":"Energy Research &amp; Social Science","page":"21-29","source":"ScienceDirect","title":"Evaluating the energy security of electricity interdependence: Perspectives from Morocco","title-short":"Evaluating the energy security of electricity interdependence","volume":"24","author":[{"family":"Moore","given":"Sharlissa"}],"issued":{"date-parts":[["2017",2,1]]}}},{"id":475,"uris":["http://zotero.org/users/9332412/items/NENLRNIS"],"itemData":{"id":475,"type":"article-journal","abstract":"This Perspective is attempted to broaden the scope of the debate on regional power connectivity to go beyond factors that are proximate to the electricity industry. It turns to major regionalist studies as a source of insights for identifying the wider connects of regional power connectivity, i.e., aspects of the geo-political, socio-economic, and cultural contexts that are significantly affected by, and affect the case for, regional power connectivity. These insights are then translated into three suggestions as to how to deepen regional power connectivity based on an appreciation of its wider connects. This Perspective represents a point of departure from the existing, industry-centric, perspective on the topic that is largely neglectful of the significance of the wider contexts within which regional power connectivity has been progressed. It therefore contributes to the development of more effective policy solutions for deepening regional power connectivity.","container-title":"Energy Research &amp; Social Science","DOI":"10.1016/j.erss.2022.102614","ISSN":"2214-6296","journalAbbreviation":"Energy Research &amp; Social Science","page":"102614","source":"ScienceDirect","title":"Deepening regional power connectivity: Beyond the industry-centric perspective","title-short":"Deepening regional power connectivity","volume":"90","author":[{"family":"Yang","given":"Muyi"},{"family":"Shi","given":"Xunpeng"},{"family":"Zhou","given":"Yuanbing"},{"family":"Xiang","given":"Junyong"},{"family":"Zhang","given":"Rui"}],"issued":{"date-parts":[["2022",8,1]]}}}],"schema":"https://github.com/citation-style-language/schema/raw/master/csl-citation.json"} </w:instrText>
      </w:r>
      <w:r w:rsidR="001803CB">
        <w:fldChar w:fldCharType="separate"/>
      </w:r>
      <w:r w:rsidR="00287BDE" w:rsidRPr="00287BDE">
        <w:t>[13,14]</w:t>
      </w:r>
      <w:r w:rsidR="001803CB">
        <w:fldChar w:fldCharType="end"/>
      </w:r>
      <w:r>
        <w:t>.</w:t>
      </w:r>
    </w:p>
    <w:p w14:paraId="0F78E650" w14:textId="35367BD9" w:rsidR="00611F5E" w:rsidRDefault="002D53E1">
      <w:r>
        <w:t>Finally, t</w:t>
      </w:r>
      <w:r w:rsidR="00164B3C">
        <w:t xml:space="preserve">he import reliance metric also does not incorporate the diversity of external sources of supply, which is a relevant factor for assessing reliability risk. A region relying on imports may be more reliable if it has many different sources of external supply. In contrast, a balancing authority that is heavily reliant on imports from a single </w:t>
      </w:r>
      <w:r w:rsidR="000806CB">
        <w:t xml:space="preserve">system </w:t>
      </w:r>
      <w:r w:rsidR="002D4C90">
        <w:t xml:space="preserve">operator </w:t>
      </w:r>
      <w:r w:rsidR="00164B3C">
        <w:t xml:space="preserve">may have higher risk. </w:t>
      </w:r>
      <w:r w:rsidR="00AD41F9">
        <w:t xml:space="preserve">This perspective is </w:t>
      </w:r>
      <w:r w:rsidR="00164B3C">
        <w:t>analyzed further in subsequent sections.</w:t>
      </w:r>
    </w:p>
    <w:p w14:paraId="2C283DF1" w14:textId="77777777" w:rsidR="00611F5E" w:rsidRDefault="00164B3C">
      <w:pPr>
        <w:pStyle w:val="Heading1"/>
      </w:pPr>
      <w:r>
        <w:t>Import Diversity</w:t>
      </w:r>
    </w:p>
    <w:p w14:paraId="4296DC5B" w14:textId="64F8537A" w:rsidR="00856351" w:rsidRDefault="00856351">
      <w:pPr>
        <w:rPr>
          <w:iCs/>
        </w:rPr>
      </w:pPr>
      <w:r>
        <w:rPr>
          <w:iCs/>
        </w:rPr>
        <w:t xml:space="preserve">A diverse set of import sources is beneficial for multiple reasons. Reduced dependency on one or a small number of exporters increases the probability of </w:t>
      </w:r>
      <w:proofErr w:type="gramStart"/>
      <w:r>
        <w:rPr>
          <w:iCs/>
        </w:rPr>
        <w:t>available</w:t>
      </w:r>
      <w:proofErr w:type="gramEnd"/>
      <w:r>
        <w:rPr>
          <w:iCs/>
        </w:rPr>
        <w:t xml:space="preserve"> supply when needed. Regions may have </w:t>
      </w:r>
      <w:r w:rsidR="00287BDE">
        <w:rPr>
          <w:iCs/>
        </w:rPr>
        <w:t xml:space="preserve">differences in weather and </w:t>
      </w:r>
      <w:r>
        <w:rPr>
          <w:iCs/>
        </w:rPr>
        <w:t xml:space="preserve">climate and weather, </w:t>
      </w:r>
      <w:r w:rsidR="00287BDE">
        <w:rPr>
          <w:iCs/>
        </w:rPr>
        <w:t xml:space="preserve">demand patterns, and technology mix, </w:t>
      </w:r>
      <w:r>
        <w:rPr>
          <w:iCs/>
        </w:rPr>
        <w:t>which can improve the availability of supply,</w:t>
      </w:r>
      <w:r w:rsidR="00287BDE">
        <w:rPr>
          <w:iCs/>
        </w:rPr>
        <w:t xml:space="preserve"> increase economic efficiency,</w:t>
      </w:r>
      <w:r>
        <w:rPr>
          <w:iCs/>
        </w:rPr>
        <w:t xml:space="preserve"> and may support mitigating local extreme events such as a heat wave, natural disaster, or infrastructure failure</w:t>
      </w:r>
      <w:r w:rsidR="0038353F">
        <w:rPr>
          <w:iCs/>
        </w:rPr>
        <w:t xml:space="preserve"> </w:t>
      </w:r>
      <w:r w:rsidR="0038353F">
        <w:rPr>
          <w:iCs/>
        </w:rPr>
        <w:fldChar w:fldCharType="begin"/>
      </w:r>
      <w:r w:rsidR="00287BDE">
        <w:rPr>
          <w:iCs/>
        </w:rPr>
        <w:instrText xml:space="preserve"> ADDIN ZOTERO_ITEM CSL_CITATION {"citationID":"YrJD9F13","properties":{"unsorted":true,"formattedCitation":"[15\\uc0\\u8211{}17]","plainCitation":"[15–17]","noteIndex":0},"citationItems":[{"id":482,"uris":["http://zotero.org/users/9332412/items/RHQ5ESWH"],"itemData":{"id":482,"type":"article-journal","abstract":"This paper develops a multi-country multi-sector general equilibrium model, integrating high-frequency electricity dispatch and trade decisions, to study the effects of electricity transmission infrastructure (TI) expansion and renewable energy (RE) penetration in Europe for gains from trade and carbon dioxide emissions in the power sector. TI can benefit or degrade environmental outcomes, depending on RE penetration: it complements emissions abatement by mitigating dispatch problems associated with volatile and spatially dispersed RE but also promotes higher average generation from low-cost coal if RE production is too low. Against the backdrop of European decarbonization and planned TI expansion, we find that emissions increase for current and targeted year-2020 levels of RE production and decrease for year-2030 targets. Enhanced TI yields sizeable gains from trade that depend positively on RE penetration, without creating large adverse impacts on regional equity.","container-title":"Journal of Environmental Economics and Management","DOI":"10.1016/j.jeem.2016.04.001","ISSN":"0095-0696","journalAbbreviation":"Journal of Environmental Economics and Management","page":"87-113","source":"ScienceDirect","title":"Cross-country electricity trade, renewable energy and European transmission infrastructure policy","volume":"79","author":[{"family":"Abrell","given":"Jan"},{"family":"Rausch","given":"Sebastian"}],"issued":{"date-parts":[["2016",9,1]]}}},{"id":1293,"uris":["http://zotero.org/users/9332412/items/69EHJBVW"],"itemData":{"id":1293,"type":"article-journal","abstract":"This paper develops a novel economic theory of two-way trade in a homogenous good, electricity. In this model of ‘reciprocal load smoothing,’ international trade provides insurance. As electricity demand is stochastic and correlated across jurisdictions, electric utilities can reduce their cost during peak periods by importing cheaper off-peak electricity from neighbouring jurisdictions. Two-way trade emerges in the presence of strongly convex marginal costs. Observed trade between Canadian provinces and US states strongly supports the theoretical model. Reciprocal load smoothing provides an economic rationale for integrating North America's fragmented interconnections into a continental ‘supergrid’ if technological progress in long-distance bulk transmission continues to reduce costs.","container-title":"Journal of International Economics","DOI":"10.1016/j.jinteco.2016.03.007","ISSN":"0022-1996","journalAbbreviation":"Journal of International Economics","page":"42-51","source":"ScienceDirect","title":"Cross-border trade in electricity","volume":"101","author":[{"family":"Antweiler","given":"Werner"}],"issued":{"date-parts":[["2016",7,1]]}},"label":"page"},{"id":520,"uris":["http://zotero.org/users/9332412/items/EH4LQACU"],"itemData":{"id":520,"type":"article-journal","abstract":"This paper presents empirically-estimated average hourly relationships between regional electricity trade in the western United States (US) and prices, emissions, and generation from 2015 through 2018. It provides new evidence of the short term impacts of integrating markets to inform electricity market policymakers. Consistent with economic theory, the analysis finds a negative relationship between electricity price in California and regional trade, conditional on local demand. Each 1 GWh increase in California electricity imports is associated with an average $0.15 per MWh decrease in the California Independent System Operator’s (CAISO) wholesale electricity price. There is a net-negative short-term relationship between CO2 emissions in California and electricity imports that is partially offset by positive emissions from exporting neighbors. Specifically, each 1 GWh increase in regional trade is associated with a net 70-ton average decrease in CO2 emissions across the western U.S., conditional on demand levels. The results provide evidence that electricity imports mostly displace natural gas generation on the margin in the California electricity market. A small positive relationship is observed between short-run SO2 and NOx emissions in neighboring regions and California electricity imports. The magnitude of the SO2 and NOx results suggest an average increase of 0.1 MWh from neighboring coal plants is associated with a 1 MWh increase in imports to California.","container-title":"International Journal of Sustainable Energy Planning and Management","DOI":"10.5278/ijsepm.3416","title":"Integrating energy markets: Implications of increasing electricity trade on prices and emissions in the Western United States","volume":"25","author":[{"family":"Dahlke","given":"Steven"}],"issued":{"date-parts":[["2020"]]}}}],"schema":"https://github.com/citation-style-language/schema/raw/master/csl-citation.json"} </w:instrText>
      </w:r>
      <w:r w:rsidR="0038353F">
        <w:rPr>
          <w:iCs/>
        </w:rPr>
        <w:fldChar w:fldCharType="separate"/>
      </w:r>
      <w:r w:rsidR="00287BDE" w:rsidRPr="00287BDE">
        <w:rPr>
          <w:rFonts w:cs="Times New Roman"/>
        </w:rPr>
        <w:t>[15–17]</w:t>
      </w:r>
      <w:r w:rsidR="0038353F">
        <w:rPr>
          <w:iCs/>
        </w:rPr>
        <w:fldChar w:fldCharType="end"/>
      </w:r>
      <w:r>
        <w:rPr>
          <w:iCs/>
        </w:rPr>
        <w:t>.</w:t>
      </w:r>
      <w:r w:rsidR="0064266F">
        <w:rPr>
          <w:iCs/>
        </w:rPr>
        <w:t xml:space="preserve"> On the other hand, </w:t>
      </w:r>
      <w:r w:rsidR="00AF3017">
        <w:rPr>
          <w:iCs/>
        </w:rPr>
        <w:t xml:space="preserve">achieving import diversity through additional </w:t>
      </w:r>
      <w:r w:rsidR="0064266F">
        <w:rPr>
          <w:iCs/>
        </w:rPr>
        <w:t>trad</w:t>
      </w:r>
      <w:r w:rsidR="00AF3017">
        <w:rPr>
          <w:iCs/>
        </w:rPr>
        <w:t>ing relationships</w:t>
      </w:r>
      <w:r w:rsidR="0064266F">
        <w:rPr>
          <w:iCs/>
        </w:rPr>
        <w:t xml:space="preserve"> with </w:t>
      </w:r>
      <w:r w:rsidR="00AF3017">
        <w:rPr>
          <w:iCs/>
        </w:rPr>
        <w:t xml:space="preserve">neighboring systems </w:t>
      </w:r>
      <w:r w:rsidR="0064266F">
        <w:rPr>
          <w:iCs/>
        </w:rPr>
        <w:t xml:space="preserve">may </w:t>
      </w:r>
      <w:r w:rsidR="00AF3017">
        <w:rPr>
          <w:iCs/>
        </w:rPr>
        <w:t>require</w:t>
      </w:r>
      <w:r w:rsidR="0064266F">
        <w:rPr>
          <w:iCs/>
        </w:rPr>
        <w:t xml:space="preserve"> </w:t>
      </w:r>
      <w:r w:rsidR="00086274">
        <w:rPr>
          <w:iCs/>
        </w:rPr>
        <w:t xml:space="preserve">managing </w:t>
      </w:r>
      <w:r w:rsidR="0064266F">
        <w:rPr>
          <w:iCs/>
        </w:rPr>
        <w:t xml:space="preserve">greater transaction costs and administrative </w:t>
      </w:r>
      <w:r w:rsidR="00086274">
        <w:rPr>
          <w:iCs/>
        </w:rPr>
        <w:t>requirements</w:t>
      </w:r>
      <w:r w:rsidR="0064266F">
        <w:rPr>
          <w:iCs/>
        </w:rPr>
        <w:t xml:space="preserve">, as different </w:t>
      </w:r>
      <w:r w:rsidR="00086274">
        <w:rPr>
          <w:iCs/>
        </w:rPr>
        <w:t>balancing authorities</w:t>
      </w:r>
      <w:r w:rsidR="0064266F">
        <w:rPr>
          <w:iCs/>
        </w:rPr>
        <w:t xml:space="preserve"> have varying </w:t>
      </w:r>
      <w:r w:rsidR="00A701D0">
        <w:rPr>
          <w:iCs/>
        </w:rPr>
        <w:t xml:space="preserve">trading procedures </w:t>
      </w:r>
      <w:r w:rsidR="00A701D0">
        <w:rPr>
          <w:iCs/>
        </w:rPr>
        <w:fldChar w:fldCharType="begin"/>
      </w:r>
      <w:r w:rsidR="00596E5F">
        <w:rPr>
          <w:iCs/>
        </w:rPr>
        <w:instrText xml:space="preserve"> ADDIN ZOTERO_ITEM CSL_CITATION {"citationID":"R1jP3Exv","properties":{"unsorted":true,"formattedCitation":"[18]","plainCitation":"[18]","noteIndex":0},"citationItems":[{"id":1289,"uris":["http://zotero.org/users/9332412/items/YCQK2S4D"],"itemData":{"id":1289,"type":"report","abstract":"There are 'seams' when TSOs (Transmission System Operators) do not perform the same tasks in the same manner on the different sides of their borders. Seams are consequential for electricity systems because power flows are strongly interactive where interconnected grids link many TSOs and countries like in the EU. Seams are very consequential in the EU because we have a common continental open market while access to the grids, congestion management, and balancing of the flows are performed by individual TSOs. It took 20 years to the EU to really address this 'seams' issue: why? How did it change and how far? Will the EU new 'Network Codes' finally create a seamless EU interconnected system and internal market? Or not?","genre":"Working Paper","language":"en","note":"Accepted: 2017-09-22T13:24:12Z\nISSN: 1028-3625","source":"cadmus.eui.eu","title":"Twenty years to address electricity market and system seams issues in the European Union : why? why not?","title-short":"Twenty years to address electricity market and system seams issues in the European Union","URL":"https://cadmus.eui.eu/handle/1814/48048","author":[{"family":"Glachant","given":"Jean-Michel"}],"accessed":{"date-parts":[["2024",9,8]]},"issued":{"date-parts":[["2017"]]}}}],"schema":"https://github.com/citation-style-language/schema/raw/master/csl-citation.json"} </w:instrText>
      </w:r>
      <w:r w:rsidR="00A701D0">
        <w:rPr>
          <w:iCs/>
        </w:rPr>
        <w:fldChar w:fldCharType="separate"/>
      </w:r>
      <w:r w:rsidR="00596E5F" w:rsidRPr="00596E5F">
        <w:t>[18]</w:t>
      </w:r>
      <w:r w:rsidR="00A701D0">
        <w:rPr>
          <w:iCs/>
        </w:rPr>
        <w:fldChar w:fldCharType="end"/>
      </w:r>
      <w:r w:rsidR="00A701D0">
        <w:rPr>
          <w:iCs/>
        </w:rPr>
        <w:t xml:space="preserve">. Furthermore, expanding the physical links across </w:t>
      </w:r>
      <w:r w:rsidR="00082542">
        <w:rPr>
          <w:iCs/>
        </w:rPr>
        <w:t>systems</w:t>
      </w:r>
      <w:r w:rsidR="00A701D0">
        <w:rPr>
          <w:iCs/>
        </w:rPr>
        <w:t xml:space="preserve"> needed to </w:t>
      </w:r>
      <w:r w:rsidR="00DD5D80">
        <w:rPr>
          <w:iCs/>
        </w:rPr>
        <w:t xml:space="preserve">enhance diversity </w:t>
      </w:r>
      <w:r w:rsidR="00A701D0">
        <w:rPr>
          <w:iCs/>
        </w:rPr>
        <w:t xml:space="preserve">can be </w:t>
      </w:r>
      <w:r w:rsidR="002D2DBE">
        <w:rPr>
          <w:iCs/>
        </w:rPr>
        <w:t xml:space="preserve">slowed down </w:t>
      </w:r>
      <w:r w:rsidR="00A701D0">
        <w:rPr>
          <w:iCs/>
        </w:rPr>
        <w:t xml:space="preserve">by incompatible infrastructure cost allocation </w:t>
      </w:r>
      <w:r w:rsidR="00DD5D80">
        <w:rPr>
          <w:iCs/>
        </w:rPr>
        <w:t xml:space="preserve">and development </w:t>
      </w:r>
      <w:r w:rsidR="00A701D0">
        <w:rPr>
          <w:iCs/>
        </w:rPr>
        <w:t xml:space="preserve">procedures </w:t>
      </w:r>
      <w:r w:rsidR="002D2DBE">
        <w:rPr>
          <w:iCs/>
        </w:rPr>
        <w:t xml:space="preserve">across regions </w:t>
      </w:r>
      <w:r w:rsidR="00A701D0">
        <w:rPr>
          <w:iCs/>
        </w:rPr>
        <w:fldChar w:fldCharType="begin"/>
      </w:r>
      <w:r w:rsidR="00DD5D80">
        <w:rPr>
          <w:iCs/>
        </w:rPr>
        <w:instrText xml:space="preserve"> ADDIN ZOTERO_ITEM CSL_CITATION {"citationID":"lsVK2PZL","properties":{"unsorted":true,"formattedCitation":"[19,20]","plainCitation":"[19,20]","noteIndex":0},"citationItems":[{"id":1287,"uris":["http://zotero.org/users/9332412/items/U97IIA3J"],"itemData":{"id":1287,"type":"report","publisher":"R Street Institute","source":"JSTOR","title":"Efficient Solutions for Issues in Electricity Seams","URL":"https://www.jstor.org/stable/resrep30569","author":[{"family":"Kavulla","given":"Travis"}],"accessed":{"date-parts":[["2024",9,8]]},"issued":{"date-parts":[["2019"]]}},"label":"page"},{"id":1291,"uris":["http://zotero.org/users/9332412/items/SDJP3VC7"],"itemData":{"id":1291,"type":"article-journal","container-title":"George Washington Journal of Energy and Environmental Law","journalAbbreviation":"Geo. Wash. J. Energy &amp; Env't L.","page":"82","title":"Do Grid Operators Dream of Electric Seams?: Coordinating Interregional Transmission Stakeholders to Improve Energy Deliverability","title-short":"Do Grid Operators Dream of Electric Seams?","volume":"13","author":[{"family":"Li","given":"Divina"}],"issued":{"date-parts":[["2022"]]}}}],"schema":"https://github.com/citation-style-language/schema/raw/master/csl-citation.json"} </w:instrText>
      </w:r>
      <w:r w:rsidR="00A701D0">
        <w:rPr>
          <w:iCs/>
        </w:rPr>
        <w:fldChar w:fldCharType="separate"/>
      </w:r>
      <w:r w:rsidR="00DD5D80" w:rsidRPr="00DD5D80">
        <w:t>[19,20]</w:t>
      </w:r>
      <w:r w:rsidR="00A701D0">
        <w:rPr>
          <w:iCs/>
        </w:rPr>
        <w:fldChar w:fldCharType="end"/>
      </w:r>
      <w:r w:rsidR="00A701D0">
        <w:rPr>
          <w:iCs/>
        </w:rPr>
        <w:t>.</w:t>
      </w:r>
    </w:p>
    <w:p w14:paraId="0747C5FC" w14:textId="2982B829" w:rsidR="00014F09" w:rsidRDefault="0038353F" w:rsidP="00014F09">
      <w:pPr>
        <w:rPr>
          <w:color w:val="000000"/>
        </w:rPr>
      </w:pPr>
      <w:r>
        <w:rPr>
          <w:iCs/>
        </w:rPr>
        <w:t xml:space="preserve">It is useful in this context to apply a metric </w:t>
      </w:r>
      <w:r w:rsidR="00122546">
        <w:rPr>
          <w:iCs/>
        </w:rPr>
        <w:t xml:space="preserve">for </w:t>
      </w:r>
      <w:r>
        <w:rPr>
          <w:iCs/>
        </w:rPr>
        <w:t xml:space="preserve">quantifying </w:t>
      </w:r>
      <w:r w:rsidR="00122546">
        <w:rPr>
          <w:iCs/>
        </w:rPr>
        <w:t xml:space="preserve">and comparing </w:t>
      </w:r>
      <w:r w:rsidR="003F5C29">
        <w:rPr>
          <w:iCs/>
        </w:rPr>
        <w:t>import diversity</w:t>
      </w:r>
      <w:r>
        <w:rPr>
          <w:iCs/>
        </w:rPr>
        <w:t xml:space="preserve">. </w:t>
      </w:r>
      <w:r w:rsidR="003C0D21">
        <w:rPr>
          <w:iCs/>
        </w:rPr>
        <w:t>T</w:t>
      </w:r>
      <w:r>
        <w:rPr>
          <w:iCs/>
        </w:rPr>
        <w:t>he Shannon Diversity Index</w:t>
      </w:r>
      <w:r w:rsidR="003C0D21">
        <w:rPr>
          <w:iCs/>
        </w:rPr>
        <w:t xml:space="preserve"> is useful for this application. </w:t>
      </w:r>
      <w:r w:rsidR="003C0D21">
        <w:rPr>
          <w:color w:val="000000"/>
        </w:rPr>
        <w:t xml:space="preserve">It </w:t>
      </w:r>
      <w:r w:rsidR="005E444D">
        <w:rPr>
          <w:color w:val="000000"/>
        </w:rPr>
        <w:t xml:space="preserve">was </w:t>
      </w:r>
      <w:r w:rsidR="003C0D21">
        <w:rPr>
          <w:color w:val="000000"/>
        </w:rPr>
        <w:t xml:space="preserve">initially applied through </w:t>
      </w:r>
      <w:r w:rsidR="00402F1D">
        <w:rPr>
          <w:color w:val="000000"/>
        </w:rPr>
        <w:t>information</w:t>
      </w:r>
      <w:r w:rsidR="008E5C0B">
        <w:rPr>
          <w:color w:val="000000"/>
        </w:rPr>
        <w:t xml:space="preserve"> </w:t>
      </w:r>
      <w:r w:rsidR="00295051" w:rsidRPr="00295051">
        <w:rPr>
          <w:color w:val="000000"/>
        </w:rPr>
        <w:t xml:space="preserve">theory </w:t>
      </w:r>
      <w:r w:rsidR="005E444D">
        <w:rPr>
          <w:color w:val="000000"/>
        </w:rPr>
        <w:t xml:space="preserve">to measure </w:t>
      </w:r>
      <w:r w:rsidR="00466BE8">
        <w:rPr>
          <w:color w:val="000000"/>
        </w:rPr>
        <w:t xml:space="preserve">the </w:t>
      </w:r>
      <w:r w:rsidR="00DD6380">
        <w:rPr>
          <w:color w:val="000000"/>
        </w:rPr>
        <w:t xml:space="preserve">quantity of information </w:t>
      </w:r>
      <w:r w:rsidR="00E25254">
        <w:rPr>
          <w:color w:val="000000"/>
        </w:rPr>
        <w:t>in</w:t>
      </w:r>
      <w:r w:rsidR="005C3B3D">
        <w:rPr>
          <w:color w:val="000000"/>
        </w:rPr>
        <w:t>cluded in</w:t>
      </w:r>
      <w:r w:rsidR="00955682">
        <w:rPr>
          <w:color w:val="000000"/>
        </w:rPr>
        <w:t xml:space="preserve"> a </w:t>
      </w:r>
      <w:r w:rsidR="00012C55">
        <w:rPr>
          <w:color w:val="000000"/>
        </w:rPr>
        <w:t>communication signal</w:t>
      </w:r>
      <w:r w:rsidR="00955682">
        <w:rPr>
          <w:color w:val="000000"/>
        </w:rPr>
        <w:t xml:space="preserve"> </w:t>
      </w:r>
      <w:r w:rsidR="00692699">
        <w:rPr>
          <w:color w:val="000000"/>
        </w:rPr>
        <w:fldChar w:fldCharType="begin"/>
      </w:r>
      <w:r>
        <w:rPr>
          <w:color w:val="000000"/>
        </w:rPr>
        <w:instrText xml:space="preserve"> ADDIN ZOTERO_ITEM CSL_CITATION {"citationID":"tyLj8ulh","properties":{"formattedCitation":"[21]","plainCitation":"[21]","noteIndex":0},"citationItems":[{"id":522,"uris":["http://zotero.org/users/9332412/items/RGA4KMYV"],"itemData":{"id":522,"type":"article-journal","container-title":"The Bell System Technical Journal","DOI":"10.1002/j.1538-7305.1948.tb01338.x","issue":"3","page":"379-423","title":"A mathematical theory of communication","volume":"27","author":[{"family":"Shannon","given":"C E"}],"issued":{"date-parts":[["1948"]]}}}],"schema":"https://github.com/citation-style-language/schema/raw/master/csl-citation.json"} </w:instrText>
      </w:r>
      <w:r w:rsidR="00692699">
        <w:rPr>
          <w:color w:val="000000"/>
        </w:rPr>
        <w:fldChar w:fldCharType="separate"/>
      </w:r>
      <w:r w:rsidRPr="0038353F">
        <w:t>[21]</w:t>
      </w:r>
      <w:r w:rsidR="00692699">
        <w:rPr>
          <w:color w:val="000000"/>
        </w:rPr>
        <w:fldChar w:fldCharType="end"/>
      </w:r>
      <w:r w:rsidR="00295051" w:rsidRPr="00295051">
        <w:rPr>
          <w:color w:val="000000"/>
        </w:rPr>
        <w:t xml:space="preserve">. </w:t>
      </w:r>
      <w:r w:rsidR="005E444D">
        <w:rPr>
          <w:color w:val="000000"/>
        </w:rPr>
        <w:t xml:space="preserve">Since then, it </w:t>
      </w:r>
      <w:r w:rsidR="00955682">
        <w:rPr>
          <w:color w:val="000000"/>
        </w:rPr>
        <w:t>ha</w:t>
      </w:r>
      <w:r w:rsidR="00B13ECD">
        <w:rPr>
          <w:color w:val="000000"/>
        </w:rPr>
        <w:t>s</w:t>
      </w:r>
      <w:r w:rsidR="00295051" w:rsidRPr="00295051">
        <w:rPr>
          <w:color w:val="000000"/>
        </w:rPr>
        <w:t xml:space="preserve"> </w:t>
      </w:r>
      <w:r w:rsidR="008A3776">
        <w:rPr>
          <w:color w:val="000000"/>
        </w:rPr>
        <w:t xml:space="preserve">been </w:t>
      </w:r>
      <w:r w:rsidR="00295051" w:rsidRPr="00295051">
        <w:rPr>
          <w:color w:val="000000"/>
        </w:rPr>
        <w:t>applied as a measure of diversity for a range of applications, notably in ecologic systems</w:t>
      </w:r>
      <w:r w:rsidR="00402F1D">
        <w:rPr>
          <w:color w:val="000000"/>
        </w:rPr>
        <w:t xml:space="preserve"> </w:t>
      </w:r>
      <w:r w:rsidR="00EC4DCC">
        <w:rPr>
          <w:color w:val="000000"/>
        </w:rPr>
        <w:fldChar w:fldCharType="begin"/>
      </w:r>
      <w:r>
        <w:rPr>
          <w:color w:val="000000"/>
        </w:rPr>
        <w:instrText xml:space="preserve"> ADDIN ZOTERO_ITEM CSL_CITATION {"citationID":"N38IZlgg","properties":{"formattedCitation":"[22,23]","plainCitation":"[22,23]","noteIndex":0},"citationItems":[{"id":454,"uris":["http://zotero.org/users/9332412/items/6V2W43Q3"],"itemData":{"id":454,"type":"article-journal","note":"publisher: Real Academia de Ciencias y Artes de Barcelona","source":"Google Scholar","title":"Information theory in ecology","URL":"https://digital.csic.es/handle/10261/284346","author":[{"family":"Margalef","given":"Ramon"}],"accessed":{"date-parts":[["2024",8,27]]},"issued":{"date-parts":[["1973"]]}}},{"id":453,"uris":["http://zotero.org/users/9332412/items/FHGJUC66"],"itemData":{"id":453,"type":"article-journal","abstract":"Information content may be used as a measure of the diversity of a many-species biological collection. The diversity of small collections, all of whose members can be identified and counted, is defined by Brillouin's measure of information. With larger collections it becomes necessary to estimate diversity; what is estimated is Shannon's measure of information which is a function of the population proportions of the several species. Different methods of estimation are appropriate for different types of collections. If the collection can be randomly sampled and the total number of species is known, Basharin's formula may be used. With a random sample from a population containing an unknown number of species, Good's method is sometimes applicable. With a patchy population of sessile organisms, such as a plant community, random samples are unobtainable since the contents of a randomly placed quadrat are not a random sample of the parent population. To estimate the diversity of such a community a method is proposed whereby the sample size is progressively increased by addition of new quadrats; as this is done the diversity of the pooled sample increases and then levels off. The mean increment in total diversity that results from enlarging the sample still more then provides an estimate of the diversity per individual in the whole population.","container-title":"Journal of Theoretical Biology","DOI":"10.1016/0022-5193(66)90013-0","ISSN":"0022-5193","journalAbbreviation":"Journal of Theoretical Biology","page":"131-144","source":"ScienceDirect","title":"The measurement of diversity in different types of biological collections","volume":"13","author":[{"family":"Pielou","given":"E. C."}],"issued":{"date-parts":[["1966",12,1]]}}}],"schema":"https://github.com/citation-style-language/schema/raw/master/csl-citation.json"} </w:instrText>
      </w:r>
      <w:r w:rsidR="00EC4DCC">
        <w:rPr>
          <w:color w:val="000000"/>
        </w:rPr>
        <w:fldChar w:fldCharType="separate"/>
      </w:r>
      <w:r w:rsidRPr="0038353F">
        <w:t>[22,23]</w:t>
      </w:r>
      <w:r w:rsidR="00EC4DCC">
        <w:rPr>
          <w:color w:val="000000"/>
        </w:rPr>
        <w:fldChar w:fldCharType="end"/>
      </w:r>
      <w:r w:rsidR="00295051" w:rsidRPr="00295051">
        <w:rPr>
          <w:color w:val="000000"/>
        </w:rPr>
        <w:t xml:space="preserve"> </w:t>
      </w:r>
      <w:r w:rsidR="005B712A">
        <w:rPr>
          <w:color w:val="000000"/>
        </w:rPr>
        <w:t xml:space="preserve">and economics </w:t>
      </w:r>
      <w:r w:rsidR="005B712A">
        <w:rPr>
          <w:color w:val="000000"/>
        </w:rPr>
        <w:fldChar w:fldCharType="begin"/>
      </w:r>
      <w:r>
        <w:rPr>
          <w:color w:val="000000"/>
        </w:rPr>
        <w:instrText xml:space="preserve"> ADDIN ZOTERO_ITEM CSL_CITATION {"citationID":"oLhydeUO","properties":{"formattedCitation":"[24]","plainCitation":"[24]","noteIndex":0},"citationItems":[{"id":1265,"uris":["http://zotero.org/users/9332412/items/8HETGSHS"],"itemData":{"id":1265,"type":"article-journal","container-title":"Science Policy Research Unit (SPRU), Electronic Working Papers Series, Paper","note":"publisher: Citeseer","page":"1–156","source":"Google Scholar","title":"On the economics and analysis of diversity","volume":"28","author":[{"family":"Stirling","given":"Andrew"}],"issued":{"date-parts":[["1998"]]}}}],"schema":"https://github.com/citation-style-language/schema/raw/master/csl-citation.json"} </w:instrText>
      </w:r>
      <w:r w:rsidR="005B712A">
        <w:rPr>
          <w:color w:val="000000"/>
        </w:rPr>
        <w:fldChar w:fldCharType="separate"/>
      </w:r>
      <w:r w:rsidRPr="0038353F">
        <w:t>[24]</w:t>
      </w:r>
      <w:r w:rsidR="005B712A">
        <w:rPr>
          <w:color w:val="000000"/>
        </w:rPr>
        <w:fldChar w:fldCharType="end"/>
      </w:r>
      <w:r w:rsidR="003C0D21">
        <w:rPr>
          <w:color w:val="000000"/>
        </w:rPr>
        <w:t>.</w:t>
      </w:r>
      <w:r w:rsidR="00014F09">
        <w:rPr>
          <w:color w:val="000000"/>
        </w:rPr>
        <w:t xml:space="preserve"> </w:t>
      </w:r>
    </w:p>
    <w:p w14:paraId="09E8C5D8" w14:textId="6F840E9D" w:rsidR="003C0D21" w:rsidRPr="00C62DF2" w:rsidRDefault="00014F09" w:rsidP="003C0D21">
      <w:r>
        <w:t xml:space="preserve">The Shannon Diversity Index </w:t>
      </w:r>
      <w:r>
        <w:rPr>
          <w:iCs/>
        </w:rPr>
        <w:t xml:space="preserve">(herein “diversity index”) </w:t>
      </w:r>
      <w:r>
        <w:t>has</w:t>
      </w:r>
      <w:r w:rsidR="00FB4AAC">
        <w:t xml:space="preserve"> also</w:t>
      </w:r>
      <w:r>
        <w:t xml:space="preserve"> been widely considered in energy security-focused studies as a metric for diversity of primary energy and energy import sources, commonly at the nation-state level </w:t>
      </w:r>
      <w:r w:rsidR="00381D54">
        <w:t xml:space="preserve">as part of geo-political energy analysis </w:t>
      </w:r>
      <w:r>
        <w:fldChar w:fldCharType="begin"/>
      </w:r>
      <w:r>
        <w:instrText xml:space="preserve"> ADDIN ZOTERO_ITEM CSL_CITATION {"citationID":"6XTIEyTN","properties":{"unsorted":true,"formattedCitation":"[27\\uc0\\u8211{}41]","plainCitation":"[27–41]","noteIndex":0},"citationItems":[{"id":462,"uris":["http://zotero.org/users/9332412/items/TXUYSFD4"],"itemData":{"id":462,"type":"article-journal","abstract":"Global concerns for the security of energy have steadily been on the increase and are expected to become a major issue over the next few decades. Urgent policy response is thus essential. However, little attempt has been made at defining both energy security and energy metrics. In this study, we provide such metrics and apply them to four major energy sources in the Korean electricity market: coal, oil, liquefied natural gas, and nuclear. In our approach, we measure the cost of energy security in terms of supply disruption and price volatility, and we consider the degree of concentration in energy supply and demand using the Hirschman–Herfindahl index (HHI). Due to its balanced fuel supply and demand, relatively stable price, and high abundance, we find nuclear energy to be the most competitive energy source in terms of energy security in the Korean electricity market. LNG, on the other hand, was found to have the highest cost in term of energy security due to its high concentration in supply and demand, and its high price volatility. In addition, in terms of cost, we find that economic security dominates supply security, and as such, it is the main factor in the total security cost. Within the confines of concern for global energy security, our study both broadens our understanding of energy security and enables a strategic approach in the portfolio management of energy consumption.","container-title":"Applied Energy","DOI":"10.1016/j.apenergy.2008.11.028","ISSN":"0306-2619","issue":"10","journalAbbreviation":"Applied Energy","page":"1894-1901","source":"ScienceDirect","title":"The analysis of security cost for different energy sources","volume":"86","author":[{"family":"Jun","given":"Eunju"},{"family":"Kim","given":"Wonjoon"},{"family":"Chang","given":"Soon Heung"}],"issued":{"date-parts":[["2009",10,1]]}}},{"id":460,"uris":["http://zotero.org/users/9332412/items/MN7RZL3X"],"itemData":{"id":460,"type":"article-journal","abstract":"The concept of energy security is widely used, yet there is no consensus on its precise interpretation. In this research, we have provided an overview of available indicators for long-term security of supply (SOS). We distinguished four dimensions of energy security that relate to the availability, accessibility, affordability and acceptability of energy and classified indicators for energy security according to this taxonomy. There is no one ideal indicator, as the notion of energy security is highly context dependent. Rather, applying multiple indicators leads to a broader understanding. Incorporating these indicators in model-based scenario analysis showed accelerated depletion of currently known fossil resources due to increasing global demand. Coupled with increasing spatial discrepancy between consumption and production, international trade in energy carriers is projected to have increased by 142% in 2050 compared to 2008. Oil production is projected to become increasingly concentrated in a few countries up to 2030, after which production from other regions diversifies the market. Under stringent climate policies, this diversification may not occur due to reduced demand for oil. Possible benefits of climate policy include increased fuel diversity and slower depletion of fossil resources.","collection-title":"China Energy Efficiency","container-title":"Energy Policy","DOI":"10.1016/j.enpol.2009.02.006","ISSN":"0301-4215","issue":"6","journalAbbreviation":"Energy Policy","page":"2166-2181","source":"ScienceDirect","title":"Indicators for energy security","volume":"37","author":[{"family":"Kruyt","given":"Bert"},{"family":"Vuuren","given":"D. P.","non-dropping-particle":"van"},{"family":"Vries","given":"H. J. M.","non-dropping-particle":"de"},{"family":"Groenenberg","given":"H."}],"issued":{"date-parts":[["2009",6,1]]}}},{"id":470,"uris":["http://zotero.org/users/9332412/items/2J5AN7SN"],"itemData":{"id":470,"type":"article-journal","abstract":"Facing the risk and uncertainty inherent in social and economic development, many countries have adopted an energy supply diversification strategy in their energy security policy to control the energy import risk and cost to ensure that sufficient energy can be obtained at an affordable price level. Diversification helps the energy system respond to external changes and shocks. Diversification can also lessen the vulnerability of a single energy source to supply shocks and the market power of various energy supply sources. This study develops the “diversity reliability index” and “co-vary diversity reliability index” based on the Hirschman–Herfindahl and Shannon–Wiener indices, investigates the contribution of different energy sources to the energy system, and analyzes the covariance between various energies and their impacts on energy security to determine the impact of energy diversity in reducing the risk of energy supply shortages and cost fluctuations.","container-title":"Renewable and Sustainable Energy Reviews","DOI":"10.1016/j.rser.2013.03.021","ISSN":"1364-0321","journalAbbreviation":"Renewable and Sustainable Energy Reviews","page":"9-20","source":"ScienceDirect","title":"Energy security and improvements in the function of diversity indices—Taiwan energy supply structure case study","volume":"24","author":[{"family":"Chuang","given":"Ming Chih"},{"family":"Ma","given":"Hwong Wen"}],"issued":{"date-parts":[["2013",8,1]]}}},{"id":464,"uris":["http://zotero.org/users/9332412/items/7WZQ9TKG"],"itemData":{"id":464,"type":"article-journal","abstract":"An “Aggregated Energy Security Performance Indicator (AESPI)” has been developed by considering 25 individual indicators representing social, economy and environmental dimensions. The principle used, data required and the methodology for the development of AESPI have been detailed. AESPI requires time series data for its development and its value ranges from 0 to 10. The characteristics of AESPI have been compared with the existing indicators in terms of methodology, data requirements, analysis possible and the applications. The advantages of AESPI is that it not only assists in knowing the past energy security status of a country, but also helps in assessing the future status considering the energy policies and plans of the country, thus enabling the monitoring of the impacts of the policies.","container-title":"Applied Energy","DOI":"10.1016/j.apenergy.2012.10.027","ISSN":"0306-2619","journalAbbreviation":"Applied Energy","page":"653-670","source":"ScienceDirect","title":"An aggregated energy security performance indicator","volume":"103","author":[{"family":"Martchamadol","given":"Jutamanee"},{"family":"Kumar","given":"S."}],"issued":{"date-parts":[["2013",3,1]]}}},{"id":463,"uris":["http://zotero.org/users/9332412/items/8FMTSLUN"],"itemData":{"id":463,"type":"article-journal","abstract":"How would a low-carbon energy transformation affect energy security? This paper proposes a framework to evaluate energy security under long-term energy scenarios generated by integrated assessment models. Energy security is defined as low vulnerability of vital energy systems, delineated along geographic and sectoral boundaries. The proposed framework considers vulnerability as a combination of risks associated with inter-regional energy trade and resilience reflected in energy intensity and diversity of energy sources and technologies. We apply this framework to 43 scenarios generated by the MESSAGE model as part of the Global Energy Assessment, including one baseline scenario and 42 ‘low-carbon’ scenarios where the global mean temperature increase is limited to 2°C over the pre-industrial level. By and large, low-carbon scenarios are associated with lower energy trade and higher diversity of energy options, especially in the transport sector. A few risks do emerge under low-carbon scenarios in the latter half of the century. They include potentially high trade in natural gas and hydrogen and low diversity of electricity sources. Trade is typically lower in scenarios which emphasize demand-side policies as well as non-tradable energy sources (nuclear and renewables) while diversity is higher in scenarios which limit the penetration of intermittent renewables.","container-title":"Energy Policy","DOI":"10.1016/j.enpol.2013.10.051","ISSN":"0301-4215","journalAbbreviation":"Energy Policy","page":"743-760","source":"ScienceDirect","title":"Energy security under de-carbonization scenarios: An assessment framework and evaluation under different technology and policy choices","title-short":"Energy security under de-carbonization scenarios","volume":"65","author":[{"family":"Jewell","given":"Jessica"},{"family":"Cherp","given":"Aleh"},{"family":"Riahi","given":"Keywan"}],"issued":{"date-parts":[["2014",2,1]]}}},{"id":473,"uris":["http://zotero.org/users/9332412/items/Z9HFGVSP"],"itemData":{"id":473,"type":"article-journal","abstract":"In order to maintain or improve a jurisdiction's energy security, its energy system needs to meet the demands of its energy services with affordable and preferably environmentally acceptable flows of energy. Since diversity can be a factor in the long-term survival of a system, having a diversity of energy flows is frequently treated as a proxy for energy security. This paper examines the relationship between energy security and the diversity of an energy system's energy flows using a set of energy security indicators and the Shannon–Wiener diversity index. Although diversity may be considered necessary for maintaining and improving energy security, the quantitative analysis of the relationship shows that an energy flow considered diverse need not be secure and that a secure energy flow need not be considered diverse. Examples of this relationship are included. These findings can prove useful to policy makers and energy analysts when developing transition strategies for a jurisdiction's energy system.","container-title":"Energy","DOI":"10.1016/j.energy.2014.05.108","ISSN":"0360-5442","journalAbbreviation":"Energy","page":"137-144","source":"ScienceDirect","title":"Energy security and the diversity of energy flows in an energy system","volume":"73","author":[{"family":"Ranjan","given":"Ashish"},{"family":"Hughes","given":"Larry"}],"issued":{"date-parts":[["2014",8,14]]}}},{"id":468,"uris":["http://zotero.org/users/9332412/items/MTZ88W4B"],"itemData":{"id":468,"type":"article-journal","abstract":"Various metrics exist for energy security assessment along with a diffuse array of different strategies for improving national performance. These independent and interacted metrics overlap, however, and are rarely considered systematically. The objective of this study is to translate often subjective concepts of energy security into more objective criteria, to investigate the cause-effect relationships among these different metrics, and to provide some recommendations for the stakeholders to draft efficacious measures for enhancing energy security. To accomplish this feat, the study utilizes a DEMATEL (Fuzzy Decision-making Trial and Evaluation Laboratory) methodology to analyze collected data, reveal cause-effect relationships, and prioritize energy security strategies. To apply our theoretical results in practice, we include a brief case study of China. We conclude that the availability and affordability dimensions of energy security are most impactful to a nation's overall energy security, and that the promotion of renewable energy and diversification are compelling national energy security strategies, both for China and other countries.","container-title":"Energy","DOI":"10.1016/j.energy.2014.08.083","ISSN":"0360-5442","journalAbbreviation":"Energy","page":"838-849","source":"ScienceDirect","title":"Quantifying, measuring, and strategizing energy security: Determining the most meaningful dimensions and metrics","title-short":"Quantifying, measuring, and strategizing energy security","volume":"76","author":[{"family":"Ren","given":"Jingzheng"},{"family":"Sovacool","given":"Benjamin K."}],"issued":{"date-parts":[["2014",11,1]]}}},{"id":474,"uris":["http://zotero.org/users/9332412/items/DLP465N6"],"itemData":{"id":474,"type":"article-journal","abstract":"Energy security has been an actively studied area in recent years. Various facets have been covered in the literature. Based on a survey of 104 studies from 2001 to June 2014, this paper reports the findings on the following: energy security definitions, changes in the themes of these definitions, energy security indexes, specific focused areas and methodological issues in the construction of these indexes, and energy security in the wider context of national energy policy. It is found that the definition of energy security is contextual and dynamic in nature. The scope of energy security has also expanded, with a growing emphasis on dimensions such as environmental sustainability and energy efficiency. Significant differences among studies are observed in the way in which energy security indexes are framed and constructed. These variations introduce challenges in comparing the findings among studies. Based on these findings, recommendations on studying energy security and the construction of energy security indexes are presented.","container-title":"Renewable and Sustainable Energy Reviews","DOI":"10.1016/j.rser.2014.10.064","ISSN":"1364-0321","journalAbbreviation":"Renewable and Sustainable Energy Reviews","page":"1077-1093","source":"ScienceDirect","title":"Energy security: Definitions, dimensions and indexes","title-short":"Energy security","volume":"42","author":[{"family":"Ang","given":"B. W."},{"family":"Choong","given":"W. L."},{"family":"Ng","given":"T. S."}],"issued":{"date-parts":[["2015",2,1]]}}},{"id":471,"uris":["http://zotero.org/users/9332412/items/ASEUKAQD"],"itemData":{"id":471,"type":"article-journal","abstract":"This study presents an assessment of Indonesia's energy security performance through measurement of its energy security index for the selected years of 2008–2013. This study conceptualizes energy security as consisting of five dimensions: availability, affordability, accessibility, acceptability and efficiency. These dimensions are selected through a review of energy security concepts that are widely used in previous publications. The dimensions are composed into 14 indicators used to assess energy security. This study analyzed 71 countries to assess the energy security performance. The indicators were normalized using the min – max method and weighted based on principal component analysis or equal weighting. Based on the analysis, Indonesia's energy security performance shows an increasing trend between 2008 and 2013; this increase was due to the improvements of the availability, affordability and accessibility dimensions. The average value of Indonesia's energy security index throughout the selected years is 0.473. The ESI result from 71 countries shows that Indonesia ranks 55.","container-title":"Energy","DOI":"10.1016/j.energy.2016.05.100","ISSN":"0360-5442","journalAbbreviation":"Energy","page":"364-376","source":"ScienceDirect","title":"An assessment of Indonesia's energy security index and comparison with seventy countries","volume":"111","author":[{"family":"Erahman","given":"Qodri Febrilian"},{"family":"Purwanto","given":"Widodo Wahyu"},{"family":"Sudibandriyo","given":"Mahmud"},{"family":"Hidayatno","given":"Akhmad"}],"issued":{"date-parts":[["2016",9,15]]}}},{"id":469,"uris":["http://zotero.org/users/9332412/items/FCQRBS6K"],"itemData":{"id":469,"type":"article-journal","abstract":"China has been the world's largest energy consumer and producer for many years, yet while myriad studies have investigated Chinese performance on energy metrics compared to other countries, few to none have looked internally at Chinese provinces. This paper firstly develops a five-dimensional evaluation system centered on the energy security dimensions of availability and diversity, affordability and equality, technology and efficiency, environmental sustainability, and governance and innovation. It then correlates these dimensions to 20 distinct energy security metrics that are used to assess the energy security performance of 30 Chinese provinces, divided into eight regions. Our results reveal both trends in energy policy and practice as well as provincial status of comparative energy security for the year 2013. We find, for instance, that there is no province which performs well in all five of the energy security dimensions, and that all provinces confronted threats related to energy availability and diversity. We also demonstrate that in comparative terms, the Middle Reaches of Yellow River and the Northwest were the most energy-secure, while the Middle Reaches of Yangtze River and the Northeast were least energy-secure.","container-title":"Energy","DOI":"10.1016/j.energy.2016.12.030","ISSN":"0360-5442","journalAbbreviation":"Energy","page":"825-836","source":"ScienceDirect","title":"Measuring energy security performance within China: Toward an inter-provincial prospective","title-short":"Measuring energy security performance within China","volume":"125","author":[{"family":"Zhang","given":"Long"},{"family":"Yu","given":"Jing"},{"family":"Sovacool","given":"Benjamin K."},{"family":"Ren","given":"Jingzheng"}],"issued":{"date-parts":[["2017",4,15]]}}},{"id":472,"uris":["http://zotero.org/users/9332412/items/LFBE2P7F"],"itemData":{"id":472,"type":"article-journal","abstract":"It is vitally important for all countries to ensure they have a secure energy supply. This is especially true for European Union (EU) countries, because of geopolitical considerations and ongoing reforms of energy markets. This study applied time-series clustering approaches and three energy security indicators based on the Shannon–Wiener diversity index. The aim was to enhance understanding of how energy security of EU countries, in terms of energy supply, has evolved. An overall improvement in energy security in most EU countries between 1978 and 2014 was identified, with Denmark and the Czech Republic evidencing the greatest improvements. The main driver of improvement has been diversification of primary energy sources. Factors relating to imports (share and diversity of the origins of imports) have also substantially influenced improvement levels. Three groups of countries were identified using cluster analysis: (1) consistently high levels of energy security and showed moderate improvements over time; (2) lower levels of energy security than those in the first group, and also evidenced moderate improvements; and (3) initially low energy security levels, yet followed by significant improvements. The first and third groups were of particular interest because the former reveals best practices while the policies of the latter, in leading to improvement, can serve as guides for other countries.","container-title":"Renewable and Sustainable Energy Reviews","DOI":"10.1016/j.rser.2017.06.058","ISSN":"1364-0321","journalAbbreviation":"Renewable and Sustainable Energy Reviews","page":"1737-1748","source":"ScienceDirect","title":"Historical energy security performance in EU countries","volume":"82","author":[{"family":"Matsumoto","given":"Ken'ichi"},{"family":"Doumpos","given":"Michalis"},{"family":"Andriosopoulos","given":"Kostas"}],"issued":{"date-parts":[["2018",2,1]]}}},{"id":465,"uris":["http://zotero.org/users/9332412/items/KXDBKHCG"],"itemData":{"id":465,"type":"article-journal","abstract":"Currently, China has become one of the biggest energy consumers and importers in the world, and its energy policies will increasingly affect international energy situation. This paper introduces a new aggregated indicator, the China energy security index (CESI), for evaluating how China's energy security has changed over years. The CESI includes the energy supply dimension, economic-technical dimension, and environmental dimension of energy security. Based on the banding approach, 18 indicators, which are selected from six years 1990, 1995, 2000, 2005, 2010, and 2014, are normalized to form the CESI and sub-indexes. As to the energy supply dimension, the indigenous energy availability sub-index and energy dependence sub-index continued decline over the study period. Among all the three dimensions of CESI, the largest changes observed are in the energy supply sub-index. The change of CESI likes a ‘N’ curve. In this study, China's worst energy security performance was in 2010 and the best was in 2000. At last, the SWOT analysis method is utilized to deprive China's energy security policy implications.","container-title":"Energy Policy","DOI":"10.1016/j.enpol.2019.05.036","ISSN":"0301-4215","journalAbbreviation":"Energy Policy","page":"167-174","source":"ScienceDirect","title":"Using a new aggregated indicator to evaluate China's energy security","volume":"132","author":[{"family":"Song","given":"Yan"},{"family":"Zhang","given":"Ming"},{"family":"Sun","given":"Ruifeng"}],"issued":{"date-parts":[["2019",9,1]]}}},{"id":466,"uris":["http://zotero.org/users/9332412/items/JKRZEAW6"],"itemData":{"id":466,"type":"article-journal","abstract":"With the aim of overcoming the shortcomings of the conventional energy security index (ESI) used in dynamic assessment of energy security, the present study introduces the functional data analysis method into ESI construction and establishes a dynamic energy security index (DESI) model. The DESI is a generalization of the conventional ESI with a dynamic weighting mechanism in a continuous time domain. In the DESI model, every normalized indicator within three dimensions — energy supply, energy consumption and environmental — is smoothed into a continuous curve, and the changes in its importance are reflected objectively by functional information entropy weights with dynamic information updating. Whereas the three sub-index curves with different importance are distinguished via assigning different weights according to the special national circumstances. The methods of generating a curve for single indicator, sub-index curves, and dyna mic weighting curves are discussed in detail, and the robustness of weighting and aggregation choice in DESI is tested using sensitive analysis. Results of applying DESI to evaluate China's energy security show that the overall changes of China's energy security have undergone a W-shaped fluctuation. To ensure consistently high levels of energy security, the government should focus on oil supply and renewable energy technologies.","container-title":"Energy Policy","DOI":"10.1016/j.enpol.2020.111706","ISSN":"0301-4215","journalAbbreviation":"Energy Policy","page":"111706","source":"ScienceDirect","title":"A functional index model for dynamically evaluating China's energy security","volume":"147","author":[{"family":"Wang","given":"Deqing"},{"family":"Tian","given":"Sihua"},{"family":"Fang","given":"Lei"},{"family":"Xu","given":"Yan"}],"issued":{"date-parts":[["2020",12,1]]}}},{"id":461,"uris":["http://zotero.org/users/9332412/items/IFMFGTMC"],"itemData":{"id":461,"type":"article-journal","abstract":"The growing concerns related to energy demand, supply, energy security, and environmental issues encourage global awareness. The impact of energy imports, fuel cost, energy security, and CO2 (carbon dioxide) emissions have become a severe issue for Pakistan which is strongly associated with social, economic and environmental development. In this study, we have estimated eleven energy security indicators for long-run energy supply by applying the MARKAL framework. Business as usual (BAU) and three energy import reduction scenarios (Sa, Sb and Sc) are estimated on primary energy supply, demand, and diversification of energy resources, imported fuel cost, CO2 emissions, and energy security during 2012–2040. The outcomes show that primary energy supply will decrease marginally, while cumulative renewable energy would increase by 28%. Dependency on net energy import ratio will grow by 5.838 times, vulnerability index and net oil import ratio will decrease by −1.276 and −1.105 under base scenarios. Due to maximum fuel consumption by the transport and other sectors, the CO2 emissions would increase by 407.49 Mt in 2040 which could be reduced by renewable energy resources. Finally, energy security and energy supply are optimal in the reduction scenarios which will lessen cost, CO2, and energy supply. Related policies are given below.","container-title":"Energy","DOI":"10.1016/j.energy.2020.117575","ISSN":"0360-5442","journalAbbreviation":"Energy","page":"117575","source":"ScienceDirect","title":"Analysis of energy security indicators and CO2 emissions. A case from a developing economy","volume":"200","author":[{"family":"Lin","given":"Boqiang"},{"family":"Raza","given":"Muhammad Yousaf"}],"issued":{"date-parts":[["2020",6,1]]}}},{"id":1282,"uris":["http://zotero.org/users/9332412/items/IVD4UM5P"],"itemData":{"id":1282,"type":"article-journal","abstract":"Energy security assessment quantifies the energy supply to a population and the likelihood, or risk, of an energy disruption or shortage and represents an important aspect of national security, economic stability and prosperity. The quantification of the state of energy supply is context-dependent and involves multiple perspectives: infrastructural, technological, environmental, market, social and geopolitical. Among all the different and relevant aspects involved, diversity and dependence of the energy fuel mix are two of the main energy security dimensions. The present paper investigates the diversification of the energy supply in Europe, by analysing import dependence, market concentration and renewable energy resource deployment in the European Union over the last decade. The analysis utilises a set of indicators aimed at measuring the fuel mix diversity, market concentration, geopolitical stability, renewable energy share and stochasticity - both at single country and at aggregated European levels. Results show a stable evolution of the diversity of the fuel mix and a relatively low market concentration of the period examined. However, the import dependency reduces the energy security by approximately 30% due to the high proportion of imports from a limited number of countries. Moreover, an increasing trend in renewable electricity production share is evident over the last decade, albeit with differences between member states, as a result of the decarbonisation policies implemented by the European Union.","container-title":"Energy","DOI":"10.1016/j.energy.2022.124097","ISSN":"0360-5442","journalAbbreviation":"Energy","page":"124097","source":"ScienceDirect","title":"Diversification, concentration and renewability of the energy supply in the European Union","volume":"253","author":[{"family":"De Rosa","given":"Mattia"},{"family":"Gainsford","given":"Kenneth"},{"family":"Pallonetto","given":"Fabiano"},{"family":"Finn","given":"Donal P."}],"issued":{"date-parts":[["2022",8,15]]}}}],"schema":"https://github.com/citation-style-language/schema/raw/master/csl-citation.json"} </w:instrText>
      </w:r>
      <w:r>
        <w:fldChar w:fldCharType="separate"/>
      </w:r>
      <w:r w:rsidRPr="0038353F">
        <w:rPr>
          <w:rFonts w:cs="Times New Roman"/>
        </w:rPr>
        <w:t>[27–41]</w:t>
      </w:r>
      <w:r>
        <w:fldChar w:fldCharType="end"/>
      </w:r>
      <w:r>
        <w:t xml:space="preserve">. </w:t>
      </w:r>
      <w:r w:rsidR="00115BC2">
        <w:t xml:space="preserve">A smaller number of </w:t>
      </w:r>
      <w:r>
        <w:t xml:space="preserve">studies </w:t>
      </w:r>
      <w:r w:rsidR="00115BC2">
        <w:t xml:space="preserve">have </w:t>
      </w:r>
      <w:r>
        <w:t>utilize</w:t>
      </w:r>
      <w:r w:rsidR="00115BC2">
        <w:t>d</w:t>
      </w:r>
      <w:r>
        <w:t xml:space="preserve"> the diversity metric to assess electricity system-specific generation diversity </w:t>
      </w:r>
      <w:r>
        <w:fldChar w:fldCharType="begin"/>
      </w:r>
      <w:r>
        <w:instrText xml:space="preserve"> ADDIN ZOTERO_ITEM CSL_CITATION {"citationID":"Pk8JqedI","properties":{"unsorted":true,"formattedCitation":"[42\\uc0\\u8211{}46]","plainCitation":"[42–46]","noteIndex":0},"citationItems":[{"id":1285,"uris":["http://zotero.org/users/9332412/items/J3VH8M52"],"itemData":{"id":1285,"type":"article-journal","abstract":"The need for diversity has been cited as a rationale for important recent investment decisions in the UK electricity supply sector. It is invoked as the principal argument for continuing major government intervention. Yet there exists no formal analytical basis for the concept. Why is diversity good? What is meant by ‘diversification’? What is it that must be ‘diversified’? What trade off should be struck between ‘diversity’ and other measures of performance? The resulting ambiguity causes confusion and is vulnerable to special pleading. Despite this, this paper argues that diversification offers a superior alternative to probabilistic approaches towards uncertainty and ignorance in electricity supply investments and proposes a formal analytical approach. A quantitative index of diversity is borrowed from information theory and used to derive a value for the government's implicit willingness to pay for diversity in the UK electricity supply mix. This is then applied in a pilot exercise to the problem of optimizing the diversity and financial performance of the supply portfolio. Although provisional, the results are relevant to the government's forthcoming Nuclear Review, particularly in assessing the relative levels of support for nuclear power and renewable energy.","container-title":"Energy Policy","DOI":"10.1016/0301-4215(94)90159-7","ISSN":"0301-4215","issue":"3","journalAbbreviation":"Energy Policy","page":"195-216","source":"ScienceDirect","title":"Diversity and ignorance in electricity supply investment: Addressing the solution rather than the problem","title-short":"Diversity and ignorance in electricity supply investment","volume":"22","author":[{"family":"Stirling","given":"Andrew"}],"issued":{"date-parts":[["1994",3,1]]}}},{"id":523,"uris":["http://zotero.org/users/9332412/items/UNQZKECG"],"itemData":{"id":523,"type":"article-journal","abstract":"We explore the relationship between low-carbon objectives and the strategic security of electricity in the context of the UK electricity system. We consider diversity of fuel source mix to represent one dimension of security-robustness against interruptions of any one source-and apply two different diversity indices to the range of electricity system scenarios produced by the UK government and independent researchers. Our results show that low-carbon objectives are uniformly associated with greater long-term diversity in UK electricity generation. With reference to data on wind generation we also consider the impact of source variability on a second dimension of security-the reliability of generation availability. We conclude that this does not undermine our fundamental conclusion that low-carbon scenarios are associated with greater strategic security of supply in UK electricity. We discuss reasons for this result, explore sensitivities, and briefly discuss possible policy instruments associated with diversity and their limitations. © 2005 Elsevier Ltd. All rights reserved.","container-title":"Energy Policy","DOI":"10.1016/J.ENPOL.2005.09.004","issue":"18","note":"publisher: Elsevier","page":"4050-4062","title":"Diversity and security in UK electricity generation: The influence of low-carbon objectives","volume":"34","author":[{"family":"Grubb","given":"Michael"},{"family":"Butler","given":"Lucy"},{"family":"Twomey","given":"Paul"}],"issued":{"date-parts":[["2006",12]]}}},{"id":525,"uris":["http://zotero.org/users/9332412/items/P8H2YS5M"],"itemData":{"id":525,"type":"article-journal","abstract":"China's energy sector is under pressure to achieve secure and affordable supply and a clear decarbonisation path. We examine the longitudinal trajectory of the Chinese electricity supply security and model the near future supply security based on the 12th 5. Year Plan. Our approach combines the Shannon-Wiener, Herfindahl-Hirschman and electricity import dependence indices for supply security appraisal. We find that electricity portfolio innovation allows China to provide secure energy supply despite increasing import dependence. It is argued that long-term aggressive deployment of renewable energy will unblock China's coal-biased technological lock-in and increase supply security in all fronts. However, reduced supply diversity in China during the 1990s will not recover until after 2020s due to the long-term coal lock-in that can threaten to hold China back from realising its full potential.","container-title":"Technological Forecasting and Social Change","DOI":"10.1016/J.TECHFORE.2015.07.012","note":"publisher: North-Holland","page":"267-276","title":"Electricity portfolio innovation for energy security: The case of carbon constrained China","volume":"100","author":[{"family":"Chalvatzis","given":"Konstantinos J."},{"family":"Rubel","given":"Keagan"}],"issued":{"date-parts":[["2015",11]]}}},{"id":534,"uris":["http://zotero.org/users/9332412/items/W7NZR2GL"],"itemData":{"id":534,"type":"article-journal","abstract":"There is a growing body of research into the potential security risks and trade-offs which may emerge over the long-term development of energy systems. As part of this body of research, this paper aims to develop and demonstrate a set of indicators for assessing the security of long-term national electricity scenarios. This paper extends the empirical work of existing frameworks by including reliability and cost parameters alongside a range of other important aspects of energy security such as diversity, trade and acceptability, and by using both qualitative and quantitative indicators without aggregation in order to identify trade-offs. This paper uses the indicators to assess the energy security implications of three plausible long-term scenarios for the UK electricity system. The results indicate that a major risk may be experienced by a lack of flexible, responsive supply capacity in low-carbon electricity pathways. Reducing overall energy demand is found to be the most beneficial policy for improving energy security in terms of generating benefits in multiple dimensions. The paper finds that energy security is often conceptualised as the avoidance of causes of insecurity (such as insecure fuel imports), but that an equally important aspect of security lies in maximising responses to insecurity, for example by increasing the flexibility and responsiveness of both supply and demand.","container-title":"Renewable and Sustainable Energy Reviews","DOI":"10.1016/J.RSER.2017.08.084","note":"publisher: Pergamon","page":"2287-2299","title":"Assessing long-term energy security: The case of electricity in the United Kingdom","volume":"82","author":[{"family":"Cox","given":"Emily"}],"issued":{"date-parts":[["2018",2]]}}},{"id":457,"uris":["http://zotero.org/users/9332412/items/IE76XI98"],"itemData":{"id":457,"type":"article-journal","container-title":"Journal of Original Studies","DOI":"10.47243/jos.3.2.03","title":"Resource Diversification in Turkey's Electricity Generation","URL":"https://journals.gen.tr/index.php/jos/article/view/1889/1185","author":[{"family":"Dilek","given":"Serkan"},{"family":"Konak","given":"Ali"}],"issued":{"date-parts":[["2022"]]}}}],"schema":"https://github.com/citation-style-language/schema/raw/master/csl-citation.json"} </w:instrText>
      </w:r>
      <w:r>
        <w:fldChar w:fldCharType="separate"/>
      </w:r>
      <w:r w:rsidRPr="0038353F">
        <w:rPr>
          <w:rFonts w:cs="Times New Roman"/>
        </w:rPr>
        <w:t>[42–46]</w:t>
      </w:r>
      <w:r>
        <w:fldChar w:fldCharType="end"/>
      </w:r>
      <w:r>
        <w:t>. This study is the only one the author is aware of that applies a formal index to assess diversity of electricity imports among electric balancing authorities within the United States.</w:t>
      </w:r>
    </w:p>
    <w:tbl>
      <w:tblPr>
        <w:tblStyle w:val="a0"/>
        <w:tblpPr w:leftFromText="180" w:rightFromText="180" w:vertAnchor="text" w:horzAnchor="page" w:tblpX="1" w:tblpY="935"/>
        <w:tblW w:w="16944" w:type="dxa"/>
        <w:tblBorders>
          <w:top w:val="nil"/>
          <w:left w:val="nil"/>
          <w:bottom w:val="nil"/>
          <w:right w:val="nil"/>
          <w:insideH w:val="nil"/>
          <w:insideV w:val="nil"/>
        </w:tblBorders>
        <w:tblLayout w:type="fixed"/>
        <w:tblLook w:val="0400" w:firstRow="0" w:lastRow="0" w:firstColumn="0" w:lastColumn="0" w:noHBand="0" w:noVBand="1"/>
      </w:tblPr>
      <w:tblGrid>
        <w:gridCol w:w="4320"/>
        <w:gridCol w:w="3117"/>
        <w:gridCol w:w="3273"/>
        <w:gridCol w:w="3117"/>
        <w:gridCol w:w="3117"/>
      </w:tblGrid>
      <w:tr w:rsidR="00A06EE6" w14:paraId="0F7D2007" w14:textId="77777777" w:rsidTr="00A06EE6">
        <w:tc>
          <w:tcPr>
            <w:tcW w:w="4320" w:type="dxa"/>
            <w:vAlign w:val="center"/>
          </w:tcPr>
          <w:p w14:paraId="3B25D281" w14:textId="77777777" w:rsidR="00A06EE6" w:rsidRDefault="00A06EE6" w:rsidP="00A06EE6">
            <w:pPr>
              <w:ind w:left="1334"/>
              <w:jc w:val="center"/>
              <w:rPr>
                <w:i/>
              </w:rPr>
            </w:pPr>
          </w:p>
        </w:tc>
        <w:tc>
          <w:tcPr>
            <w:tcW w:w="3117" w:type="dxa"/>
            <w:vAlign w:val="center"/>
          </w:tcPr>
          <w:p w14:paraId="35096479" w14:textId="77777777" w:rsidR="00A06EE6" w:rsidRDefault="00A06EE6" w:rsidP="00A06EE6">
            <w:pPr>
              <w:jc w:val="center"/>
              <w:rPr>
                <w:rFonts w:ascii="Cambria Math" w:eastAsia="Cambria Math" w:hAnsi="Cambria Math" w:cs="Cambria Math"/>
              </w:rPr>
            </w:pPr>
            <m:oMathPara>
              <m:oMath>
                <m:r>
                  <w:rPr>
                    <w:rFonts w:ascii="Cambria Math" w:eastAsia="Cambria Math" w:hAnsi="Cambria Math" w:cs="Cambria Math"/>
                  </w:rPr>
                  <m:t>H=-</m:t>
                </m:r>
                <m:nary>
                  <m:naryPr>
                    <m:chr m:val="∑"/>
                    <m:limLoc m:val="undOvr"/>
                    <m:ctrlPr>
                      <w:rPr>
                        <w:rFonts w:ascii="Cambria Math" w:eastAsia="Cambria Math" w:hAnsi="Cambria Math" w:cs="Cambria Math"/>
                        <w:i/>
                      </w:rPr>
                    </m:ctrlPr>
                  </m:naryPr>
                  <m:sub>
                    <m:r>
                      <w:rPr>
                        <w:rFonts w:ascii="Cambria Math" w:eastAsia="Cambria Math" w:hAnsi="Cambria Math" w:cs="Cambria Math"/>
                      </w:rPr>
                      <m:t>i</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 xml:space="preserve"> 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e>
                    </m:d>
                  </m:e>
                </m:nary>
              </m:oMath>
            </m:oMathPara>
          </w:p>
        </w:tc>
        <w:tc>
          <w:tcPr>
            <w:tcW w:w="3273" w:type="dxa"/>
            <w:vAlign w:val="center"/>
          </w:tcPr>
          <w:p w14:paraId="446045FB" w14:textId="77777777" w:rsidR="00A06EE6" w:rsidRPr="003C0D21" w:rsidRDefault="00A06EE6" w:rsidP="00A06EE6">
            <w:pPr>
              <w:pStyle w:val="ListParagraph"/>
              <w:numPr>
                <w:ilvl w:val="0"/>
                <w:numId w:val="8"/>
              </w:numPr>
              <w:jc w:val="right"/>
              <w:rPr>
                <w:iCs/>
              </w:rPr>
            </w:pPr>
            <w:bookmarkStart w:id="2" w:name="_Ref176720063"/>
          </w:p>
        </w:tc>
        <w:bookmarkEnd w:id="2"/>
        <w:tc>
          <w:tcPr>
            <w:tcW w:w="3117" w:type="dxa"/>
          </w:tcPr>
          <w:p w14:paraId="3C6987B9" w14:textId="77777777" w:rsidR="00A06EE6" w:rsidRDefault="00A06EE6" w:rsidP="00A06EE6">
            <w:pPr>
              <w:jc w:val="right"/>
              <w:rPr>
                <w:i/>
              </w:rPr>
            </w:pPr>
          </w:p>
        </w:tc>
        <w:tc>
          <w:tcPr>
            <w:tcW w:w="3117" w:type="dxa"/>
            <w:vAlign w:val="center"/>
          </w:tcPr>
          <w:p w14:paraId="3788A05F" w14:textId="77777777" w:rsidR="00A06EE6" w:rsidRDefault="00A06EE6" w:rsidP="00A06EE6">
            <w:pPr>
              <w:jc w:val="right"/>
              <w:rPr>
                <w:i/>
              </w:rPr>
            </w:pPr>
            <w:r>
              <w:rPr>
                <w:i/>
              </w:rPr>
              <w:t>(1)</w:t>
            </w:r>
          </w:p>
        </w:tc>
      </w:tr>
    </w:tbl>
    <w:p w14:paraId="2724F1BE" w14:textId="248D84EF" w:rsidR="00A06EE6" w:rsidRDefault="00FB5981" w:rsidP="003C0D21">
      <w:r>
        <w:rPr>
          <w:iCs/>
        </w:rPr>
        <w:t xml:space="preserve">The </w:t>
      </w:r>
      <w:r w:rsidR="003C0D21">
        <w:rPr>
          <w:iCs/>
        </w:rPr>
        <w:t>diversity index</w:t>
      </w:r>
      <w:r w:rsidR="00EC44B2">
        <w:rPr>
          <w:iCs/>
        </w:rPr>
        <w:t xml:space="preserve"> </w:t>
      </w:r>
      <w:r w:rsidR="00E72091">
        <w:rPr>
          <w:iCs/>
        </w:rPr>
        <w:t xml:space="preserve">applied to electric balancing authority </w:t>
      </w:r>
      <w:r w:rsidR="003C0D21">
        <w:rPr>
          <w:iCs/>
        </w:rPr>
        <w:t>import</w:t>
      </w:r>
      <w:r w:rsidR="00204068">
        <w:rPr>
          <w:iCs/>
        </w:rPr>
        <w:t xml:space="preserve">s is </w:t>
      </w:r>
      <w:r>
        <w:rPr>
          <w:iCs/>
        </w:rPr>
        <w:t xml:space="preserve">defined in </w:t>
      </w:r>
      <w:r w:rsidRPr="003C0D21">
        <w:rPr>
          <w:iCs/>
        </w:rPr>
        <w:t>equation</w:t>
      </w:r>
      <w:r w:rsidR="003C0D21">
        <w:rPr>
          <w:iCs/>
        </w:rPr>
        <w:t xml:space="preserve"> </w:t>
      </w:r>
      <w:r w:rsidR="003C0D21">
        <w:rPr>
          <w:iCs/>
        </w:rPr>
        <w:fldChar w:fldCharType="begin"/>
      </w:r>
      <w:r w:rsidR="003C0D21">
        <w:rPr>
          <w:iCs/>
        </w:rPr>
        <w:instrText xml:space="preserve"> REF _Ref176720149 \r \h </w:instrText>
      </w:r>
      <w:r w:rsidR="003C0D21">
        <w:rPr>
          <w:iCs/>
        </w:rPr>
      </w:r>
      <w:r w:rsidR="003C0D21">
        <w:rPr>
          <w:iCs/>
        </w:rPr>
        <w:fldChar w:fldCharType="separate"/>
      </w:r>
      <w:r w:rsidR="003C0D21">
        <w:rPr>
          <w:iCs/>
        </w:rPr>
        <w:t>(1)</w:t>
      </w:r>
      <w:r w:rsidR="003C0D21">
        <w:rPr>
          <w:iCs/>
        </w:rPr>
        <w:fldChar w:fldCharType="end"/>
      </w:r>
      <w:r w:rsidR="00F11473">
        <w:rPr>
          <w:iCs/>
        </w:rPr>
        <w:t>,</w:t>
      </w:r>
      <w:r w:rsidR="003C0D21">
        <w:rPr>
          <w:iCs/>
        </w:rPr>
        <w:t xml:space="preserve"> </w:t>
      </w:r>
      <w:r w:rsidR="003C0D21">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rsidR="003C0D21">
        <w:t xml:space="preserve"> is the share of imports from neighboring BA </w:t>
      </w:r>
      <m:oMath>
        <m:r>
          <w:rPr>
            <w:rFonts w:ascii="Cambria Math" w:eastAsia="Cambria Math" w:hAnsi="Cambria Math" w:cs="Cambria Math"/>
          </w:rPr>
          <m:t>i</m:t>
        </m:r>
      </m:oMath>
      <w:r w:rsidR="003C0D21">
        <w:t>, relative to total</w:t>
      </w:r>
      <w:r w:rsidR="00011306">
        <w:t xml:space="preserve"> imports</w:t>
      </w:r>
      <w:r w:rsidR="003C0D21">
        <w:t xml:space="preserve"> in</w:t>
      </w:r>
      <w:r w:rsidR="00011306">
        <w:t>to</w:t>
      </w:r>
      <w:r w:rsidR="003C0D21">
        <w:t xml:space="preserve"> the balancing authority of interest. </w:t>
      </w:r>
    </w:p>
    <w:p w14:paraId="121F1BA9" w14:textId="1FDA1841" w:rsidR="00FB5981" w:rsidRPr="003C0D21" w:rsidRDefault="003C0D21" w:rsidP="003C0D21">
      <w:pPr>
        <w:rPr>
          <w:iCs/>
        </w:rPr>
      </w:pPr>
      <w:r>
        <w:lastRenderedPageBreak/>
        <w:t xml:space="preserve">Mathematically, the diversity index </w:t>
      </w:r>
      <m:oMath>
        <m:r>
          <w:rPr>
            <w:rFonts w:ascii="Cambria Math" w:eastAsia="Cambria Math" w:hAnsi="Cambria Math" w:cs="Cambria Math"/>
          </w:rPr>
          <m:t>H</m:t>
        </m:r>
      </m:oMath>
      <w:r>
        <w:t xml:space="preserve"> is inversely related to the geoemetric mean of the relative shares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such that a higher value </w:t>
      </w:r>
      <m:oMath>
        <m:r>
          <w:rPr>
            <w:rFonts w:ascii="Cambria Math" w:eastAsia="Cambria Math" w:hAnsi="Cambria Math" w:cs="Cambria Math"/>
          </w:rPr>
          <m:t>H</m:t>
        </m:r>
      </m:oMath>
      <w:r>
        <w:t xml:space="preserve"> describes a system with a more diverse set of imports. </w:t>
      </w:r>
      <w:r>
        <w:rPr>
          <w:color w:val="000000"/>
        </w:rPr>
        <w:t xml:space="preserve">It can be shown that </w:t>
      </w:r>
      <m:oMath>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H</m:t>
                </m:r>
              </m:sup>
            </m:sSup>
          </m:den>
        </m:f>
      </m:oMath>
      <w:r w:rsidRPr="00953654">
        <w:rPr>
          <w:color w:val="000000"/>
        </w:rPr>
        <w:t xml:space="preserve"> is the geometric mean of the relative shares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color w:val="000000"/>
        </w:rPr>
        <w:t xml:space="preserve"> </w:t>
      </w:r>
      <w:r>
        <w:rPr>
          <w:color w:val="000000"/>
        </w:rPr>
        <w:fldChar w:fldCharType="begin"/>
      </w:r>
      <w:r>
        <w:rPr>
          <w:color w:val="000000"/>
        </w:rPr>
        <w:instrText xml:space="preserve"> ADDIN ZOTERO_ITEM CSL_CITATION {"citationID":"1wwo2US1","properties":{"formattedCitation":"[25,26]","plainCitation":"[25,26]","noteIndex":0},"citationItems":[{"id":452,"uris":["http://zotero.org/users/9332412/items/M9FVQRWJ"],"itemData":{"id":452,"type":"article-journal","container-title":"Annual Review of Ecology, Evolution, and Systematics","DOI":"10.1146/annurev.es.05.110174.001441","ISSN":"1543-592X, 1545-2069","issue":"Volume 5, 1974","language":"en","note":"publisher: Annual Reviews","page":"285-307","source":"www.annualreviews.org","title":"The Measurement of Species Diversity","volume":"5","author":[{"family":"Peet","given":"Robert K."}],"issued":{"date-parts":[["1974",11,1]]}}},{"id":451,"uris":["http://zotero.org/users/9332412/items/VM4KSLYW"],"itemData":{"id":451,"type":"article-journal","abstract":"Three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derived.","container-title":"Ecology","DOI":"10.2307/1934352","ISSN":"1939-9170","issue":"2","language":"en","license":"© 1973 by the Ecological Society of America","note":"_eprint: https://onlinelibrary.wiley.com/doi/pdf/10.2307/1934352","page":"427-432","source":"Wiley Online Library","title":"Diversity and Evenness: A Unifying Notation and Its Consequences","title-short":"Diversity and Evenness","volume":"54","author":[{"family":"Hill","given":"M. O."}],"issued":{"date-parts":[["1973"]]}}}],"schema":"https://github.com/citation-style-language/schema/raw/master/csl-citation.json"} </w:instrText>
      </w:r>
      <w:r>
        <w:rPr>
          <w:color w:val="000000"/>
        </w:rPr>
        <w:fldChar w:fldCharType="separate"/>
      </w:r>
      <w:r w:rsidRPr="0038353F">
        <w:t>[25,26]</w:t>
      </w:r>
      <w:r>
        <w:rPr>
          <w:color w:val="000000"/>
        </w:rPr>
        <w:fldChar w:fldCharType="end"/>
      </w:r>
      <w:r>
        <w:rPr>
          <w:color w:val="000000"/>
        </w:rPr>
        <w:t xml:space="preserve">, </w:t>
      </w:r>
      <w:r w:rsidR="00DF4630">
        <w:rPr>
          <w:color w:val="000000"/>
        </w:rPr>
        <w:t xml:space="preserve">so that </w:t>
      </w:r>
      <w:r w:rsidRPr="001C163D">
        <w:rPr>
          <w:color w:val="000000"/>
        </w:rPr>
        <w:t xml:space="preserve">a relatively concentrated (less diverse)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Pr="001C163D">
        <w:rPr>
          <w:color w:val="000000"/>
        </w:rPr>
        <w:t xml:space="preserve"> set leads to a lower </w:t>
      </w:r>
      <w:r w:rsidRPr="001C163D">
        <w:rPr>
          <w:rFonts w:ascii="Cambria Math" w:eastAsia="Cambria Math" w:hAnsi="Cambria Math" w:cs="Cambria Math"/>
          <w:color w:val="000000"/>
        </w:rPr>
        <w:t>H</w:t>
      </w:r>
      <w:r w:rsidRPr="001C163D">
        <w:rPr>
          <w:color w:val="000000"/>
        </w:rPr>
        <w:t xml:space="preserve"> value.</w:t>
      </w:r>
      <w:r>
        <w:rPr>
          <w:color w:val="000000"/>
        </w:rPr>
        <w:t xml:space="preserve"> In a bookend case,</w:t>
      </w:r>
      <w:r w:rsidRPr="001C163D">
        <w:rPr>
          <w:color w:val="000000"/>
        </w:rPr>
        <w:t xml:space="preserve"> </w:t>
      </w:r>
      <w:r>
        <w:rPr>
          <w:color w:val="000000"/>
        </w:rPr>
        <w:t>i</w:t>
      </w:r>
      <w:r w:rsidRPr="001C163D">
        <w:rPr>
          <w:color w:val="000000"/>
        </w:rPr>
        <w:t xml:space="preserve">f a system’s </w:t>
      </w:r>
      <w:r w:rsidR="0059049D">
        <w:rPr>
          <w:color w:val="000000"/>
        </w:rPr>
        <w:t>imports</w:t>
      </w:r>
      <w:r w:rsidRPr="001C163D">
        <w:rPr>
          <w:color w:val="000000"/>
        </w:rPr>
        <w:t xml:space="preserve"> </w:t>
      </w:r>
      <w:r w:rsidR="0059049D">
        <w:rPr>
          <w:color w:val="000000"/>
        </w:rPr>
        <w:t xml:space="preserve">were </w:t>
      </w:r>
      <w:r w:rsidR="00D06CEB">
        <w:rPr>
          <w:color w:val="000000"/>
        </w:rPr>
        <w:t xml:space="preserve">fully </w:t>
      </w:r>
      <w:r w:rsidRPr="001C163D">
        <w:rPr>
          <w:color w:val="000000"/>
        </w:rPr>
        <w:t xml:space="preserve">served by a single </w:t>
      </w:r>
      <w:r w:rsidR="007B55FA">
        <w:rPr>
          <w:color w:val="000000"/>
        </w:rPr>
        <w:t xml:space="preserve">neighbor </w:t>
      </w:r>
      <w:r w:rsidRPr="001C163D">
        <w:rPr>
          <w:color w:val="000000"/>
        </w:rP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j</m:t>
            </m:r>
          </m:sub>
        </m:sSub>
        <m:r>
          <w:rPr>
            <w:rFonts w:ascii="Cambria Math" w:hAnsi="Cambria Math"/>
            <w:color w:val="000000"/>
          </w:rPr>
          <m:t>=1</m:t>
        </m:r>
      </m:oMath>
      <w:r w:rsidRPr="001C163D">
        <w:rPr>
          <w:color w:val="000000"/>
        </w:rPr>
        <w:t xml:space="preserve"> and all other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=0</m:t>
        </m:r>
      </m:oMath>
      <w:r w:rsidRPr="001C163D">
        <w:rPr>
          <w:color w:val="000000"/>
        </w:rPr>
        <w:t>), then</w:t>
      </w:r>
      <w:r>
        <w:rPr>
          <w:color w:val="000000"/>
        </w:rPr>
        <w:t xml:space="preserve"> the diversity metric</w:t>
      </w:r>
      <w:r w:rsidRPr="001C163D">
        <w:rPr>
          <w:color w:val="000000"/>
        </w:rPr>
        <w:t xml:space="preserve"> </w:t>
      </w:r>
      <w:r>
        <w:rPr>
          <w:color w:val="000000"/>
        </w:rPr>
        <w:t xml:space="preserve">would equal zero. </w:t>
      </w:r>
    </w:p>
    <w:p w14:paraId="6A7FB4C2" w14:textId="2402C1B5" w:rsidR="004F550E" w:rsidRDefault="003B1BD9" w:rsidP="004F550E">
      <w:pPr>
        <w:rPr>
          <w:color w:val="000000"/>
        </w:rPr>
      </w:pPr>
      <w:r>
        <w:rPr>
          <w:color w:val="000000"/>
        </w:rPr>
        <w:t xml:space="preserve">Conversely, the diversity metric </w:t>
      </w:r>
      <m:oMath>
        <m:r>
          <w:rPr>
            <w:rFonts w:ascii="Cambria Math" w:hAnsi="Cambria Math"/>
            <w:color w:val="000000"/>
          </w:rPr>
          <m:t>H</m:t>
        </m:r>
      </m:oMath>
      <w:r>
        <w:rPr>
          <w:color w:val="000000"/>
        </w:rPr>
        <w:t xml:space="preserve"> increases with more trading partners (e.g. a higher </w:t>
      </w:r>
      <m:oMath>
        <m:r>
          <w:rPr>
            <w:rFonts w:ascii="Cambria Math" w:hAnsi="Cambria Math"/>
            <w:color w:val="000000"/>
          </w:rPr>
          <m:t>n</m:t>
        </m:r>
      </m:oMath>
      <w:r>
        <w:rPr>
          <w:color w:val="000000"/>
        </w:rPr>
        <w:t>). F</w:t>
      </w:r>
      <w:r w:rsidR="00B119D8">
        <w:rPr>
          <w:color w:val="000000"/>
        </w:rPr>
        <w:t>or a</w:t>
      </w:r>
      <w:r w:rsidR="004F550E">
        <w:rPr>
          <w:color w:val="000000"/>
        </w:rPr>
        <w:t xml:space="preserve">ny </w:t>
      </w:r>
      <w:r w:rsidR="00B119D8">
        <w:rPr>
          <w:color w:val="000000"/>
        </w:rPr>
        <w:t xml:space="preserve">given set of </w:t>
      </w:r>
      <w:r w:rsidR="00D12B5B">
        <w:rPr>
          <w:color w:val="000000"/>
        </w:rPr>
        <w:t>import sources</w:t>
      </w:r>
      <w:r w:rsidR="000F3DF6">
        <w:rPr>
          <w:color w:val="000000"/>
        </w:rPr>
        <w:t xml:space="preserve"> </w:t>
      </w:r>
      <w:r w:rsidR="00227326">
        <w:rPr>
          <w:color w:val="000000"/>
        </w:rPr>
        <w:t xml:space="preserve">(e.g. holding </w:t>
      </w:r>
      <m:oMath>
        <m:r>
          <w:rPr>
            <w:rFonts w:ascii="Cambria Math" w:hAnsi="Cambria Math"/>
            <w:color w:val="000000"/>
          </w:rPr>
          <m:t>n</m:t>
        </m:r>
      </m:oMath>
      <w:r w:rsidR="00227326">
        <w:rPr>
          <w:color w:val="000000"/>
        </w:rPr>
        <w:t xml:space="preserve"> constant)</w:t>
      </w:r>
      <w:r w:rsidR="00D12B5B">
        <w:rPr>
          <w:color w:val="000000"/>
        </w:rPr>
        <w:t xml:space="preserve">, </w:t>
      </w:r>
      <w:r w:rsidR="00D13C42">
        <w:rPr>
          <w:color w:val="000000"/>
        </w:rPr>
        <w:t>the diversity metric</w:t>
      </w:r>
      <w:r w:rsidR="00B57AB9">
        <w:rPr>
          <w:color w:val="000000"/>
        </w:rPr>
        <w:t xml:space="preserve"> </w:t>
      </w:r>
      <m:oMath>
        <m:r>
          <w:rPr>
            <w:rFonts w:ascii="Cambria Math" w:hAnsi="Cambria Math"/>
            <w:color w:val="000000"/>
          </w:rPr>
          <m:t>H</m:t>
        </m:r>
      </m:oMath>
      <w:r w:rsidR="00D12B5B">
        <w:rPr>
          <w:color w:val="000000"/>
        </w:rPr>
        <w:t xml:space="preserve"> is maximized when all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D12B5B">
        <w:rPr>
          <w:color w:val="000000"/>
        </w:rPr>
        <w:t xml:space="preserve"> are equal</w:t>
      </w:r>
      <w:r w:rsidR="00B7346A">
        <w:rPr>
          <w:color w:val="000000"/>
        </w:rPr>
        <w:t xml:space="preserve"> (e.g.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r>
          <w:rPr>
            <w:rFonts w:ascii="Cambria Math" w:hAnsi="Cambria Math"/>
            <w:color w:val="000000"/>
          </w:rPr>
          <m:t xml:space="preserve"> ∀ i</m:t>
        </m:r>
      </m:oMath>
      <w:r w:rsidR="00E17A34">
        <w:rPr>
          <w:color w:val="000000"/>
        </w:rPr>
        <w:t>)</w:t>
      </w:r>
      <w:r w:rsidR="00B57AB9">
        <w:rPr>
          <w:color w:val="000000"/>
        </w:rPr>
        <w:t xml:space="preserve">. </w:t>
      </w:r>
      <w:r w:rsidR="00D62751">
        <w:rPr>
          <w:color w:val="000000"/>
        </w:rPr>
        <w:t xml:space="preserve">In this way, the diversity index considers the “evenness” of import sources, which is analogous to a less concentrated set of import sources. </w:t>
      </w:r>
      <w:r w:rsidR="00E86DB6">
        <w:rPr>
          <w:color w:val="000000"/>
        </w:rPr>
        <w:t xml:space="preserve">A set of “even”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B57AB9">
        <w:rPr>
          <w:color w:val="000000"/>
        </w:rPr>
        <w:t xml:space="preserve"> is</w:t>
      </w:r>
      <w:r w:rsidR="00612085">
        <w:rPr>
          <w:color w:val="000000"/>
        </w:rPr>
        <w:t xml:space="preserve"> </w:t>
      </w:r>
      <w:r w:rsidR="00E86DB6">
        <w:rPr>
          <w:color w:val="000000"/>
        </w:rPr>
        <w:t xml:space="preserve">suggests a system’s </w:t>
      </w:r>
      <w:r w:rsidR="00C3235B">
        <w:rPr>
          <w:color w:val="000000"/>
        </w:rPr>
        <w:t xml:space="preserve">imports are provided </w:t>
      </w:r>
      <w:r w:rsidR="00E86DB6">
        <w:rPr>
          <w:color w:val="000000"/>
        </w:rPr>
        <w:t xml:space="preserve">roughly </w:t>
      </w:r>
      <w:r w:rsidR="00C3235B">
        <w:rPr>
          <w:color w:val="000000"/>
        </w:rPr>
        <w:t>equally by its trading partners such that one isn’t more dominant than others</w:t>
      </w:r>
      <w:r w:rsidR="00F42BDF">
        <w:rPr>
          <w:color w:val="000000"/>
        </w:rPr>
        <w:t xml:space="preserve">, </w:t>
      </w:r>
      <w:r w:rsidR="004847F0">
        <w:rPr>
          <w:color w:val="000000"/>
        </w:rPr>
        <w:t>representing a</w:t>
      </w:r>
      <w:r w:rsidR="00F42BDF">
        <w:rPr>
          <w:color w:val="000000"/>
        </w:rPr>
        <w:t xml:space="preserve"> “diverse” import situation</w:t>
      </w:r>
      <w:r w:rsidR="00885A02">
        <w:rPr>
          <w:color w:val="000000"/>
        </w:rPr>
        <w:t>.</w:t>
      </w:r>
      <w:r w:rsidR="004F550E">
        <w:rPr>
          <w:color w:val="000000"/>
        </w:rPr>
        <w:t xml:space="preserve"> </w:t>
      </w:r>
    </w:p>
    <w:p w14:paraId="09A026B9" w14:textId="66D9CAC3" w:rsidR="004F550E" w:rsidRDefault="004F550E" w:rsidP="004F550E">
      <w:pPr>
        <w:rPr>
          <w:color w:val="000000"/>
        </w:rPr>
      </w:pPr>
      <w:r>
        <w:rPr>
          <w:color w:val="000000"/>
        </w:rPr>
        <w:t xml:space="preserve">In considering both the number of </w:t>
      </w:r>
      <w:r w:rsidR="008E08F4">
        <w:rPr>
          <w:color w:val="000000"/>
        </w:rPr>
        <w:t>import sources and the concentration of imports from a set of trading partners</w:t>
      </w:r>
      <w:r>
        <w:rPr>
          <w:color w:val="000000"/>
        </w:rPr>
        <w:t>, the Shannon diversity index provides an effective quantitative measurement of diversity of imports at the US balancing authority level for this study application.</w:t>
      </w:r>
    </w:p>
    <w:p w14:paraId="58C0F172" w14:textId="56BF8DBD" w:rsidR="008E0700" w:rsidRDefault="008E0700">
      <w:r>
        <w:fldChar w:fldCharType="begin"/>
      </w:r>
      <w:r>
        <w:instrText xml:space="preserve"> REF _Ref169408804 \h </w:instrText>
      </w:r>
      <w:r>
        <w:fldChar w:fldCharType="separate"/>
      </w:r>
      <w:r>
        <w:t xml:space="preserve">Figure </w:t>
      </w:r>
      <w:r>
        <w:rPr>
          <w:noProof/>
        </w:rPr>
        <w:t>2</w:t>
      </w:r>
      <w:r>
        <w:fldChar w:fldCharType="end"/>
      </w:r>
      <w:r>
        <w:t xml:space="preserve"> </w:t>
      </w:r>
      <w:r w:rsidR="003F5630">
        <w:t>maps the</w:t>
      </w:r>
      <w:r w:rsidR="00164476">
        <w:t xml:space="preserve"> diversity ind</w:t>
      </w:r>
      <w:r w:rsidR="00746827">
        <w:t>ices</w:t>
      </w:r>
      <w:r w:rsidR="00985532">
        <w:t xml:space="preserve"> calculated</w:t>
      </w:r>
      <w:r w:rsidR="00164476">
        <w:t xml:space="preserve"> at the </w:t>
      </w:r>
      <w:r w:rsidR="005516EF">
        <w:t xml:space="preserve">balancing-authority </w:t>
      </w:r>
      <w:r w:rsidR="00164476">
        <w:t>level across the United States.</w:t>
      </w:r>
      <w:r w:rsidR="00005AB6">
        <w:t xml:space="preserve"> It is worth noting here that the shapefile territories of balancing authorities (obtained from</w:t>
      </w:r>
      <w:r w:rsidR="00C762B3">
        <w:t xml:space="preserve"> </w:t>
      </w:r>
      <w:r w:rsidR="00C762B3">
        <w:fldChar w:fldCharType="begin"/>
      </w:r>
      <w:r w:rsidR="00C762B3">
        <w:instrText xml:space="preserve"> ADDIN ZOTERO_ITEM CSL_CITATION {"citationID":"SngZ7h9s","properties":{"formattedCitation":"[47]","plainCitation":"[47]","noteIndex":0},"citationItems":[{"id":1306,"uris":["http://zotero.org/users/9332412/items/88BRFARD"],"itemData":{"id":1306,"type":"dataset","title":"Homeland Infrastructure Foundation LEvel Database - Control Areas","URL":"https://hifld-geoplatform.hub.arcgis.com/datasets/db7622e5ebdd40428fcafbd1615d621a_0","author":[{"family":"Geospatial Management Office, U.S. Department of Homeland Security","given":""}],"issued":{"date-parts":[["2022",12]]}}}],"schema":"https://github.com/citation-style-language/schema/raw/master/csl-citation.json"} </w:instrText>
      </w:r>
      <w:r w:rsidR="00C762B3">
        <w:fldChar w:fldCharType="separate"/>
      </w:r>
      <w:r w:rsidR="00C762B3" w:rsidRPr="00C762B3">
        <w:t>[47]</w:t>
      </w:r>
      <w:r w:rsidR="00C762B3">
        <w:fldChar w:fldCharType="end"/>
      </w:r>
      <w:r w:rsidR="00005AB6">
        <w:t xml:space="preserve">) can have overlapping boundaries, where multiple BA’s share parts of the same spatial extent on the map. </w:t>
      </w:r>
      <w:r w:rsidR="001B38FE">
        <w:t xml:space="preserve">In these </w:t>
      </w:r>
      <w:r w:rsidR="00FB46C5">
        <w:t>cases,</w:t>
      </w:r>
      <w:r w:rsidR="001B38FE">
        <w:t xml:space="preserve"> t</w:t>
      </w:r>
      <w:r w:rsidR="00C762B3">
        <w:t xml:space="preserve">he darkest among </w:t>
      </w:r>
      <w:r w:rsidR="00CB1CD4">
        <w:t xml:space="preserve">the </w:t>
      </w:r>
      <w:r w:rsidR="00C762B3">
        <w:t xml:space="preserve">overlapping polygons is retained </w:t>
      </w:r>
      <w:r w:rsidR="00CB1CD4">
        <w:t>and displayed</w:t>
      </w:r>
      <w:r w:rsidR="00C762B3">
        <w:t>.</w:t>
      </w:r>
    </w:p>
    <w:p w14:paraId="1D1EAC59" w14:textId="47D12FBE" w:rsidR="00471B15" w:rsidRDefault="00005AB6" w:rsidP="00471B15">
      <w:pPr>
        <w:keepNext/>
      </w:pPr>
      <w:r>
        <w:rPr>
          <w:noProof/>
        </w:rPr>
        <w:drawing>
          <wp:inline distT="0" distB="0" distL="0" distR="0" wp14:anchorId="3F215D9F" wp14:editId="78D68D34">
            <wp:extent cx="5943600" cy="3670300"/>
            <wp:effectExtent l="0" t="0" r="0" b="6350"/>
            <wp:docPr id="30245405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4056" name="Picture 1" descr="A map of the united states&#10;&#10;Description automatically generated"/>
                    <pic:cNvPicPr/>
                  </pic:nvPicPr>
                  <pic:blipFill>
                    <a:blip r:embed="rId11"/>
                    <a:stretch>
                      <a:fillRect/>
                    </a:stretch>
                  </pic:blipFill>
                  <pic:spPr>
                    <a:xfrm>
                      <a:off x="0" y="0"/>
                      <a:ext cx="5943600" cy="3670300"/>
                    </a:xfrm>
                    <a:prstGeom prst="rect">
                      <a:avLst/>
                    </a:prstGeom>
                  </pic:spPr>
                </pic:pic>
              </a:graphicData>
            </a:graphic>
          </wp:inline>
        </w:drawing>
      </w:r>
    </w:p>
    <w:p w14:paraId="5D7E99FD" w14:textId="789D3392" w:rsidR="00433099" w:rsidRPr="002141E6" w:rsidRDefault="00471B15" w:rsidP="002141E6">
      <w:pPr>
        <w:pStyle w:val="Caption"/>
      </w:pPr>
      <w:bookmarkStart w:id="3" w:name="_Ref169408804"/>
      <w:r>
        <w:t xml:space="preserve">Figure </w:t>
      </w:r>
      <w:r w:rsidR="00672EC5">
        <w:fldChar w:fldCharType="begin"/>
      </w:r>
      <w:r w:rsidR="00672EC5">
        <w:instrText xml:space="preserve"> SEQ Figure \* ARABIC </w:instrText>
      </w:r>
      <w:r w:rsidR="00672EC5">
        <w:fldChar w:fldCharType="separate"/>
      </w:r>
      <w:r w:rsidR="00672EC5">
        <w:rPr>
          <w:noProof/>
        </w:rPr>
        <w:t>2</w:t>
      </w:r>
      <w:r w:rsidR="00672EC5">
        <w:rPr>
          <w:noProof/>
        </w:rPr>
        <w:fldChar w:fldCharType="end"/>
      </w:r>
      <w:bookmarkEnd w:id="3"/>
      <w:r>
        <w:t xml:space="preserve"> </w:t>
      </w:r>
      <w:r w:rsidRPr="000B41A8">
        <w:t>Import diversity metric by U.S. Balancing Authority, 2016-2023</w:t>
      </w:r>
    </w:p>
    <w:p w14:paraId="48B8BC9E" w14:textId="4E52A450" w:rsidR="00671D70" w:rsidRDefault="00AD3BF3" w:rsidP="00E63411">
      <w:pPr>
        <w:rPr>
          <w:iCs/>
        </w:rPr>
      </w:pPr>
      <w:r>
        <w:rPr>
          <w:iCs/>
        </w:rPr>
        <w:lastRenderedPageBreak/>
        <w:t>The Bonneville Power Administration</w:t>
      </w:r>
      <w:r w:rsidR="00263D9B">
        <w:rPr>
          <w:iCs/>
        </w:rPr>
        <w:t xml:space="preserve"> (BPA)</w:t>
      </w:r>
      <w:r>
        <w:rPr>
          <w:iCs/>
        </w:rPr>
        <w:t>, California ISO</w:t>
      </w:r>
      <w:r w:rsidR="00263D9B">
        <w:rPr>
          <w:iCs/>
        </w:rPr>
        <w:t xml:space="preserve"> (CAISO)</w:t>
      </w:r>
      <w:r>
        <w:rPr>
          <w:iCs/>
        </w:rPr>
        <w:t xml:space="preserve">, Salt River Project </w:t>
      </w:r>
      <w:r w:rsidR="00263D9B">
        <w:rPr>
          <w:iCs/>
        </w:rPr>
        <w:t>(SRP)</w:t>
      </w:r>
      <w:r w:rsidR="005F7955">
        <w:rPr>
          <w:iCs/>
        </w:rPr>
        <w:t>, Midcontinent ISO, and Southwest Power Pool,</w:t>
      </w:r>
      <w:r w:rsidR="00263D9B">
        <w:rPr>
          <w:iCs/>
        </w:rPr>
        <w:t xml:space="preserve"> </w:t>
      </w:r>
      <w:r>
        <w:rPr>
          <w:iCs/>
        </w:rPr>
        <w:t>have the highest measured import diversity levels for US balancing authorities</w:t>
      </w:r>
      <w:r w:rsidR="00BE43A6">
        <w:rPr>
          <w:iCs/>
        </w:rPr>
        <w:t xml:space="preserve"> during the sample period</w:t>
      </w:r>
      <w:r w:rsidR="00C72692">
        <w:rPr>
          <w:iCs/>
        </w:rPr>
        <w:t>s</w:t>
      </w:r>
      <w:r>
        <w:rPr>
          <w:iCs/>
        </w:rPr>
        <w:t>.</w:t>
      </w:r>
      <w:r w:rsidR="00671D70">
        <w:rPr>
          <w:iCs/>
        </w:rPr>
        <w:t xml:space="preserve"> BPA, for example, </w:t>
      </w:r>
      <w:r w:rsidR="00D46226">
        <w:rPr>
          <w:iCs/>
        </w:rPr>
        <w:t>imports from</w:t>
      </w:r>
      <w:r w:rsidR="00671D70">
        <w:rPr>
          <w:iCs/>
        </w:rPr>
        <w:t xml:space="preserve"> 18 </w:t>
      </w:r>
      <w:r w:rsidR="00D46226">
        <w:rPr>
          <w:iCs/>
        </w:rPr>
        <w:t>different neighboring systems</w:t>
      </w:r>
      <w:r w:rsidR="00671D70">
        <w:rPr>
          <w:iCs/>
        </w:rPr>
        <w:t xml:space="preserve">. The largest shares of BPA imports come from </w:t>
      </w:r>
      <w:r w:rsidR="00133A64">
        <w:rPr>
          <w:iCs/>
        </w:rPr>
        <w:t xml:space="preserve">Northwestern Energy, followed by a handful of public utility districts. CAISO </w:t>
      </w:r>
      <w:r w:rsidR="00D46226">
        <w:rPr>
          <w:iCs/>
        </w:rPr>
        <w:t xml:space="preserve">imports from </w:t>
      </w:r>
      <w:r w:rsidR="00133A64">
        <w:rPr>
          <w:iCs/>
        </w:rPr>
        <w:t xml:space="preserve">12 </w:t>
      </w:r>
      <w:r w:rsidR="00D46226">
        <w:rPr>
          <w:iCs/>
        </w:rPr>
        <w:t>systems</w:t>
      </w:r>
      <w:r w:rsidR="00133A64">
        <w:rPr>
          <w:iCs/>
        </w:rPr>
        <w:t xml:space="preserve">, with its highest levels of imports coming from </w:t>
      </w:r>
      <w:proofErr w:type="gramStart"/>
      <w:r w:rsidR="00133A64">
        <w:rPr>
          <w:iCs/>
        </w:rPr>
        <w:t>Los</w:t>
      </w:r>
      <w:proofErr w:type="gramEnd"/>
      <w:r w:rsidR="00133A64">
        <w:rPr>
          <w:iCs/>
        </w:rPr>
        <w:t xml:space="preserve"> Angeles Department of Water and Power, followed by Bonneville Power, Salt River Project, and Arizona Public Service.</w:t>
      </w:r>
      <w:r w:rsidR="00635078">
        <w:rPr>
          <w:iCs/>
        </w:rPr>
        <w:t xml:space="preserve"> SRP </w:t>
      </w:r>
      <w:r w:rsidR="00D46226">
        <w:rPr>
          <w:iCs/>
        </w:rPr>
        <w:t xml:space="preserve">imports from </w:t>
      </w:r>
      <w:r w:rsidR="00635078">
        <w:rPr>
          <w:iCs/>
        </w:rPr>
        <w:t xml:space="preserve">8 </w:t>
      </w:r>
      <w:r w:rsidR="00D46226">
        <w:rPr>
          <w:iCs/>
        </w:rPr>
        <w:t>systems</w:t>
      </w:r>
      <w:r w:rsidR="00635078">
        <w:rPr>
          <w:iCs/>
        </w:rPr>
        <w:t>, and its import sources are relatively balanc</w:t>
      </w:r>
      <w:r w:rsidR="00B40CDF">
        <w:rPr>
          <w:iCs/>
        </w:rPr>
        <w:t>ed</w:t>
      </w:r>
      <w:r w:rsidR="00635078">
        <w:rPr>
          <w:iCs/>
        </w:rPr>
        <w:t xml:space="preserve"> across 6 of them, including WAPA Desert Southwest, Arlington Valley, Arizona Public Service, Tu</w:t>
      </w:r>
      <w:r w:rsidR="00032C4B">
        <w:rPr>
          <w:iCs/>
        </w:rPr>
        <w:t xml:space="preserve">cson Electric Power, </w:t>
      </w:r>
      <w:proofErr w:type="spellStart"/>
      <w:r w:rsidR="00032C4B">
        <w:rPr>
          <w:iCs/>
        </w:rPr>
        <w:t>Gridforce</w:t>
      </w:r>
      <w:proofErr w:type="spellEnd"/>
      <w:r w:rsidR="00032C4B">
        <w:rPr>
          <w:iCs/>
        </w:rPr>
        <w:t xml:space="preserve">, and New </w:t>
      </w:r>
      <w:proofErr w:type="spellStart"/>
      <w:r w:rsidR="00032C4B">
        <w:rPr>
          <w:iCs/>
        </w:rPr>
        <w:t>Harquahala</w:t>
      </w:r>
      <w:proofErr w:type="spellEnd"/>
      <w:r w:rsidR="00BF0F6B">
        <w:rPr>
          <w:iCs/>
        </w:rPr>
        <w:t>.</w:t>
      </w:r>
    </w:p>
    <w:p w14:paraId="0E841631" w14:textId="1BE77CA2" w:rsidR="00263D9B" w:rsidRPr="00B51E4D" w:rsidRDefault="00617B43" w:rsidP="00E63411">
      <w:pPr>
        <w:rPr>
          <w:iCs/>
        </w:rPr>
      </w:pPr>
      <w:r>
        <w:rPr>
          <w:iCs/>
        </w:rPr>
        <w:t>Balancing authorities with low measured diversity scores include a small handful in the Pacific Northwest, JEA in North</w:t>
      </w:r>
      <w:r w:rsidR="00E24843">
        <w:rPr>
          <w:iCs/>
        </w:rPr>
        <w:t>east</w:t>
      </w:r>
      <w:r>
        <w:rPr>
          <w:iCs/>
        </w:rPr>
        <w:t xml:space="preserve"> Florida,</w:t>
      </w:r>
      <w:r w:rsidR="00D14A0E">
        <w:rPr>
          <w:iCs/>
        </w:rPr>
        <w:t xml:space="preserve"> </w:t>
      </w:r>
      <w:r>
        <w:rPr>
          <w:iCs/>
        </w:rPr>
        <w:t>ERCOT in Texas, and Public Service Company of Colorado</w:t>
      </w:r>
      <w:r w:rsidR="00993509">
        <w:rPr>
          <w:iCs/>
        </w:rPr>
        <w:t>.</w:t>
      </w:r>
      <w:r w:rsidR="00C8406A">
        <w:rPr>
          <w:iCs/>
        </w:rPr>
        <w:t xml:space="preserve"> Those with low import diversity in the Pacific Northwest get most of their external supply from </w:t>
      </w:r>
      <w:r w:rsidR="00086A6F">
        <w:rPr>
          <w:iCs/>
        </w:rPr>
        <w:t>the Bonneville Power Authority (BPA)</w:t>
      </w:r>
      <w:r w:rsidR="00C8406A">
        <w:rPr>
          <w:iCs/>
        </w:rPr>
        <w:t>.</w:t>
      </w:r>
      <w:r w:rsidR="00216106">
        <w:rPr>
          <w:iCs/>
        </w:rPr>
        <w:t xml:space="preserve"> </w:t>
      </w:r>
      <w:r w:rsidR="00086A6F">
        <w:rPr>
          <w:iCs/>
        </w:rPr>
        <w:t xml:space="preserve">For example, </w:t>
      </w:r>
      <w:r w:rsidR="00216106">
        <w:rPr>
          <w:iCs/>
        </w:rPr>
        <w:t>Tacoma Power received over 99% of its imports from BPA during the sample period, while Portland General Electric and Seattle City Light are at 96% and 94%, respectively.</w:t>
      </w:r>
      <w:r w:rsidR="00874B37">
        <w:rPr>
          <w:iCs/>
        </w:rPr>
        <w:t xml:space="preserve"> For JEA</w:t>
      </w:r>
      <w:r w:rsidR="00EA5CE9">
        <w:rPr>
          <w:iCs/>
        </w:rPr>
        <w:t xml:space="preserve"> in Florida</w:t>
      </w:r>
      <w:r w:rsidR="00874B37">
        <w:rPr>
          <w:iCs/>
        </w:rPr>
        <w:t>, 97% of imports c</w:t>
      </w:r>
      <w:r w:rsidR="00127348">
        <w:rPr>
          <w:iCs/>
        </w:rPr>
        <w:t>a</w:t>
      </w:r>
      <w:r w:rsidR="00874B37">
        <w:rPr>
          <w:iCs/>
        </w:rPr>
        <w:t>me from Florida Power &amp; Light.</w:t>
      </w:r>
      <w:r w:rsidR="00D62B6A">
        <w:rPr>
          <w:iCs/>
        </w:rPr>
        <w:t xml:space="preserve"> Over 95% of the limited </w:t>
      </w:r>
      <w:proofErr w:type="gramStart"/>
      <w:r w:rsidR="00D62B6A">
        <w:rPr>
          <w:iCs/>
        </w:rPr>
        <w:t>amount</w:t>
      </w:r>
      <w:proofErr w:type="gramEnd"/>
      <w:r w:rsidR="00EA5CE9">
        <w:rPr>
          <w:iCs/>
        </w:rPr>
        <w:t xml:space="preserve"> of</w:t>
      </w:r>
      <w:r w:rsidR="00D62B6A">
        <w:rPr>
          <w:iCs/>
        </w:rPr>
        <w:t xml:space="preserve"> imports into ERCOT came from the Southwest Power Pool, while 93% of Public Service Company of Colorado’s imports were from Western Area Power Administration Rocky Mountain </w:t>
      </w:r>
      <w:r w:rsidR="0051123D">
        <w:rPr>
          <w:iCs/>
        </w:rPr>
        <w:t>Balancing Authority</w:t>
      </w:r>
      <w:r w:rsidR="00DC1672">
        <w:rPr>
          <w:iCs/>
        </w:rPr>
        <w:t>.</w:t>
      </w:r>
    </w:p>
    <w:p w14:paraId="10BA4D10" w14:textId="19DF45B1" w:rsidR="009A335D" w:rsidRDefault="00263D9B" w:rsidP="00263D9B">
      <w:pPr>
        <w:rPr>
          <w:iCs/>
        </w:rPr>
      </w:pPr>
      <w:r>
        <w:rPr>
          <w:i/>
        </w:rPr>
        <w:fldChar w:fldCharType="begin"/>
      </w:r>
      <w:r>
        <w:rPr>
          <w:i/>
        </w:rPr>
        <w:instrText xml:space="preserve"> REF _Ref177631128 \h </w:instrText>
      </w:r>
      <w:r>
        <w:rPr>
          <w:i/>
        </w:rPr>
      </w:r>
      <w:r>
        <w:rPr>
          <w:i/>
        </w:rPr>
        <w:fldChar w:fldCharType="separate"/>
      </w:r>
      <w:r>
        <w:t xml:space="preserve">Table </w:t>
      </w:r>
      <w:r>
        <w:rPr>
          <w:noProof/>
        </w:rPr>
        <w:t>2</w:t>
      </w:r>
      <w:r>
        <w:rPr>
          <w:i/>
        </w:rPr>
        <w:fldChar w:fldCharType="end"/>
      </w:r>
      <w:r>
        <w:rPr>
          <w:i/>
        </w:rPr>
        <w:t xml:space="preserve"> </w:t>
      </w:r>
      <w:r>
        <w:rPr>
          <w:iCs/>
        </w:rPr>
        <w:t xml:space="preserve">in the Appendix provides diversity indices for the full sample period (2016-2023) and individually by year for </w:t>
      </w:r>
      <w:r w:rsidR="00607A65">
        <w:rPr>
          <w:iCs/>
        </w:rPr>
        <w:t>U.S. Balancing Authorities</w:t>
      </w:r>
      <w:r>
        <w:rPr>
          <w:iCs/>
        </w:rPr>
        <w:t xml:space="preserve"> with average demand greater than 500 MW. It </w:t>
      </w:r>
      <w:r w:rsidR="00B51E4D">
        <w:rPr>
          <w:iCs/>
        </w:rPr>
        <w:t xml:space="preserve">can be </w:t>
      </w:r>
      <w:r>
        <w:rPr>
          <w:iCs/>
        </w:rPr>
        <w:t>note</w:t>
      </w:r>
      <w:r w:rsidR="00B51E4D">
        <w:rPr>
          <w:iCs/>
        </w:rPr>
        <w:t>d from this table</w:t>
      </w:r>
      <w:r>
        <w:rPr>
          <w:iCs/>
        </w:rPr>
        <w:t xml:space="preserve"> that, in most cases, the diversity metric across the full sample is higher than the average diversity metric for individual years. In general, import diversity tends to be less concentrated when considered across a larger sample because system conditions and the trading dynamics with neighboring BA’s tend to change, often in a manner that improves total diversity when considered over a longer period.</w:t>
      </w:r>
    </w:p>
    <w:p w14:paraId="61A9DCA9" w14:textId="252A5C0C" w:rsidR="009A335D" w:rsidRDefault="00414CD4" w:rsidP="00263D9B">
      <w:pPr>
        <w:rPr>
          <w:iCs/>
        </w:rPr>
      </w:pPr>
      <w:r>
        <w:rPr>
          <w:iCs/>
        </w:rPr>
        <w:t xml:space="preserve">Calculating the diversity index at the </w:t>
      </w:r>
      <w:r w:rsidR="006E53D7">
        <w:rPr>
          <w:iCs/>
        </w:rPr>
        <w:t>balancing authorit</w:t>
      </w:r>
      <w:r>
        <w:rPr>
          <w:iCs/>
        </w:rPr>
        <w:t>y</w:t>
      </w:r>
      <w:r w:rsidR="006E53D7">
        <w:rPr>
          <w:iCs/>
        </w:rPr>
        <w:t xml:space="preserve"> </w:t>
      </w:r>
      <w:r w:rsidR="00716D0D">
        <w:rPr>
          <w:iCs/>
        </w:rPr>
        <w:t xml:space="preserve">is </w:t>
      </w:r>
      <w:r w:rsidR="00581951">
        <w:rPr>
          <w:iCs/>
        </w:rPr>
        <w:t xml:space="preserve">a straightforward </w:t>
      </w:r>
      <w:r w:rsidR="006313B0">
        <w:rPr>
          <w:iCs/>
        </w:rPr>
        <w:t xml:space="preserve">choice </w:t>
      </w:r>
      <w:r>
        <w:rPr>
          <w:iCs/>
        </w:rPr>
        <w:t xml:space="preserve">for </w:t>
      </w:r>
      <w:r w:rsidR="00581951">
        <w:rPr>
          <w:iCs/>
        </w:rPr>
        <w:t xml:space="preserve">this </w:t>
      </w:r>
      <w:r>
        <w:rPr>
          <w:iCs/>
        </w:rPr>
        <w:t xml:space="preserve">analysis, as </w:t>
      </w:r>
      <w:r w:rsidR="00DA21D0">
        <w:rPr>
          <w:iCs/>
        </w:rPr>
        <w:t>the U</w:t>
      </w:r>
      <w:r w:rsidR="00FF5AFB">
        <w:rPr>
          <w:iCs/>
        </w:rPr>
        <w:t>.</w:t>
      </w:r>
      <w:r w:rsidR="00DA21D0">
        <w:rPr>
          <w:iCs/>
        </w:rPr>
        <w:t>S</w:t>
      </w:r>
      <w:r w:rsidR="00FF5AFB">
        <w:rPr>
          <w:iCs/>
        </w:rPr>
        <w:t>.</w:t>
      </w:r>
      <w:r w:rsidR="00DA21D0">
        <w:rPr>
          <w:iCs/>
        </w:rPr>
        <w:t xml:space="preserve"> </w:t>
      </w:r>
      <w:r w:rsidR="00FF5AFB">
        <w:rPr>
          <w:iCs/>
        </w:rPr>
        <w:t>E</w:t>
      </w:r>
      <w:r w:rsidR="00DA21D0">
        <w:rPr>
          <w:iCs/>
        </w:rPr>
        <w:t xml:space="preserve">nergy </w:t>
      </w:r>
      <w:r w:rsidR="00FF5AFB">
        <w:rPr>
          <w:iCs/>
        </w:rPr>
        <w:t>I</w:t>
      </w:r>
      <w:r w:rsidR="00DA21D0">
        <w:rPr>
          <w:iCs/>
        </w:rPr>
        <w:t xml:space="preserve">nformation </w:t>
      </w:r>
      <w:r w:rsidR="00FF5AFB">
        <w:rPr>
          <w:iCs/>
        </w:rPr>
        <w:t>A</w:t>
      </w:r>
      <w:r w:rsidR="00DA21D0">
        <w:rPr>
          <w:iCs/>
        </w:rPr>
        <w:t xml:space="preserve">dministration </w:t>
      </w:r>
      <w:r w:rsidR="00FF5AFB">
        <w:rPr>
          <w:iCs/>
        </w:rPr>
        <w:t xml:space="preserve">tracks and reports on electric interchange </w:t>
      </w:r>
      <w:r w:rsidR="00581951">
        <w:rPr>
          <w:iCs/>
        </w:rPr>
        <w:t xml:space="preserve">at the balancing authority level </w:t>
      </w:r>
      <w:r w:rsidR="00B103BF">
        <w:rPr>
          <w:iCs/>
        </w:rPr>
        <w:fldChar w:fldCharType="begin"/>
      </w:r>
      <w:r w:rsidR="00B103BF">
        <w:rPr>
          <w:iCs/>
        </w:rPr>
        <w:instrText xml:space="preserve"> ADDIN ZOTERO_ITEM CSL_CITATION {"citationID":"FJT1Vhnd","properties":{"formattedCitation":"[48]","plainCitation":"[48]","noteIndex":0},"citationItems":[{"id":533,"uris":["http://zotero.org/users/9332412/items/JN34K6AE"],"itemData":{"id":533,"type":"article-journal","container-title":"https://www.eia.gov/electricity/gridmonitor/","title":"Hourly Electric Grid Monitor","author":[{"literal":"U.S. Energy Information Administration"}]}}],"schema":"https://github.com/citation-style-language/schema/raw/master/csl-citation.json"} </w:instrText>
      </w:r>
      <w:r w:rsidR="00B103BF">
        <w:rPr>
          <w:iCs/>
        </w:rPr>
        <w:fldChar w:fldCharType="separate"/>
      </w:r>
      <w:r w:rsidR="00B103BF" w:rsidRPr="00B103BF">
        <w:t>[48]</w:t>
      </w:r>
      <w:r w:rsidR="00B103BF">
        <w:rPr>
          <w:iCs/>
        </w:rPr>
        <w:fldChar w:fldCharType="end"/>
      </w:r>
      <w:r w:rsidR="00FF5AFB">
        <w:rPr>
          <w:iCs/>
        </w:rPr>
        <w:t>.</w:t>
      </w:r>
      <w:r w:rsidR="000062B5">
        <w:rPr>
          <w:iCs/>
        </w:rPr>
        <w:t xml:space="preserve"> The</w:t>
      </w:r>
      <w:r w:rsidR="00A869F2">
        <w:rPr>
          <w:iCs/>
        </w:rPr>
        <w:t>se</w:t>
      </w:r>
      <w:r w:rsidR="000062B5">
        <w:rPr>
          <w:iCs/>
        </w:rPr>
        <w:t xml:space="preserve"> results provide</w:t>
      </w:r>
      <w:r w:rsidR="006313B0">
        <w:rPr>
          <w:iCs/>
        </w:rPr>
        <w:t xml:space="preserve"> a starting point to begin to understand diversity of imports across relevant control areas in the United States</w:t>
      </w:r>
      <w:r w:rsidR="008628DB">
        <w:rPr>
          <w:iCs/>
        </w:rPr>
        <w:t xml:space="preserve"> for high-level comparisons</w:t>
      </w:r>
      <w:r w:rsidR="006313B0">
        <w:rPr>
          <w:iCs/>
        </w:rPr>
        <w:t xml:space="preserve">. However, </w:t>
      </w:r>
      <w:r w:rsidR="008628DB">
        <w:rPr>
          <w:iCs/>
        </w:rPr>
        <w:t xml:space="preserve">sweeping conclusions </w:t>
      </w:r>
      <w:r w:rsidR="00D95139">
        <w:rPr>
          <w:iCs/>
        </w:rPr>
        <w:t xml:space="preserve">for any individual balancing authority based on these results should be avoided, and more scrutiny and analysis of local situations should be conducted </w:t>
      </w:r>
      <w:r w:rsidR="00F76057">
        <w:rPr>
          <w:iCs/>
        </w:rPr>
        <w:t xml:space="preserve">prior to making policy or business decisions for any individual regions. </w:t>
      </w:r>
    </w:p>
    <w:p w14:paraId="7EB6EDFC" w14:textId="6A03FAD5" w:rsidR="00010318" w:rsidRDefault="005276FF" w:rsidP="00263D9B">
      <w:pPr>
        <w:rPr>
          <w:iCs/>
        </w:rPr>
      </w:pPr>
      <w:r>
        <w:rPr>
          <w:iCs/>
        </w:rPr>
        <w:t>Balancing authorities</w:t>
      </w:r>
      <w:r w:rsidR="00936AE0">
        <w:rPr>
          <w:iCs/>
        </w:rPr>
        <w:t xml:space="preserve"> </w:t>
      </w:r>
      <w:r w:rsidR="00E60149">
        <w:rPr>
          <w:iCs/>
        </w:rPr>
        <w:t xml:space="preserve">vary widely in size across the United States, ranging from </w:t>
      </w:r>
      <w:r w:rsidR="009555AA">
        <w:rPr>
          <w:iCs/>
        </w:rPr>
        <w:t>over 9 GW of average demand in PJM to</w:t>
      </w:r>
      <w:r w:rsidR="00F64471">
        <w:rPr>
          <w:iCs/>
        </w:rPr>
        <w:t xml:space="preserve"> less than 50 MW for </w:t>
      </w:r>
      <w:r w:rsidR="003E26E0">
        <w:rPr>
          <w:iCs/>
        </w:rPr>
        <w:t>the NERC-certified electric balancing authority of New Smyrna Beach</w:t>
      </w:r>
      <w:r w:rsidR="0080207B">
        <w:rPr>
          <w:iCs/>
        </w:rPr>
        <w:t>, a surfers’ hub</w:t>
      </w:r>
      <w:r w:rsidR="003E26E0">
        <w:rPr>
          <w:iCs/>
        </w:rPr>
        <w:t xml:space="preserve"> in </w:t>
      </w:r>
      <w:r w:rsidR="0080207B">
        <w:rPr>
          <w:iCs/>
        </w:rPr>
        <w:t xml:space="preserve">eastern </w:t>
      </w:r>
      <w:r w:rsidR="003E26E0">
        <w:rPr>
          <w:iCs/>
        </w:rPr>
        <w:t>Florida.</w:t>
      </w:r>
      <w:r w:rsidR="00C57053">
        <w:rPr>
          <w:iCs/>
        </w:rPr>
        <w:t xml:space="preserve"> There are also several generation-only BAs</w:t>
      </w:r>
      <w:r w:rsidR="002B77BF">
        <w:rPr>
          <w:iCs/>
        </w:rPr>
        <w:t xml:space="preserve"> that serve no load, </w:t>
      </w:r>
      <w:r w:rsidR="006B3434">
        <w:rPr>
          <w:iCs/>
        </w:rPr>
        <w:t xml:space="preserve">consisting of </w:t>
      </w:r>
      <w:r w:rsidR="00E93479">
        <w:rPr>
          <w:iCs/>
        </w:rPr>
        <w:t>power plant owners</w:t>
      </w:r>
      <w:r w:rsidR="006B3434">
        <w:rPr>
          <w:iCs/>
        </w:rPr>
        <w:t xml:space="preserve"> </w:t>
      </w:r>
      <w:r w:rsidR="00850184">
        <w:rPr>
          <w:iCs/>
        </w:rPr>
        <w:t xml:space="preserve">who </w:t>
      </w:r>
      <w:r w:rsidR="006B3434">
        <w:rPr>
          <w:iCs/>
        </w:rPr>
        <w:t xml:space="preserve">made the business decision to </w:t>
      </w:r>
      <w:r w:rsidR="00A330CF">
        <w:rPr>
          <w:iCs/>
        </w:rPr>
        <w:t>provide their own</w:t>
      </w:r>
      <w:r w:rsidR="006B3434">
        <w:rPr>
          <w:iCs/>
        </w:rPr>
        <w:t xml:space="preserve"> </w:t>
      </w:r>
      <w:r w:rsidR="00A330CF">
        <w:rPr>
          <w:iCs/>
        </w:rPr>
        <w:t xml:space="preserve">required </w:t>
      </w:r>
      <w:r w:rsidR="006B3434">
        <w:rPr>
          <w:iCs/>
        </w:rPr>
        <w:t xml:space="preserve">reliability services rather than purchase them from and integrate into </w:t>
      </w:r>
      <w:r w:rsidR="00031FF4">
        <w:rPr>
          <w:iCs/>
        </w:rPr>
        <w:t>an available pre-</w:t>
      </w:r>
      <w:r w:rsidR="009344FA">
        <w:rPr>
          <w:iCs/>
        </w:rPr>
        <w:t xml:space="preserve">existing </w:t>
      </w:r>
      <w:r w:rsidR="003A26FB">
        <w:rPr>
          <w:iCs/>
        </w:rPr>
        <w:t xml:space="preserve">balancing authority </w:t>
      </w:r>
      <w:r w:rsidR="00031FF4">
        <w:rPr>
          <w:iCs/>
        </w:rPr>
        <w:t xml:space="preserve">in </w:t>
      </w:r>
      <w:r w:rsidR="003A26FB">
        <w:rPr>
          <w:iCs/>
        </w:rPr>
        <w:t>their territory</w:t>
      </w:r>
      <w:r w:rsidR="00031FF4">
        <w:rPr>
          <w:iCs/>
        </w:rPr>
        <w:t xml:space="preserve"> </w:t>
      </w:r>
      <w:r w:rsidR="002D4BEA">
        <w:rPr>
          <w:iCs/>
        </w:rPr>
        <w:fldChar w:fldCharType="begin"/>
      </w:r>
      <w:r w:rsidR="002D4BEA">
        <w:rPr>
          <w:iCs/>
        </w:rPr>
        <w:instrText xml:space="preserve"> ADDIN ZOTERO_ITEM CSL_CITATION {"citationID":"6VKpKGoC","properties":{"formattedCitation":"[49]","plainCitation":"[49]","noteIndex":0},"citationItems":[{"id":505,"uris":["http://zotero.org/users/9332412/items/ETVPADP5"],"itemData":{"id":505,"type":"article-journal","abstract":"The introduction of new power generation, including intermittent resources, into the North American electric grid is exposing the fact that the traditional approach to resource integration is not necessarily cost-effective. At the forefront of analysis is the electric balancing authority; the functional structure that is responsible for maintaining the continuous balance of the demand for and supply of electric power. Electric balancing authorities perform this function according to standards developed by the North American Electric Reliability Corporation and the Federal Energy Regulatory Commission. These services can significantly affect the cost of power. Rather than blindly purchasing balancing services from the local balancing authority, power generators and loads are proactively affecting their cost structure by purchasing balancing services from an adjacent balancing authority or forming a separate balancing authority and self-supplying services. These options do not undermine reliability and the cost controls enabled by competition ensure efficient resource integration.","container-title":"Washington Journal of Environmental Law &amp; Policy","title":"Maintaining A Balance: Innovation in Power System Balancing Authorities","author":[{"family":"Mclellan","given":"Malcolm"},{"family":"Opatrny","given":"Carol"}],"issued":{"date-parts":[["2011"]]}}}],"schema":"https://github.com/citation-style-language/schema/raw/master/csl-citation.json"} </w:instrText>
      </w:r>
      <w:r w:rsidR="002D4BEA">
        <w:rPr>
          <w:iCs/>
        </w:rPr>
        <w:fldChar w:fldCharType="separate"/>
      </w:r>
      <w:r w:rsidR="002D4BEA" w:rsidRPr="002D4BEA">
        <w:t>[49]</w:t>
      </w:r>
      <w:r w:rsidR="002D4BEA">
        <w:rPr>
          <w:iCs/>
        </w:rPr>
        <w:fldChar w:fldCharType="end"/>
      </w:r>
      <w:r w:rsidR="00010318">
        <w:rPr>
          <w:iCs/>
        </w:rPr>
        <w:t xml:space="preserve">. </w:t>
      </w:r>
    </w:p>
    <w:p w14:paraId="317BF8FC" w14:textId="49D37498" w:rsidR="00F76057" w:rsidRDefault="003F792F" w:rsidP="00263D9B">
      <w:pPr>
        <w:rPr>
          <w:iCs/>
        </w:rPr>
      </w:pPr>
      <w:r>
        <w:rPr>
          <w:iCs/>
        </w:rPr>
        <w:t xml:space="preserve">Some large </w:t>
      </w:r>
      <w:r w:rsidR="005C3501">
        <w:rPr>
          <w:iCs/>
        </w:rPr>
        <w:t>balancing authorities</w:t>
      </w:r>
      <w:r>
        <w:rPr>
          <w:iCs/>
        </w:rPr>
        <w:t xml:space="preserve"> in this analysis</w:t>
      </w:r>
      <w:r w:rsidR="00AD0771">
        <w:rPr>
          <w:iCs/>
        </w:rPr>
        <w:t xml:space="preserve"> consist of</w:t>
      </w:r>
      <w:r>
        <w:rPr>
          <w:iCs/>
        </w:rPr>
        <w:t xml:space="preserve"> several </w:t>
      </w:r>
      <w:r w:rsidR="00F17ABA">
        <w:rPr>
          <w:iCs/>
        </w:rPr>
        <w:t>local systems</w:t>
      </w:r>
      <w:r w:rsidR="00DA63D1">
        <w:rPr>
          <w:iCs/>
        </w:rPr>
        <w:t>,</w:t>
      </w:r>
      <w:r w:rsidR="00F17ABA">
        <w:rPr>
          <w:iCs/>
        </w:rPr>
        <w:t xml:space="preserve"> </w:t>
      </w:r>
      <w:r>
        <w:rPr>
          <w:iCs/>
        </w:rPr>
        <w:t xml:space="preserve">which may be a more </w:t>
      </w:r>
      <w:r w:rsidR="00625747">
        <w:rPr>
          <w:iCs/>
        </w:rPr>
        <w:t xml:space="preserve">suitable </w:t>
      </w:r>
      <w:r>
        <w:rPr>
          <w:iCs/>
        </w:rPr>
        <w:t xml:space="preserve">unit of analysis to compare with other small </w:t>
      </w:r>
      <w:r w:rsidR="00F72FB0">
        <w:rPr>
          <w:iCs/>
        </w:rPr>
        <w:t>balancing authorities</w:t>
      </w:r>
      <w:r>
        <w:rPr>
          <w:iCs/>
        </w:rPr>
        <w:t xml:space="preserve">. For example, </w:t>
      </w:r>
      <w:r w:rsidR="00404EEB">
        <w:rPr>
          <w:iCs/>
        </w:rPr>
        <w:t>MISO</w:t>
      </w:r>
      <w:r w:rsidR="009B35B3">
        <w:rPr>
          <w:iCs/>
        </w:rPr>
        <w:t xml:space="preserve"> is a balancing authority which</w:t>
      </w:r>
      <w:r w:rsidR="00404EEB">
        <w:rPr>
          <w:iCs/>
        </w:rPr>
        <w:t xml:space="preserve"> has many “local balancing authorities” (LBAs)</w:t>
      </w:r>
      <w:r w:rsidR="00252937">
        <w:rPr>
          <w:iCs/>
        </w:rPr>
        <w:t>, many of which are electric operating companies roughly comparable to</w:t>
      </w:r>
      <w:r w:rsidR="001A53F8">
        <w:rPr>
          <w:iCs/>
        </w:rPr>
        <w:t xml:space="preserve"> </w:t>
      </w:r>
      <w:r w:rsidR="00BF5F8C">
        <w:rPr>
          <w:iCs/>
        </w:rPr>
        <w:t>balancing authorities</w:t>
      </w:r>
      <w:r w:rsidR="00252937">
        <w:rPr>
          <w:iCs/>
        </w:rPr>
        <w:t xml:space="preserve"> </w:t>
      </w:r>
      <w:r w:rsidR="007C0434">
        <w:rPr>
          <w:iCs/>
        </w:rPr>
        <w:t xml:space="preserve">outside of regional </w:t>
      </w:r>
      <w:r w:rsidR="007C0434">
        <w:rPr>
          <w:iCs/>
        </w:rPr>
        <w:lastRenderedPageBreak/>
        <w:t>transmission organization</w:t>
      </w:r>
      <w:r w:rsidR="00BF5F8C">
        <w:rPr>
          <w:iCs/>
        </w:rPr>
        <w:t>s</w:t>
      </w:r>
      <w:r w:rsidR="000219A8">
        <w:rPr>
          <w:iCs/>
        </w:rPr>
        <w:t>. However,</w:t>
      </w:r>
      <w:r w:rsidR="00C2595F">
        <w:rPr>
          <w:iCs/>
        </w:rPr>
        <w:t xml:space="preserve"> </w:t>
      </w:r>
      <w:r w:rsidR="000219A8">
        <w:rPr>
          <w:iCs/>
        </w:rPr>
        <w:t xml:space="preserve">electricity </w:t>
      </w:r>
      <w:r w:rsidR="005F3832">
        <w:rPr>
          <w:iCs/>
        </w:rPr>
        <w:t>trade</w:t>
      </w:r>
      <w:r w:rsidR="00C2595F">
        <w:rPr>
          <w:iCs/>
        </w:rPr>
        <w:t xml:space="preserve"> </w:t>
      </w:r>
      <w:r w:rsidR="000219A8">
        <w:rPr>
          <w:iCs/>
        </w:rPr>
        <w:t xml:space="preserve">data are </w:t>
      </w:r>
      <w:r w:rsidR="00C2595F">
        <w:rPr>
          <w:iCs/>
        </w:rPr>
        <w:t xml:space="preserve">not available at </w:t>
      </w:r>
      <w:r w:rsidR="000219A8">
        <w:rPr>
          <w:iCs/>
        </w:rPr>
        <w:t xml:space="preserve">the LBA </w:t>
      </w:r>
      <w:r w:rsidR="00C2595F">
        <w:rPr>
          <w:iCs/>
        </w:rPr>
        <w:t>level.</w:t>
      </w:r>
      <w:r w:rsidR="00DE4C7D">
        <w:rPr>
          <w:iCs/>
        </w:rPr>
        <w:t xml:space="preserve"> Thus, </w:t>
      </w:r>
      <w:r w:rsidR="00454DBD">
        <w:rPr>
          <w:iCs/>
        </w:rPr>
        <w:t xml:space="preserve">additional analysis </w:t>
      </w:r>
      <w:r w:rsidR="00464C19">
        <w:rPr>
          <w:iCs/>
        </w:rPr>
        <w:t xml:space="preserve">that dives </w:t>
      </w:r>
      <w:r w:rsidR="00A637DF">
        <w:rPr>
          <w:iCs/>
        </w:rPr>
        <w:t xml:space="preserve">deeper </w:t>
      </w:r>
      <w:r w:rsidR="00464C19">
        <w:rPr>
          <w:iCs/>
        </w:rPr>
        <w:t xml:space="preserve">into </w:t>
      </w:r>
      <w:r w:rsidR="00A637DF">
        <w:rPr>
          <w:iCs/>
        </w:rPr>
        <w:t xml:space="preserve">local systems </w:t>
      </w:r>
      <w:r w:rsidR="00454DBD">
        <w:rPr>
          <w:iCs/>
        </w:rPr>
        <w:t xml:space="preserve">of interest is important </w:t>
      </w:r>
      <w:r w:rsidR="000A193A">
        <w:rPr>
          <w:iCs/>
        </w:rPr>
        <w:t xml:space="preserve">to </w:t>
      </w:r>
      <w:r w:rsidR="00A637DF">
        <w:rPr>
          <w:iCs/>
        </w:rPr>
        <w:t xml:space="preserve">reflect </w:t>
      </w:r>
      <w:r w:rsidR="00DE138E">
        <w:rPr>
          <w:iCs/>
        </w:rPr>
        <w:t xml:space="preserve">the </w:t>
      </w:r>
      <w:r w:rsidR="0077196C">
        <w:rPr>
          <w:iCs/>
        </w:rPr>
        <w:t xml:space="preserve">varying characteristics of </w:t>
      </w:r>
      <w:r w:rsidR="000A193A">
        <w:rPr>
          <w:iCs/>
        </w:rPr>
        <w:t>balancing authorities across the industry</w:t>
      </w:r>
      <w:r w:rsidR="0077196C">
        <w:rPr>
          <w:iCs/>
        </w:rPr>
        <w:t>.</w:t>
      </w:r>
    </w:p>
    <w:p w14:paraId="5D2E80D5" w14:textId="7ACFD81C" w:rsidR="00E1458F" w:rsidRDefault="0080747C" w:rsidP="00454DBD">
      <w:pPr>
        <w:pStyle w:val="Heading1"/>
      </w:pPr>
      <w:r>
        <w:t>Considering</w:t>
      </w:r>
      <w:r w:rsidR="00A85FAE">
        <w:t xml:space="preserve"> </w:t>
      </w:r>
      <w:r w:rsidR="00760CEF">
        <w:t xml:space="preserve">Electricity </w:t>
      </w:r>
      <w:r w:rsidR="00766113">
        <w:t xml:space="preserve">Import Reliance and Diversity </w:t>
      </w:r>
      <w:r>
        <w:t>Jointly</w:t>
      </w:r>
    </w:p>
    <w:p w14:paraId="22969473" w14:textId="652ECF99" w:rsidR="00CC60FF" w:rsidRDefault="00CC60FF">
      <w:r>
        <w:t xml:space="preserve">One pattern </w:t>
      </w:r>
      <w:r w:rsidR="00E1458F">
        <w:t xml:space="preserve">observed in the results </w:t>
      </w:r>
      <w:r w:rsidR="00572FF6">
        <w:t xml:space="preserve">from </w:t>
      </w:r>
      <w:r w:rsidR="009C0BE6">
        <w:t xml:space="preserve">Appendix </w:t>
      </w:r>
      <w:r w:rsidR="00E1458F">
        <w:fldChar w:fldCharType="begin"/>
      </w:r>
      <w:r w:rsidR="00E1458F">
        <w:instrText xml:space="preserve"> REF _Ref177631128 \h </w:instrText>
      </w:r>
      <w:r w:rsidR="00E1458F">
        <w:fldChar w:fldCharType="separate"/>
      </w:r>
      <w:r w:rsidR="00E1458F">
        <w:t xml:space="preserve">Table </w:t>
      </w:r>
      <w:r w:rsidR="00E1458F">
        <w:rPr>
          <w:noProof/>
        </w:rPr>
        <w:t>2</w:t>
      </w:r>
      <w:r w:rsidR="00E1458F">
        <w:fldChar w:fldCharType="end"/>
      </w:r>
      <w:r w:rsidR="004C104C">
        <w:t xml:space="preserve"> </w:t>
      </w:r>
      <w:r w:rsidR="00F14B52">
        <w:t xml:space="preserve">is a correlation between a balancing authority’s size and its diversity </w:t>
      </w:r>
      <w:r w:rsidR="00793074">
        <w:t>index</w:t>
      </w:r>
      <w:r w:rsidR="00F14B52">
        <w:t>.</w:t>
      </w:r>
      <w:r w:rsidR="00CC2ECB">
        <w:rPr>
          <w:rStyle w:val="FootnoteReference"/>
        </w:rPr>
        <w:footnoteReference w:id="1"/>
      </w:r>
      <w:r w:rsidR="00F14B52">
        <w:t xml:space="preserve"> </w:t>
      </w:r>
      <w:r w:rsidR="00910705">
        <w:t>L</w:t>
      </w:r>
      <w:r w:rsidR="001A50A4">
        <w:t xml:space="preserve">arger </w:t>
      </w:r>
      <w:r w:rsidR="00625F61">
        <w:t>systems</w:t>
      </w:r>
      <w:r w:rsidR="001A50A4">
        <w:t xml:space="preserve"> tend to have </w:t>
      </w:r>
      <w:r w:rsidR="0018723C">
        <w:t xml:space="preserve">higher numbers of trading partners to import from, contributing to a larger diversity </w:t>
      </w:r>
      <w:r w:rsidR="00BA3941">
        <w:t>index</w:t>
      </w:r>
      <w:r w:rsidR="0018723C">
        <w:t xml:space="preserve">. </w:t>
      </w:r>
      <w:r w:rsidR="00F53522">
        <w:t>Furthermore (and perhaps relatedly)</w:t>
      </w:r>
      <w:r w:rsidR="00082A64">
        <w:t xml:space="preserve"> </w:t>
      </w:r>
      <w:r w:rsidR="00F53522">
        <w:t xml:space="preserve">some large </w:t>
      </w:r>
      <w:r w:rsidR="00625F61">
        <w:t>balancing authorities</w:t>
      </w:r>
      <w:r w:rsidR="00082A64">
        <w:t xml:space="preserve"> with higher diversity</w:t>
      </w:r>
      <w:r w:rsidR="00380A24">
        <w:t xml:space="preserve"> </w:t>
      </w:r>
      <w:r w:rsidR="00935056">
        <w:t>have low import reliance</w:t>
      </w:r>
      <w:r w:rsidR="00F87278">
        <w:t xml:space="preserve">. Bonneville Power Administration, Salt River Project, </w:t>
      </w:r>
      <w:r w:rsidR="00D72422">
        <w:t xml:space="preserve">Southwest Power Pool, and PJM are among the </w:t>
      </w:r>
      <w:r w:rsidR="00A50358">
        <w:t xml:space="preserve">strongest examples of </w:t>
      </w:r>
      <w:r w:rsidR="00F621A4">
        <w:t>systems with</w:t>
      </w:r>
      <w:r w:rsidR="005F65E9">
        <w:t xml:space="preserve"> high </w:t>
      </w:r>
      <w:r w:rsidR="00A87C09">
        <w:t xml:space="preserve">import </w:t>
      </w:r>
      <w:r w:rsidR="005F65E9">
        <w:t xml:space="preserve">diversity but </w:t>
      </w:r>
      <w:r w:rsidR="00BD1A23">
        <w:t>minimal import reliance</w:t>
      </w:r>
      <w:r w:rsidR="00A50358">
        <w:t>, though there are other examples as well.</w:t>
      </w:r>
      <w:r w:rsidR="005F67C3">
        <w:t xml:space="preserve"> </w:t>
      </w:r>
      <w:r w:rsidR="0023626F">
        <w:t xml:space="preserve">Across </w:t>
      </w:r>
      <w:r w:rsidR="004A7ACA">
        <w:t>all U.S. balancing authorities</w:t>
      </w:r>
      <w:r w:rsidR="0023626F">
        <w:t>, t</w:t>
      </w:r>
      <w:r w:rsidR="00323D57">
        <w:t>he correlation between import diversity and reliance is -0.42.</w:t>
      </w:r>
    </w:p>
    <w:p w14:paraId="6239C776" w14:textId="429D68CD" w:rsidR="00D426C8" w:rsidRDefault="008E5BBD">
      <w:r>
        <w:t>In cases</w:t>
      </w:r>
      <w:r w:rsidR="000B56B7">
        <w:t xml:space="preserve"> like the above examples</w:t>
      </w:r>
      <w:r>
        <w:t xml:space="preserve"> where import reliance is low</w:t>
      </w:r>
      <w:r w:rsidR="00D34A00">
        <w:t xml:space="preserve">, diversity may be of less concern to an electric company or policymaker </w:t>
      </w:r>
      <w:r w:rsidR="00876E47">
        <w:t xml:space="preserve">from a reliability perspective because </w:t>
      </w:r>
      <w:r w:rsidR="007D1134">
        <w:t xml:space="preserve">local supply </w:t>
      </w:r>
      <w:r w:rsidR="00D3693E">
        <w:t xml:space="preserve">dispatchable by </w:t>
      </w:r>
      <w:r w:rsidR="007D1134">
        <w:t xml:space="preserve">the </w:t>
      </w:r>
      <w:r w:rsidR="00D3693E">
        <w:t>system operator</w:t>
      </w:r>
      <w:r w:rsidR="007D1134">
        <w:t xml:space="preserve"> </w:t>
      </w:r>
      <w:r w:rsidR="004E16E1">
        <w:t>serves a large share of demand.</w:t>
      </w:r>
      <w:r w:rsidR="001D6C5D">
        <w:t xml:space="preserve"> Conversely, </w:t>
      </w:r>
      <w:r w:rsidR="00034B04">
        <w:t xml:space="preserve">diversity may be more important for systems </w:t>
      </w:r>
      <w:r w:rsidR="0062268B">
        <w:t>with high levels of imports</w:t>
      </w:r>
      <w:r w:rsidR="001202B9">
        <w:t xml:space="preserve">. An electricity system that relies heavily on imports could </w:t>
      </w:r>
      <w:r w:rsidR="00294DE9">
        <w:t xml:space="preserve">have a higher risk </w:t>
      </w:r>
      <w:r w:rsidR="001202B9">
        <w:t xml:space="preserve">of </w:t>
      </w:r>
      <w:proofErr w:type="gramStart"/>
      <w:r w:rsidR="001202B9">
        <w:t>a supply</w:t>
      </w:r>
      <w:proofErr w:type="gramEnd"/>
      <w:r w:rsidR="001202B9">
        <w:t xml:space="preserve"> disruption if they rely on a less diverse set of </w:t>
      </w:r>
      <w:r w:rsidR="006D3286">
        <w:t>imports concentrated amongst a smaller set of trading partners</w:t>
      </w:r>
      <w:r w:rsidR="00B16EFA">
        <w:t>.</w:t>
      </w:r>
    </w:p>
    <w:p w14:paraId="5F3ACB6B" w14:textId="1E8324E5" w:rsidR="00DB165F" w:rsidRPr="007829EA" w:rsidRDefault="00384058">
      <w:r>
        <w:t xml:space="preserve">Consider </w:t>
      </w:r>
      <w:r>
        <w:fldChar w:fldCharType="begin"/>
      </w:r>
      <w:r>
        <w:instrText xml:space="preserve"> REF _Ref179539912 \h </w:instrText>
      </w:r>
      <w:r>
        <w:fldChar w:fldCharType="separate"/>
      </w:r>
      <w:r>
        <w:t xml:space="preserve">Figure </w:t>
      </w:r>
      <w:r>
        <w:rPr>
          <w:noProof/>
        </w:rPr>
        <w:t>3</w:t>
      </w:r>
      <w:r>
        <w:fldChar w:fldCharType="end"/>
      </w:r>
      <w:r w:rsidR="008616C3">
        <w:t xml:space="preserve">, which includes a scatterplot of import reliance versus import diversity for each US balancing authority. </w:t>
      </w:r>
      <w:r w:rsidR="000A0545">
        <w:t xml:space="preserve">In this sample, among </w:t>
      </w:r>
      <w:r w:rsidR="00D12440">
        <w:t xml:space="preserve">the </w:t>
      </w:r>
      <w:r w:rsidR="009672C5">
        <w:t>balancing authorities</w:t>
      </w:r>
      <w:r w:rsidR="00D12440">
        <w:t xml:space="preserve"> with low import reliance there is wide variation in </w:t>
      </w:r>
      <w:r w:rsidR="000A0545">
        <w:t>the corresponding diversity</w:t>
      </w:r>
      <w:r w:rsidR="00120921">
        <w:t xml:space="preserve">, </w:t>
      </w:r>
      <w:r w:rsidR="003B6D57">
        <w:t>categorized</w:t>
      </w:r>
      <w:r w:rsidR="00120921">
        <w:t xml:space="preserve"> in </w:t>
      </w:r>
      <w:r w:rsidR="003B6D57">
        <w:t>blue</w:t>
      </w:r>
      <w:r w:rsidR="0083126B">
        <w:t xml:space="preserve">. </w:t>
      </w:r>
      <w:r w:rsidR="00EE0533">
        <w:t>On average, d</w:t>
      </w:r>
      <w:r w:rsidR="0083126B">
        <w:t xml:space="preserve">iversity may be less important to the overall system for the BAs in the blue region relative to others. </w:t>
      </w:r>
      <w:r w:rsidR="00CD2F9C">
        <w:t xml:space="preserve">A diverse set of imports may be more important </w:t>
      </w:r>
      <w:r w:rsidR="0056732B">
        <w:t>for systems with higher levels of import reliance</w:t>
      </w:r>
      <w:r w:rsidR="00C56709">
        <w:t xml:space="preserve"> (the green region). Conversely,</w:t>
      </w:r>
      <w:r w:rsidR="000F5131">
        <w:t xml:space="preserve"> a system highly reliant </w:t>
      </w:r>
      <w:r w:rsidR="00222046">
        <w:t xml:space="preserve">on </w:t>
      </w:r>
      <w:r w:rsidR="00E363E7">
        <w:t xml:space="preserve">a concentrated (less diverse) </w:t>
      </w:r>
      <w:r w:rsidR="00C56709">
        <w:t>set of imports may be more susceptible to reliability issues (red region).</w:t>
      </w:r>
    </w:p>
    <w:p w14:paraId="106CCEC6" w14:textId="77777777" w:rsidR="00D426C8" w:rsidRDefault="00D426C8" w:rsidP="00D426C8">
      <w:pPr>
        <w:keepNext/>
      </w:pPr>
      <w:r>
        <w:rPr>
          <w:noProof/>
        </w:rPr>
        <w:lastRenderedPageBreak/>
        <w:drawing>
          <wp:inline distT="0" distB="0" distL="0" distR="0" wp14:anchorId="5427C070" wp14:editId="58D65515">
            <wp:extent cx="3771900" cy="2419497"/>
            <wp:effectExtent l="0" t="0" r="0" b="0"/>
            <wp:docPr id="150368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2293" name=""/>
                    <pic:cNvPicPr/>
                  </pic:nvPicPr>
                  <pic:blipFill>
                    <a:blip r:embed="rId12"/>
                    <a:stretch>
                      <a:fillRect/>
                    </a:stretch>
                  </pic:blipFill>
                  <pic:spPr>
                    <a:xfrm>
                      <a:off x="0" y="0"/>
                      <a:ext cx="3777832" cy="2423302"/>
                    </a:xfrm>
                    <a:prstGeom prst="rect">
                      <a:avLst/>
                    </a:prstGeom>
                  </pic:spPr>
                </pic:pic>
              </a:graphicData>
            </a:graphic>
          </wp:inline>
        </w:drawing>
      </w:r>
    </w:p>
    <w:p w14:paraId="42A57FA7" w14:textId="1E463D7D" w:rsidR="00D426C8" w:rsidRPr="00D16FB2" w:rsidRDefault="00D426C8" w:rsidP="00D426C8">
      <w:pPr>
        <w:pStyle w:val="Caption"/>
      </w:pPr>
      <w:bookmarkStart w:id="4" w:name="_Ref179539912"/>
      <w:r>
        <w:t xml:space="preserve">Figure </w:t>
      </w:r>
      <w:r w:rsidR="00672EC5">
        <w:fldChar w:fldCharType="begin"/>
      </w:r>
      <w:r w:rsidR="00672EC5">
        <w:instrText xml:space="preserve"> SEQ Figure \* ARABIC </w:instrText>
      </w:r>
      <w:r w:rsidR="00672EC5">
        <w:fldChar w:fldCharType="separate"/>
      </w:r>
      <w:r w:rsidR="00672EC5">
        <w:rPr>
          <w:noProof/>
        </w:rPr>
        <w:t>3</w:t>
      </w:r>
      <w:r w:rsidR="00672EC5">
        <w:rPr>
          <w:noProof/>
        </w:rPr>
        <w:fldChar w:fldCharType="end"/>
      </w:r>
      <w:bookmarkEnd w:id="4"/>
      <w:r>
        <w:t xml:space="preserve"> Scatter plot of U.S. balancing authority</w:t>
      </w:r>
      <w:r>
        <w:rPr>
          <w:noProof/>
        </w:rPr>
        <w:t xml:space="preserve"> import reliance versus import diversity metrics, partitioned into three spaces.</w:t>
      </w:r>
    </w:p>
    <w:p w14:paraId="39C9BF83" w14:textId="5A9517A3" w:rsidR="00125268" w:rsidRPr="0014445F" w:rsidRDefault="00A33168">
      <w:r>
        <w:t xml:space="preserve">Following the premise that import diversity is more important for electricity systems that </w:t>
      </w:r>
      <w:r w:rsidR="003C37DF">
        <w:t xml:space="preserve">rely more heavily on imports, </w:t>
      </w:r>
      <w:r w:rsidR="003F69A5">
        <w:t xml:space="preserve">a third metric is applied that </w:t>
      </w:r>
      <w:r w:rsidR="00572759">
        <w:t>rescales the balancing authority diversity score by its import reliance.</w:t>
      </w:r>
      <w:r w:rsidR="00EA0A10">
        <w:t xml:space="preserve"> Th</w:t>
      </w:r>
      <w:r w:rsidR="00651F29">
        <w:t xml:space="preserve">e </w:t>
      </w:r>
      <w:r w:rsidR="00EA0A10">
        <w:t xml:space="preserve">new joint import reliance-diversity metric </w:t>
      </w:r>
      <w:r w:rsidR="00651F29">
        <w:t>for U.S. BAs is reported in</w:t>
      </w:r>
      <w:r w:rsidR="00C32C83">
        <w:t xml:space="preserve"> Appendix</w:t>
      </w:r>
      <w:r w:rsidR="00651F29">
        <w:t xml:space="preserve"> </w:t>
      </w:r>
      <w:r w:rsidR="00C32C83">
        <w:rPr>
          <w:highlight w:val="yellow"/>
        </w:rPr>
        <w:fldChar w:fldCharType="begin"/>
      </w:r>
      <w:r w:rsidR="00C32C83">
        <w:instrText xml:space="preserve"> REF _Ref179611009 \h </w:instrText>
      </w:r>
      <w:r w:rsidR="00C32C83">
        <w:rPr>
          <w:highlight w:val="yellow"/>
        </w:rPr>
      </w:r>
      <w:r w:rsidR="00C32C83">
        <w:rPr>
          <w:highlight w:val="yellow"/>
        </w:rPr>
        <w:fldChar w:fldCharType="separate"/>
      </w:r>
      <w:r w:rsidR="00C32C83">
        <w:t xml:space="preserve">Table </w:t>
      </w:r>
      <w:r w:rsidR="00C32C83">
        <w:rPr>
          <w:noProof/>
        </w:rPr>
        <w:t>3</w:t>
      </w:r>
      <w:r w:rsidR="00C32C83">
        <w:rPr>
          <w:highlight w:val="yellow"/>
        </w:rPr>
        <w:fldChar w:fldCharType="end"/>
      </w:r>
      <w:r w:rsidR="00816E51">
        <w:t>, which</w:t>
      </w:r>
      <w:r w:rsidR="00CF0537">
        <w:t xml:space="preserve"> is</w:t>
      </w:r>
      <w:r w:rsidR="00816E51">
        <w:t xml:space="preserve"> calculated by simply </w:t>
      </w:r>
      <w:r w:rsidR="00C32C83">
        <w:t xml:space="preserve">multiplying </w:t>
      </w:r>
      <w:r w:rsidR="0073700B">
        <w:t xml:space="preserve">the import reliance value in </w:t>
      </w:r>
      <w:r w:rsidR="00C32C83">
        <w:rPr>
          <w:highlight w:val="yellow"/>
        </w:rPr>
        <w:fldChar w:fldCharType="begin"/>
      </w:r>
      <w:r w:rsidR="00C32C83">
        <w:instrText xml:space="preserve"> REF _Ref177631068 \h </w:instrText>
      </w:r>
      <w:r w:rsidR="00C32C83">
        <w:rPr>
          <w:highlight w:val="yellow"/>
        </w:rPr>
      </w:r>
      <w:r w:rsidR="00C32C83">
        <w:rPr>
          <w:highlight w:val="yellow"/>
        </w:rPr>
        <w:fldChar w:fldCharType="separate"/>
      </w:r>
      <w:r w:rsidR="00C32C83">
        <w:t xml:space="preserve">Table </w:t>
      </w:r>
      <w:r w:rsidR="00C32C83">
        <w:rPr>
          <w:noProof/>
        </w:rPr>
        <w:t>1</w:t>
      </w:r>
      <w:r w:rsidR="00C32C83">
        <w:rPr>
          <w:highlight w:val="yellow"/>
        </w:rPr>
        <w:fldChar w:fldCharType="end"/>
      </w:r>
      <w:r w:rsidR="0073700B">
        <w:t xml:space="preserve"> by import diversity in </w:t>
      </w:r>
      <w:r w:rsidR="00C32C83">
        <w:rPr>
          <w:highlight w:val="yellow"/>
        </w:rPr>
        <w:fldChar w:fldCharType="begin"/>
      </w:r>
      <w:r w:rsidR="00C32C83">
        <w:instrText xml:space="preserve"> REF _Ref179611033 \h </w:instrText>
      </w:r>
      <w:r w:rsidR="00C32C83">
        <w:rPr>
          <w:highlight w:val="yellow"/>
        </w:rPr>
      </w:r>
      <w:r w:rsidR="00C32C83">
        <w:rPr>
          <w:highlight w:val="yellow"/>
        </w:rPr>
        <w:fldChar w:fldCharType="separate"/>
      </w:r>
      <w:r w:rsidR="00C32C83">
        <w:t xml:space="preserve">Table </w:t>
      </w:r>
      <w:r w:rsidR="00C32C83">
        <w:rPr>
          <w:noProof/>
        </w:rPr>
        <w:t>2</w:t>
      </w:r>
      <w:r w:rsidR="00C32C83">
        <w:rPr>
          <w:highlight w:val="yellow"/>
        </w:rPr>
        <w:fldChar w:fldCharType="end"/>
      </w:r>
      <w:r w:rsidR="00FF57E9">
        <w:t>.</w:t>
      </w:r>
      <w:r w:rsidR="00066B07">
        <w:t xml:space="preserve"> The </w:t>
      </w:r>
      <w:r w:rsidR="00CF0537">
        <w:t>balancing authorities</w:t>
      </w:r>
      <w:r w:rsidR="00066B07">
        <w:t xml:space="preserve"> with </w:t>
      </w:r>
      <w:r w:rsidR="00CF0537">
        <w:t xml:space="preserve">the </w:t>
      </w:r>
      <w:r w:rsidR="00066B07">
        <w:t xml:space="preserve">highest </w:t>
      </w:r>
      <w:r w:rsidR="00CF0537">
        <w:t xml:space="preserve">reliance-diversity </w:t>
      </w:r>
      <w:r w:rsidR="00066B07">
        <w:t xml:space="preserve">metric values in </w:t>
      </w:r>
      <w:r w:rsidR="00066B07">
        <w:fldChar w:fldCharType="begin"/>
      </w:r>
      <w:r w:rsidR="00066B07">
        <w:instrText xml:space="preserve"> REF _Ref179611009 \h </w:instrText>
      </w:r>
      <w:r w:rsidR="00066B07">
        <w:fldChar w:fldCharType="separate"/>
      </w:r>
      <w:r w:rsidR="00066B07">
        <w:t xml:space="preserve">Table </w:t>
      </w:r>
      <w:r w:rsidR="00066B07">
        <w:rPr>
          <w:noProof/>
        </w:rPr>
        <w:t>3</w:t>
      </w:r>
      <w:r w:rsidR="00066B07">
        <w:fldChar w:fldCharType="end"/>
      </w:r>
      <w:r w:rsidR="00066B07">
        <w:t xml:space="preserve"> are those in the upper right frontier </w:t>
      </w:r>
      <w:r w:rsidR="00D62C81">
        <w:t xml:space="preserve">of the </w:t>
      </w:r>
      <w:r w:rsidR="00D62C81">
        <w:fldChar w:fldCharType="begin"/>
      </w:r>
      <w:r w:rsidR="00D62C81">
        <w:instrText xml:space="preserve"> REF _Ref179539912 \h </w:instrText>
      </w:r>
      <w:r w:rsidR="00D62C81">
        <w:fldChar w:fldCharType="separate"/>
      </w:r>
      <w:r w:rsidR="00D62C81">
        <w:t xml:space="preserve">Figure </w:t>
      </w:r>
      <w:r w:rsidR="00D62C81">
        <w:rPr>
          <w:noProof/>
        </w:rPr>
        <w:t>3</w:t>
      </w:r>
      <w:r w:rsidR="00D62C81">
        <w:fldChar w:fldCharType="end"/>
      </w:r>
      <w:r w:rsidR="00D62C81">
        <w:t xml:space="preserve"> scatterplot</w:t>
      </w:r>
      <w:r w:rsidR="004D40FC">
        <w:t xml:space="preserve">. These are the </w:t>
      </w:r>
      <w:r w:rsidR="00517E85">
        <w:t xml:space="preserve">balancing </w:t>
      </w:r>
      <w:proofErr w:type="gramStart"/>
      <w:r w:rsidR="00517E85">
        <w:t xml:space="preserve">authorities </w:t>
      </w:r>
      <w:r w:rsidR="004D40FC">
        <w:t xml:space="preserve"> that</w:t>
      </w:r>
      <w:proofErr w:type="gramEnd"/>
      <w:r w:rsidR="004D40FC">
        <w:t xml:space="preserve"> have </w:t>
      </w:r>
      <w:r w:rsidR="005B0452">
        <w:t>high</w:t>
      </w:r>
      <w:r w:rsidR="007E78D2">
        <w:t xml:space="preserve"> reliance on imports from a diverse set of trading partners, and include California ISO, Tucson Electric Power, </w:t>
      </w:r>
      <w:r w:rsidR="00917797">
        <w:t>PacifiCorp, and Duke.</w:t>
      </w:r>
    </w:p>
    <w:p w14:paraId="1DEA5455" w14:textId="548FE5D7" w:rsidR="00283A0A" w:rsidRPr="009A0C3A" w:rsidRDefault="00FE0A38">
      <w:r w:rsidRPr="009A0C3A">
        <w:t xml:space="preserve">To summarize this analysis of </w:t>
      </w:r>
      <w:r w:rsidR="006E2AF8">
        <w:t xml:space="preserve">electricity </w:t>
      </w:r>
      <w:r w:rsidR="00453D62">
        <w:t xml:space="preserve">import </w:t>
      </w:r>
      <w:r w:rsidR="0052104B" w:rsidRPr="009A0C3A">
        <w:t>metrics across the U.S.</w:t>
      </w:r>
      <w:r w:rsidRPr="009A0C3A">
        <w:t>,</w:t>
      </w:r>
      <w:r w:rsidR="009A0C3A" w:rsidRPr="009A0C3A">
        <w:t xml:space="preserve"> quantifying</w:t>
      </w:r>
      <w:r w:rsidRPr="009A0C3A">
        <w:t xml:space="preserve"> import reliance </w:t>
      </w:r>
      <w:r w:rsidR="009A0C3A" w:rsidRPr="009A0C3A">
        <w:t xml:space="preserve">and diversity </w:t>
      </w:r>
      <w:r w:rsidRPr="009A0C3A">
        <w:t xml:space="preserve">highlights key patterns that can inform understanding of </w:t>
      </w:r>
      <w:r w:rsidR="00C968DF">
        <w:t>a system’s operating risks</w:t>
      </w:r>
      <w:r w:rsidRPr="009A0C3A">
        <w:t xml:space="preserve">. Larger </w:t>
      </w:r>
      <w:r w:rsidR="004B0614">
        <w:t>balancing authorities</w:t>
      </w:r>
      <w:r w:rsidRPr="009A0C3A">
        <w:t xml:space="preserve">, with a wider range of trading partners, tend to have higher diversity scores, and those with high diversity often show lower reliance on imports, indicating strong local supply. However, the value of diversity varies across systems; for </w:t>
      </w:r>
      <w:r w:rsidR="00E458E8">
        <w:t>balancing authorities</w:t>
      </w:r>
      <w:r w:rsidRPr="009A0C3A">
        <w:t xml:space="preserve"> with high import reliance, a diverse set of import sources can be </w:t>
      </w:r>
      <w:r w:rsidR="00E458E8">
        <w:t xml:space="preserve">more important for </w:t>
      </w:r>
      <w:r w:rsidRPr="009A0C3A">
        <w:t>maintaining reliability. While the metrics used in this analysis offer a useful means of comparative assessment across balancing authorities, they do not fully capture the complexities of system reliability. Specifically, they overlook the role of available imports during periods of extreme demand, especially when considering net demand after accounting for wind and solar variability.</w:t>
      </w:r>
    </w:p>
    <w:p w14:paraId="5D4CB558" w14:textId="45BDF288" w:rsidR="00C62334" w:rsidRDefault="004E3F60" w:rsidP="00E908AB">
      <w:pPr>
        <w:pStyle w:val="Heading1"/>
      </w:pPr>
      <w:r>
        <w:t>Electricity i</w:t>
      </w:r>
      <w:r w:rsidR="00164B3C">
        <w:t>mports during stressful events</w:t>
      </w:r>
    </w:p>
    <w:p w14:paraId="4DAA9823" w14:textId="4D5C12DC" w:rsidR="009021B3" w:rsidRDefault="00941331" w:rsidP="009021B3">
      <w:r>
        <w:t>T</w:t>
      </w:r>
      <w:r w:rsidR="00EB58F9">
        <w:t xml:space="preserve">he </w:t>
      </w:r>
      <w:r w:rsidR="00562D10">
        <w:t xml:space="preserve">import reliance and diversity </w:t>
      </w:r>
      <w:r w:rsidR="00EB58F9">
        <w:t>metrics</w:t>
      </w:r>
      <w:r w:rsidR="00C909BA">
        <w:t xml:space="preserve"> </w:t>
      </w:r>
      <w:r>
        <w:t xml:space="preserve">discussed in prior sections </w:t>
      </w:r>
      <w:r w:rsidR="00562D10">
        <w:t>describe conditions across all operating periods</w:t>
      </w:r>
      <w:r w:rsidR="00F370F2">
        <w:t xml:space="preserve">. This section </w:t>
      </w:r>
      <w:r w:rsidR="002B0AC5">
        <w:t xml:space="preserve">analyzes </w:t>
      </w:r>
      <w:r w:rsidR="00693726">
        <w:t>import</w:t>
      </w:r>
      <w:r w:rsidR="003654FF">
        <w:t xml:space="preserve">s </w:t>
      </w:r>
      <w:r w:rsidR="00B570DE">
        <w:t xml:space="preserve">during </w:t>
      </w:r>
      <w:r w:rsidR="004D6B45">
        <w:t xml:space="preserve">periods of high </w:t>
      </w:r>
      <w:r w:rsidR="005D4C80">
        <w:t xml:space="preserve">net </w:t>
      </w:r>
      <w:r w:rsidR="00381A17">
        <w:t>electricity demand</w:t>
      </w:r>
      <w:r w:rsidR="0007205D">
        <w:t xml:space="preserve"> when availability of imports alongside other resources becomes more important</w:t>
      </w:r>
      <w:r w:rsidR="005D4C80">
        <w:t>.</w:t>
      </w:r>
      <w:r w:rsidR="00D14A0E">
        <w:t xml:space="preserve"> Specifically, average import shares for U.S. balancing authorities during hours when net electricity demand is at or above the 95</w:t>
      </w:r>
      <w:r w:rsidR="00D14A0E" w:rsidRPr="00D14A0E">
        <w:rPr>
          <w:vertAlign w:val="superscript"/>
        </w:rPr>
        <w:t>th</w:t>
      </w:r>
      <w:r w:rsidR="00D14A0E">
        <w:t xml:space="preserve"> percentile across are calculated and reported in the </w:t>
      </w:r>
      <w:r w:rsidR="00054FE2">
        <w:t>A</w:t>
      </w:r>
      <w:r w:rsidR="00D14A0E">
        <w:t xml:space="preserve">ppendix </w:t>
      </w:r>
      <w:r w:rsidR="00D14A0E">
        <w:fldChar w:fldCharType="begin"/>
      </w:r>
      <w:r w:rsidR="00D14A0E">
        <w:instrText xml:space="preserve"> REF _Ref183551621 \h </w:instrText>
      </w:r>
      <w:r w:rsidR="00D14A0E">
        <w:fldChar w:fldCharType="separate"/>
      </w:r>
      <w:r w:rsidR="00D14A0E">
        <w:t xml:space="preserve">Table </w:t>
      </w:r>
      <w:r w:rsidR="00D14A0E">
        <w:rPr>
          <w:noProof/>
        </w:rPr>
        <w:t>4</w:t>
      </w:r>
      <w:r w:rsidR="00D14A0E">
        <w:fldChar w:fldCharType="end"/>
      </w:r>
      <w:r w:rsidR="00D14A0E">
        <w:t xml:space="preserve"> .</w:t>
      </w:r>
      <w:r w:rsidR="005D4C80">
        <w:t xml:space="preserve"> Net </w:t>
      </w:r>
      <w:r w:rsidR="00381A17">
        <w:t xml:space="preserve">demand </w:t>
      </w:r>
      <w:r w:rsidR="005D4C80">
        <w:t xml:space="preserve">is </w:t>
      </w:r>
      <w:r w:rsidR="0021255C">
        <w:t xml:space="preserve">used </w:t>
      </w:r>
      <w:r w:rsidR="00381A17">
        <w:t xml:space="preserve">to determine stressful periods </w:t>
      </w:r>
      <w:r w:rsidR="0021255C">
        <w:t>because it represents the</w:t>
      </w:r>
      <w:r w:rsidR="00357C73">
        <w:t xml:space="preserve"> share of demand</w:t>
      </w:r>
      <w:r w:rsidR="001C09DB">
        <w:t xml:space="preserve"> net of </w:t>
      </w:r>
      <w:r w:rsidR="001C09DB">
        <w:lastRenderedPageBreak/>
        <w:t>variable wind and solar generation</w:t>
      </w:r>
      <w:r w:rsidR="00357C73">
        <w:t xml:space="preserve"> to be served by imports and other dispatchable </w:t>
      </w:r>
      <w:r w:rsidR="001C09DB">
        <w:t>resources.</w:t>
      </w:r>
      <w:r w:rsidR="00295DAD">
        <w:t xml:space="preserve"> High electricity demand is less of a reliability concern during a period of high </w:t>
      </w:r>
      <w:r w:rsidR="008A028B">
        <w:t>variable renewable</w:t>
      </w:r>
      <w:r w:rsidR="00295DAD">
        <w:t xml:space="preserve"> production</w:t>
      </w:r>
      <w:r w:rsidR="00A02411">
        <w:t xml:space="preserve">. </w:t>
      </w:r>
      <w:r w:rsidR="008A028B">
        <w:t xml:space="preserve">For these reasons, grid operators and planners </w:t>
      </w:r>
      <w:r w:rsidR="00575D5D">
        <w:t>o</w:t>
      </w:r>
      <w:r w:rsidR="0002776C">
        <w:t>perators often</w:t>
      </w:r>
      <w:r w:rsidR="0043152C">
        <w:t xml:space="preserve"> focus on net load</w:t>
      </w:r>
      <w:r w:rsidR="008A028B">
        <w:t xml:space="preserve">, especially on systems with growing wind and solar penetrations </w:t>
      </w:r>
      <w:r w:rsidR="00575D5D">
        <w:fldChar w:fldCharType="begin"/>
      </w:r>
      <w:r w:rsidR="00575D5D">
        <w:instrText xml:space="preserve"> ADDIN ZOTERO_ITEM CSL_CITATION {"citationID":"p9bsgvnj","properties":{"formattedCitation":"[50]","plainCitation":"[50]","noteIndex":0},"citationItems":[{"id":1349,"uris":["http://zotero.org/users/9332412/items/729Q7ZPQ"],"itemData":{"id":1349,"type":"article-journal","abstract":"Integration of wind- and solar-based generation into the electric grid has significantly grown over the past decade and is expected to grow to unprecedented levels in coming years. Several jurisdictions have set high targets for renewable energy integration. While electric grid operators have managed the variable and non-dispatchable nature of wind and solar power at current levels, large-scale integration of these resources would pose new challenges. In particular, the variable nature of wind and solar may lead to new electric grid operation and planning procedures. Net load in electric grids is defined as the conventional load minus the non-dispatchable generation. Net load is the basis of operation planning in day-to-day delivery of electricity to the consumers. With large-scale integration of wind and solar power, the net load in the system would be significantly affected. In this paper, we focus on characteristics of net load in electric grids when a large amount of wind and solar power generation is integrated into the grid. We use the data from California</w:instrText>
      </w:r>
      <w:r w:rsidR="00575D5D">
        <w:rPr>
          <w:rFonts w:ascii="Arial" w:hAnsi="Arial" w:cs="Arial"/>
        </w:rPr>
        <w:instrText>׳</w:instrText>
      </w:r>
      <w:r w:rsidR="00575D5D">
        <w:instrText>s power system. California intends to produce 33% of its electricity from renewable resources by 2020, 80% of which is expected to come from wind and solar power. We use both historical data and simulated scenarios of future wind and solar power generation. For future scenarios, we use the data provided by National Renewable Energy Laboratory to generate wind and solar power integration scenarios for years 2018 and 2023. The simulated net load data are analyzed from a variety of perspectives, such as average daily shapes, load and net load factor, duration curves, volatility, and hourly ramps. The results showed that compared to conventional load, characteristics of net load would be significantly different and need to be taken into account when designing measures and mechanisms for operating electric grids with high penetration of renewables.","container-title":"Renewable and Sustainable Energy Reviews","DOI":"10.1016/j.rser.2015.12.287","ISSN":"1364-0321","journalAbbreviation":"Renewable and Sustainable Energy Reviews","page":"761-774","source":"ScienceDirect","title":"Impacts of large-scale wind and solar power integration on California</w:instrText>
      </w:r>
      <w:r w:rsidR="00575D5D">
        <w:rPr>
          <w:rFonts w:ascii="Arial" w:hAnsi="Arial" w:cs="Arial"/>
        </w:rPr>
        <w:instrText>׳</w:instrText>
      </w:r>
      <w:r w:rsidR="00575D5D">
        <w:instrText xml:space="preserve">s net electrical load","volume":"58","author":[{"family":"Shaker","given":"Hamid"},{"family":"Zareipour","given":"Hamidreza"},{"family":"Wood","given":"David"}],"issued":{"date-parts":[["2016",5,1]]}}}],"schema":"https://github.com/citation-style-language/schema/raw/master/csl-citation.json"} </w:instrText>
      </w:r>
      <w:r w:rsidR="00575D5D">
        <w:fldChar w:fldCharType="separate"/>
      </w:r>
      <w:r w:rsidR="00575D5D" w:rsidRPr="008F61FA">
        <w:t>[50]</w:t>
      </w:r>
      <w:r w:rsidR="00575D5D">
        <w:fldChar w:fldCharType="end"/>
      </w:r>
      <w:r w:rsidR="00295DAD">
        <w:t>.</w:t>
      </w:r>
      <w:r w:rsidR="001C09DB">
        <w:t xml:space="preserve"> </w:t>
      </w:r>
    </w:p>
    <w:p w14:paraId="0D1E61CA" w14:textId="34D18ADD" w:rsidR="00672EC5" w:rsidRDefault="008A028B" w:rsidP="009021B3">
      <w:r>
        <w:t xml:space="preserve">The sample period used to calculate import shares during periods of high demand is </w:t>
      </w:r>
      <w:r w:rsidR="00C77D64">
        <w:t xml:space="preserve">smaller than </w:t>
      </w:r>
      <w:r w:rsidR="00523BCB">
        <w:t xml:space="preserve">the sample used </w:t>
      </w:r>
      <w:r w:rsidR="00C77D64">
        <w:t>in prior sections</w:t>
      </w:r>
      <w:r w:rsidR="00AB2C1A">
        <w:t xml:space="preserve"> of this article</w:t>
      </w:r>
      <w:r w:rsidR="00AE6529">
        <w:t>,</w:t>
      </w:r>
      <w:r w:rsidR="006B1207">
        <w:t xml:space="preserve"> because </w:t>
      </w:r>
      <w:r w:rsidR="000B32BB">
        <w:t xml:space="preserve">hourly </w:t>
      </w:r>
      <w:r w:rsidR="00626E57">
        <w:t xml:space="preserve">data on </w:t>
      </w:r>
      <w:r w:rsidR="006B1207">
        <w:t>technology</w:t>
      </w:r>
      <w:r w:rsidR="00626E57">
        <w:t xml:space="preserve">-level </w:t>
      </w:r>
      <w:r w:rsidR="00226BBD">
        <w:t xml:space="preserve">electric </w:t>
      </w:r>
      <w:r w:rsidR="00626E57">
        <w:t>generation</w:t>
      </w:r>
      <w:r w:rsidR="006B1207">
        <w:t xml:space="preserve"> at the balancing authority level </w:t>
      </w:r>
      <w:r w:rsidR="00BB015D">
        <w:t>is available starting July 1, 2018</w:t>
      </w:r>
      <w:r w:rsidR="00C77D64">
        <w:t>.</w:t>
      </w:r>
      <w:r w:rsidR="001C33DF">
        <w:t xml:space="preserve"> It is interesting to compare</w:t>
      </w:r>
      <w:r w:rsidR="009D79C2">
        <w:t xml:space="preserve"> the difference between</w:t>
      </w:r>
      <w:r w:rsidR="001C33DF">
        <w:t xml:space="preserve"> import shares during </w:t>
      </w:r>
      <w:r w:rsidR="009D79C2">
        <w:t>high net-demand</w:t>
      </w:r>
      <w:r w:rsidR="001C33DF">
        <w:t xml:space="preserve"> periods with average import shares, which </w:t>
      </w:r>
      <w:proofErr w:type="gramStart"/>
      <w:r w:rsidR="001C33DF">
        <w:t>is</w:t>
      </w:r>
      <w:proofErr w:type="gramEnd"/>
      <w:r w:rsidR="001C33DF">
        <w:t xml:space="preserve"> done in </w:t>
      </w:r>
      <w:r w:rsidR="001C33DF">
        <w:fldChar w:fldCharType="begin"/>
      </w:r>
      <w:r w:rsidR="001C33DF">
        <w:instrText xml:space="preserve"> REF _Ref183551621 \h </w:instrText>
      </w:r>
      <w:r w:rsidR="001C33DF">
        <w:fldChar w:fldCharType="separate"/>
      </w:r>
      <w:r w:rsidR="001C33DF">
        <w:t xml:space="preserve">Table </w:t>
      </w:r>
      <w:r w:rsidR="001C33DF">
        <w:rPr>
          <w:noProof/>
        </w:rPr>
        <w:t>4</w:t>
      </w:r>
      <w:r w:rsidR="001C33DF">
        <w:fldChar w:fldCharType="end"/>
      </w:r>
      <w:r w:rsidR="009D79C2">
        <w:t xml:space="preserve"> and plotted in </w:t>
      </w:r>
      <w:r w:rsidR="00672EC5">
        <w:fldChar w:fldCharType="begin"/>
      </w:r>
      <w:r w:rsidR="00672EC5">
        <w:instrText xml:space="preserve"> REF _Ref183554327 \h </w:instrText>
      </w:r>
      <w:r w:rsidR="00672EC5">
        <w:fldChar w:fldCharType="separate"/>
      </w:r>
      <w:r w:rsidR="00672EC5">
        <w:t xml:space="preserve">Figure </w:t>
      </w:r>
      <w:r w:rsidR="00672EC5">
        <w:rPr>
          <w:noProof/>
        </w:rPr>
        <w:t>4</w:t>
      </w:r>
      <w:r w:rsidR="00672EC5">
        <w:fldChar w:fldCharType="end"/>
      </w:r>
      <w:r w:rsidR="00750B40">
        <w:t>. This</w:t>
      </w:r>
      <w:r w:rsidR="008415BE">
        <w:t xml:space="preserve"> shows 21 balancing authorities with a positive difference (e.g. their import shares increase during high net demand periods), and 22 balancing authorities with a negative difference</w:t>
      </w:r>
      <w:r w:rsidR="00672EC5">
        <w:t>.</w:t>
      </w:r>
    </w:p>
    <w:p w14:paraId="2495511F" w14:textId="77777777" w:rsidR="00672EC5" w:rsidRDefault="00672EC5" w:rsidP="00672EC5">
      <w:pPr>
        <w:keepNext/>
      </w:pPr>
      <w:r>
        <w:rPr>
          <w:noProof/>
        </w:rPr>
        <w:drawing>
          <wp:inline distT="0" distB="0" distL="0" distR="0" wp14:anchorId="5EC8D12A" wp14:editId="22239BAE">
            <wp:extent cx="3297555" cy="2709545"/>
            <wp:effectExtent l="0" t="0" r="0" b="0"/>
            <wp:docPr id="906025810" name="Chart 1">
              <a:extLst xmlns:a="http://schemas.openxmlformats.org/drawingml/2006/main">
                <a:ext uri="{FF2B5EF4-FFF2-40B4-BE49-F238E27FC236}">
                  <a16:creationId xmlns:a16="http://schemas.microsoft.com/office/drawing/2014/main" id="{4EB9FA2D-E590-0C81-B94B-9F70C58FB6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BA6667" w14:textId="55EA8F1B" w:rsidR="00672EC5" w:rsidRDefault="00672EC5" w:rsidP="00672EC5">
      <w:pPr>
        <w:pStyle w:val="Caption"/>
      </w:pPr>
      <w:bookmarkStart w:id="5" w:name="_Ref183554327"/>
      <w:r>
        <w:t xml:space="preserve">Figure </w:t>
      </w:r>
      <w:r>
        <w:fldChar w:fldCharType="begin"/>
      </w:r>
      <w:r>
        <w:instrText xml:space="preserve"> SEQ Figure \* ARABIC </w:instrText>
      </w:r>
      <w:r>
        <w:fldChar w:fldCharType="separate"/>
      </w:r>
      <w:r>
        <w:rPr>
          <w:noProof/>
        </w:rPr>
        <w:t>4</w:t>
      </w:r>
      <w:r>
        <w:rPr>
          <w:noProof/>
        </w:rPr>
        <w:fldChar w:fldCharType="end"/>
      </w:r>
      <w:bookmarkEnd w:id="5"/>
      <w:r>
        <w:t xml:space="preserve"> </w:t>
      </w:r>
      <w:r w:rsidRPr="0020742F">
        <w:t>Difference in average import share during high net load periods (&gt;=p95) and average net load across US balancing authorities, 2018-2023</w:t>
      </w:r>
    </w:p>
    <w:p w14:paraId="66F46C49" w14:textId="0A792B45" w:rsidR="009021B3" w:rsidRDefault="001C33DF" w:rsidP="00672EC5">
      <w:r>
        <w:t>Balancing authorities w</w:t>
      </w:r>
      <w:r w:rsidR="009D79C2">
        <w:t xml:space="preserve">ith larger import shares during high net demand periods </w:t>
      </w:r>
      <w:r w:rsidR="006D19CB">
        <w:t xml:space="preserve">were </w:t>
      </w:r>
      <w:r w:rsidR="009D79C2">
        <w:t>able to procure more imports</w:t>
      </w:r>
      <w:r w:rsidR="003268C0">
        <w:t xml:space="preserve"> when resources are most needed.</w:t>
      </w:r>
      <w:r w:rsidR="00672EC5">
        <w:t xml:space="preserve"> The balancing authorities with the largest increase</w:t>
      </w:r>
      <w:r w:rsidR="00EB5E04">
        <w:t>s</w:t>
      </w:r>
      <w:r w:rsidR="00672EC5">
        <w:t xml:space="preserve"> in import shares during high net demand periods include PacifiCorp, Associated Electric Coop., Idaho Power Company, Arizona Public Service Company, and Nevada Power Company. All these operators had increases in import shares of 10 percentage points or more during high net-demand periods.</w:t>
      </w:r>
      <w:r w:rsidR="008415BE">
        <w:t xml:space="preserve"> Conversely, balancing authorities with a decrease in average import shares</w:t>
      </w:r>
      <w:r w:rsidR="006F6074">
        <w:t xml:space="preserve"> during high net-demand periods are receiving less imports during periods when electricity supply is most needed. More local supply is required to maintain reliability in these areas during high demand periods to make up for the decrease in electricity imports. </w:t>
      </w:r>
      <w:r w:rsidR="006F6074" w:rsidRPr="006F6074">
        <w:t>These findings highlight the importance of understanding import behavior during high net-demand periods to inform strategies for maintaining reliability across diverse grid conditions.</w:t>
      </w:r>
    </w:p>
    <w:p w14:paraId="0579A69A" w14:textId="1F642F51" w:rsidR="00B544CF" w:rsidRDefault="003B483A" w:rsidP="003B483A">
      <w:pPr>
        <w:pStyle w:val="Heading1"/>
      </w:pPr>
      <w:r>
        <w:lastRenderedPageBreak/>
        <w:t>Conclusion</w:t>
      </w:r>
    </w:p>
    <w:p w14:paraId="12B57691" w14:textId="77777777" w:rsidR="003B483A" w:rsidRPr="003B483A" w:rsidRDefault="003B483A" w:rsidP="003B483A">
      <w:r w:rsidRPr="003B483A">
        <w:t>This study provides a comprehensive analysis of electricity import reliance and diversity across U.S. balancing authorities, shedding light on the interplay between trading relationships, local supply adequacy, and grid reliability. By applying formal metrics, including a diversity index, this research highlights patterns that can inform operating risk assessments and strategic planning. Larger BAs with diverse trading partners generally demonstrate lower import reliance, reflecting the benefits of robust local generation. However, for BAs with high import reliance, diversity of sources is crucial for maintaining reliability, particularly during times of stress.</w:t>
      </w:r>
    </w:p>
    <w:p w14:paraId="56925CC9" w14:textId="77777777" w:rsidR="003B483A" w:rsidRPr="003B483A" w:rsidRDefault="003B483A" w:rsidP="003B483A">
      <w:r w:rsidRPr="003B483A">
        <w:t>While these metrics offer valuable insights, they are not a panacea for evaluating system resilience. They must be complemented by further analyses that account for the temporal dynamics of supply and demand, particularly in the context of renewable energy variability and extreme weather events. Despite these limitations, this study provides a foundational framework for understanding the interdependencies in electricity imports across balancing authorities. By advancing these metrics, future research can refine our understanding of grid reliability in an evolving energy landscape, ensuring that system operators and policymakers are better equipped to manage the challenges of an interconnected grid.</w:t>
      </w:r>
    </w:p>
    <w:p w14:paraId="50DF0E62" w14:textId="77777777" w:rsidR="003B483A" w:rsidRPr="003B483A" w:rsidRDefault="003B483A" w:rsidP="003B483A"/>
    <w:p w14:paraId="3D86A640" w14:textId="77777777" w:rsidR="00B544CF" w:rsidRPr="00B544CF" w:rsidRDefault="00B544CF" w:rsidP="00B544CF"/>
    <w:p w14:paraId="13FE7D12" w14:textId="77777777" w:rsidR="00A85888" w:rsidRDefault="00A85888" w:rsidP="00A85888">
      <w:pPr>
        <w:spacing w:after="0"/>
      </w:pPr>
      <w:r>
        <w:t xml:space="preserve">Do a case-study approach that looks at import performance </w:t>
      </w:r>
      <w:proofErr w:type="spellStart"/>
      <w:r>
        <w:t>etc</w:t>
      </w:r>
      <w:proofErr w:type="spellEnd"/>
      <w:r>
        <w:t xml:space="preserve"> during selected extreme events in certain BAs </w:t>
      </w:r>
    </w:p>
    <w:p w14:paraId="124CCDD5" w14:textId="75DE1ECA" w:rsidR="00A85888" w:rsidRPr="00877A5A" w:rsidRDefault="00A85888" w:rsidP="00A85888">
      <w:pPr>
        <w:numPr>
          <w:ilvl w:val="0"/>
          <w:numId w:val="3"/>
        </w:numPr>
        <w:pBdr>
          <w:top w:val="nil"/>
          <w:left w:val="nil"/>
          <w:bottom w:val="nil"/>
          <w:right w:val="nil"/>
          <w:between w:val="nil"/>
        </w:pBdr>
        <w:spacing w:after="0"/>
      </w:pPr>
      <w:r>
        <w:rPr>
          <w:color w:val="000000"/>
        </w:rPr>
        <w:t>As the events of August 2020 in California and February 2021 in Texas demonstrate, supply shortfalls can have large economic and public health consequences</w:t>
      </w:r>
      <w:r w:rsidR="005977FE">
        <w:rPr>
          <w:color w:val="000000"/>
        </w:rPr>
        <w:t xml:space="preserve"> (Wolak 2022)</w:t>
      </w:r>
    </w:p>
    <w:p w14:paraId="39A6B087" w14:textId="1FDCA544" w:rsidR="00877A5A" w:rsidRPr="006B6426" w:rsidRDefault="00877A5A" w:rsidP="00A85888">
      <w:pPr>
        <w:numPr>
          <w:ilvl w:val="0"/>
          <w:numId w:val="3"/>
        </w:numPr>
        <w:pBdr>
          <w:top w:val="nil"/>
          <w:left w:val="nil"/>
          <w:bottom w:val="nil"/>
          <w:right w:val="nil"/>
          <w:between w:val="nil"/>
        </w:pBdr>
        <w:spacing w:after="0"/>
      </w:pPr>
      <w:r>
        <w:rPr>
          <w:color w:val="000000"/>
        </w:rPr>
        <w:t>Winter storm Uri was studied relatively well in the scientific literature</w:t>
      </w:r>
      <w:r w:rsidR="009C6901">
        <w:rPr>
          <w:color w:val="000000"/>
        </w:rPr>
        <w:t xml:space="preserve"> </w:t>
      </w:r>
      <w:r w:rsidR="009C6901">
        <w:rPr>
          <w:color w:val="000000"/>
        </w:rPr>
        <w:fldChar w:fldCharType="begin"/>
      </w:r>
      <w:r w:rsidR="008F61FA">
        <w:rPr>
          <w:color w:val="000000"/>
        </w:rPr>
        <w:instrText xml:space="preserve"> ADDIN ZOTERO_ITEM CSL_CITATION {"citationID":"eMOBtKMo","properties":{"formattedCitation":"[51\\uc0\\u8211{}53]","plainCitation":"[51–53]","noteIndex":0},"citationItems":[{"id":496,"uris":["http://zotero.org/users/9332412/items/4VDUPDGX"],"itemData":{"id":496,"type":"article-journal","abstract":"Was the Texas blackout a market failure or regulatory failure? The economist Hayek has been adduced in support of both views. Hayek would have approved the competitive Texas system, including ERCOT. His likely view on the scarcity pricing framework is less clear, and the recent regulatory implementation of the “circuit breaker” was problematic. There is now a need to revise the scarcity pricing framework in the light of recent events, and to reflect ever-changing market conditions.","container-title":"Electricity Journal","DOI":"10.1016/j.tej.2021.106969","issue":"6","note":"publisher: Elsevier Inc.","title":"Hayek and the Texas blackout","volume":"34","author":[{"family":"Littlechild","given":"Stephen"},{"family":"Kiesling","given":"Lynne"}],"issued":{"date-parts":[["2021",7]]}}},{"id":1346,"uris":["http://zotero.org/users/9332412/items/M7VQJV92"],"itemData":{"id":1346,"type":"article-journal","abstract":"In February 2021, rolling blackouts in Texas during Winter Storm Uri demonstrated the vulnerability of the State's electric grid managed by the Electric Reliability Council of Texas (ERCOT). This article examines the technical causes of the ERCOT blackouts, financial and human consequences, and policy changes that could prevent recurrences. ERCOT planned for a winter load peak far below actual electricity demand. Further electricity shortfalls were caused by generation plants with varied energy sources becoming unavailable—natural-gas fired, coal-fired, nuclear, wind, and solar. Prior blackouts during a 2011 period of cold weather had shown the need for better resource planning and plant weatherization, but advance preparation was inadequate. The system of compensating generators in ERCOT was market-based with a $9,000 per megawatt hour cap on wholesale electricity rates—a so-called “Energy-Only market.” This regulatory system did not provide adequate incentives for generation plants to be operational during extreme weather, nor did it ensure that natural gas suppliers could deliver fuel to generators. Texas is well-situated for a return to the cost-of-service regulatory model; the State Legislature should consider this policy option.","container-title":"Journal of Critical Infrastructure Policy","DOI":"10.18278/jcip.2.1.6","ISSN":"2693-3101","issue":"1","language":"en","license":"© 2021 The Authors","note":"_eprint: https://onlinelibrary.wiley.com/doi/pdf/10.18278/jcip.2.1.6","page":"47-73","source":"Wiley Online Library","title":"The 2021 Texas Blackouts: Causes, Consequences, and Cures","title-short":"The 2021 Texas Blackouts","volume":"2","author":[{"family":"Popik","given":"Thomas"},{"family":"Humphreys","given":"Richard"}],"issued":{"date-parts":[["2021"]]}}},{"id":1343,"uris":["http://zotero.org/users/9332412/items/762CYEQX"],"itemData":{"id":1343,"type":"article-journal","abstract":"Todd Levin is a principal energy systems engineer in the Center for Energy, Environmental and Economic Systems Analysis (CEEESA) at Argonne National Laboratory. His research interests focus on utilizing advanced optimization and simulation methodologies to model complex interactions in electricity markets and quantify the implications of domestic energy policies and regulations. He also maintains a strong interest in international energy development, examining optimal centralized and decentralized rural electrification strategies and a range of global energy security issues. Dr. Levin holds a BA in physics from Northwestern University and a PhD in industrial engineering from the Georgia Institute of Technology. Audun Botterud is a principal energy systems engineer in CEEESA at Argonne National Laboratory with a co-appointment in Laboratory for Information and Decision Systems at Massachusetts Institute of Technology. He analyzes the complex interactions between engineering, economics, and policy in electricity markets, in support of the transition toward a cost-efficient and reliable low-carbon energy system. He is particularly interested in grid integration of renewable energy and energy storage. Audun holds an MSc (industrial engineering) and PhD (electrical power engineering) from the Norwegian University of Science and Technology and was previously with SINTEF Energy Research in Trondheim, Norway. W. Neal Mann is a postdoctoral appointee in CEEESA and the Nuclear Science and Engineering Division at Argonne National Laboratory. His research interests include energy system modeling and design, nuclear energy, and energy storage for climate change mitigation and adaptation. He holds a BA in physics and music from Southwestern University and an MSE and PhD in mechanical engineering (nuclear and radiation engineering focus) from the University of Texas at Austin. Jonghwan Kwon is an energy systems engineer in CEEESA at Argonne National Laboratory. His research interests include operations research applied to electric power systems, power systems operations and planning, management of distributed energy resources, and market design and pricing. Dr. Kwon holds a PhD in electrical engineering power system from Arizona State University. Zhi Zhou is a principal computational scientist in CEEESA at Argonne National Laboratory. His research interests include optimization, machine-learning-based forecasting, decision making under uncertainty, and applications to power grid, electricity markets, renewable energy, and the interdependency between power grids and other infrastructure systems. Zhi Zhou received his BE in computer sciences from Wuhan University, MS in operations research and statistics, and PhD in decision sciences and engineering systems from Rensselaer Polytechnic Institute.","container-title":"Joule","DOI":"10.1016/j.joule.2021.12.015","ISSN":"2542-4351","issue":"1","journalAbbreviation":"Joule","page":"1-7","source":"ScienceDirect","title":"Extreme weather and electricity markets: Key lessons from the February 2021 Texas crisis","title-short":"Extreme weather and electricity markets","volume":"6","author":[{"family":"Levin","given":"Todd"},{"family":"Botterud","given":"Audun"},{"family":"Mann","given":"W. Neal"},{"family":"Kwon","given":"Jonghwan"},{"family":"Zhou","given":"Zhi"}],"issued":{"date-parts":[["2022",1,19]]}}}],"schema":"https://github.com/citation-style-language/schema/raw/master/csl-citation.json"} </w:instrText>
      </w:r>
      <w:r w:rsidR="009C6901">
        <w:rPr>
          <w:color w:val="000000"/>
        </w:rPr>
        <w:fldChar w:fldCharType="separate"/>
      </w:r>
      <w:r w:rsidR="008F61FA" w:rsidRPr="008F61FA">
        <w:rPr>
          <w:rFonts w:cs="Times New Roman"/>
        </w:rPr>
        <w:t>[51–53]</w:t>
      </w:r>
      <w:r w:rsidR="009C6901">
        <w:rPr>
          <w:color w:val="000000"/>
        </w:rPr>
        <w:fldChar w:fldCharType="end"/>
      </w:r>
      <w:r>
        <w:rPr>
          <w:color w:val="000000"/>
        </w:rPr>
        <w:t xml:space="preserve">, </w:t>
      </w:r>
      <w:r w:rsidR="00452925" w:rsidRPr="00452925">
        <w:rPr>
          <w:color w:val="000000"/>
        </w:rPr>
        <w:t>but imports</w:t>
      </w:r>
      <w:r w:rsidR="00452925">
        <w:rPr>
          <w:color w:val="000000"/>
        </w:rPr>
        <w:t xml:space="preserve"> played a negligible role in that extreme event due to Texas’ lack of interconnection with neighboring system. </w:t>
      </w:r>
    </w:p>
    <w:p w14:paraId="4411499B" w14:textId="77777777" w:rsidR="006B6426" w:rsidRDefault="006B6426" w:rsidP="006B6426">
      <w:pPr>
        <w:pStyle w:val="ListParagraph"/>
        <w:rPr>
          <w:rFonts w:ascii="Arial" w:eastAsia="Arial" w:hAnsi="Arial" w:cs="Arial"/>
          <w:i/>
          <w:color w:val="2E2E2E"/>
          <w:sz w:val="21"/>
          <w:szCs w:val="21"/>
          <w:highlight w:val="white"/>
        </w:rPr>
      </w:pPr>
    </w:p>
    <w:p w14:paraId="3EA9246F" w14:textId="77777777" w:rsidR="004C058C" w:rsidRDefault="004C058C" w:rsidP="00C22B21">
      <w:pPr>
        <w:pStyle w:val="Heading1"/>
      </w:pPr>
    </w:p>
    <w:p w14:paraId="413F67B3" w14:textId="77777777" w:rsidR="004E75EE" w:rsidRDefault="004E75EE" w:rsidP="004E75EE"/>
    <w:p w14:paraId="387A208F" w14:textId="77777777" w:rsidR="004E75EE" w:rsidRDefault="004E75EE" w:rsidP="004E75EE">
      <w:pPr>
        <w:numPr>
          <w:ilvl w:val="0"/>
          <w:numId w:val="3"/>
        </w:numPr>
        <w:pBdr>
          <w:top w:val="nil"/>
          <w:left w:val="nil"/>
          <w:bottom w:val="nil"/>
          <w:right w:val="nil"/>
          <w:between w:val="nil"/>
        </w:pBdr>
        <w:spacing w:after="0"/>
      </w:pPr>
      <w:r>
        <w:rPr>
          <w:color w:val="000000"/>
        </w:rPr>
        <w:t xml:space="preserve">Given the increased uncertainty associated with </w:t>
      </w:r>
      <w:proofErr w:type="gramStart"/>
      <w:r>
        <w:rPr>
          <w:color w:val="000000"/>
        </w:rPr>
        <w:t>availability</w:t>
      </w:r>
      <w:proofErr w:type="gramEnd"/>
      <w:r>
        <w:rPr>
          <w:color w:val="000000"/>
        </w:rPr>
        <w:t xml:space="preserve"> of imports, system planners may discount or not consider their contributions to </w:t>
      </w:r>
      <w:proofErr w:type="spellStart"/>
      <w:r>
        <w:rPr>
          <w:color w:val="000000"/>
        </w:rPr>
        <w:t>reliabiltiy</w:t>
      </w:r>
      <w:proofErr w:type="spellEnd"/>
      <w:r>
        <w:rPr>
          <w:color w:val="000000"/>
        </w:rPr>
        <w:t xml:space="preserve"> in </w:t>
      </w:r>
      <w:proofErr w:type="gramStart"/>
      <w:r>
        <w:rPr>
          <w:color w:val="000000"/>
        </w:rPr>
        <w:t>future plans</w:t>
      </w:r>
      <w:proofErr w:type="gramEnd"/>
      <w:r>
        <w:rPr>
          <w:color w:val="000000"/>
        </w:rPr>
        <w:t>. (now transitioning to that nice Larsen 2023 quote)</w:t>
      </w:r>
    </w:p>
    <w:p w14:paraId="403FE252" w14:textId="77777777" w:rsidR="004E75EE" w:rsidRDefault="004E75EE" w:rsidP="004E75EE">
      <w:pPr>
        <w:pBdr>
          <w:top w:val="nil"/>
          <w:left w:val="nil"/>
          <w:bottom w:val="nil"/>
          <w:right w:val="nil"/>
          <w:between w:val="nil"/>
        </w:pBdr>
        <w:spacing w:after="0"/>
        <w:ind w:left="720"/>
        <w:rPr>
          <w:color w:val="000000"/>
        </w:rPr>
      </w:pPr>
    </w:p>
    <w:p w14:paraId="6DDA2B7E" w14:textId="77777777" w:rsidR="004E75EE" w:rsidRDefault="004E75EE" w:rsidP="004E75EE">
      <w:pPr>
        <w:numPr>
          <w:ilvl w:val="0"/>
          <w:numId w:val="2"/>
        </w:numPr>
        <w:pBdr>
          <w:top w:val="nil"/>
          <w:left w:val="nil"/>
          <w:bottom w:val="nil"/>
          <w:right w:val="nil"/>
          <w:between w:val="nil"/>
        </w:pBdr>
        <w:spacing w:after="0"/>
      </w:pPr>
      <w:r>
        <w:rPr>
          <w:color w:val="000000"/>
        </w:rPr>
        <w:t xml:space="preserve">A crucial question to address in this research is “how should planners consider availability of imports from a capacity adequacy perspective in long term </w:t>
      </w:r>
      <w:proofErr w:type="gramStart"/>
      <w:r>
        <w:rPr>
          <w:color w:val="000000"/>
        </w:rPr>
        <w:t>plans ?</w:t>
      </w:r>
      <w:proofErr w:type="gramEnd"/>
      <w:r>
        <w:rPr>
          <w:color w:val="000000"/>
        </w:rPr>
        <w:t xml:space="preserve"> Larsen 2023 says it should be decided by policymakers and not individual market participants:</w:t>
      </w:r>
    </w:p>
    <w:p w14:paraId="65C37A74" w14:textId="77777777" w:rsidR="004E75EE" w:rsidRDefault="004E75EE" w:rsidP="004E75EE">
      <w:pPr>
        <w:pBdr>
          <w:top w:val="nil"/>
          <w:left w:val="nil"/>
          <w:bottom w:val="nil"/>
          <w:right w:val="nil"/>
          <w:between w:val="nil"/>
        </w:pBdr>
        <w:ind w:left="1440"/>
        <w:rPr>
          <w:rFonts w:ascii="Arial" w:eastAsia="Arial" w:hAnsi="Arial" w:cs="Arial"/>
          <w:i/>
          <w:color w:val="2E2E2E"/>
          <w:sz w:val="21"/>
          <w:szCs w:val="21"/>
          <w:highlight w:val="white"/>
        </w:rPr>
      </w:pPr>
      <w:r>
        <w:rPr>
          <w:rFonts w:ascii="Arial" w:eastAsia="Arial" w:hAnsi="Arial" w:cs="Arial"/>
          <w:i/>
          <w:color w:val="2E2E2E"/>
          <w:sz w:val="21"/>
          <w:szCs w:val="21"/>
          <w:highlight w:val="white"/>
        </w:rPr>
        <w:t xml:space="preserve">We conclude that policy makers can go </w:t>
      </w:r>
      <w:proofErr w:type="gramStart"/>
      <w:r>
        <w:rPr>
          <w:rFonts w:ascii="Arial" w:eastAsia="Arial" w:hAnsi="Arial" w:cs="Arial"/>
          <w:i/>
          <w:color w:val="2E2E2E"/>
          <w:sz w:val="21"/>
          <w:szCs w:val="21"/>
          <w:highlight w:val="white"/>
        </w:rPr>
        <w:t>into</w:t>
      </w:r>
      <w:proofErr w:type="gramEnd"/>
      <w:r>
        <w:rPr>
          <w:rFonts w:ascii="Arial" w:eastAsia="Arial" w:hAnsi="Arial" w:cs="Arial"/>
          <w:i/>
          <w:color w:val="2E2E2E"/>
          <w:sz w:val="21"/>
          <w:szCs w:val="21"/>
          <w:highlight w:val="white"/>
        </w:rPr>
        <w:t xml:space="preserve"> one of two directions. The first option is to ignore cross-border trading in their planning. While this would create security of supply for individual countries [balancing authorities], it would come at the cost of very significant investment subsidies. The alternative is to rely on cross-border trade, </w:t>
      </w:r>
      <w:r>
        <w:rPr>
          <w:rFonts w:ascii="Arial" w:eastAsia="Arial" w:hAnsi="Arial" w:cs="Arial"/>
          <w:i/>
          <w:color w:val="2E2E2E"/>
          <w:sz w:val="21"/>
          <w:szCs w:val="21"/>
          <w:highlight w:val="white"/>
        </w:rPr>
        <w:lastRenderedPageBreak/>
        <w:t>an option which requires not only close cooperation and coordination, but also significant trust between the jurisdictions and institutions involved, to ensure sufficient capacity. The choice between these options is a political decision, to be made at the national and supranational levels, not by regulators, and even less by market participants. (Larsen, 2023)</w:t>
      </w:r>
    </w:p>
    <w:p w14:paraId="26712830" w14:textId="77777777" w:rsidR="004E75EE" w:rsidRPr="004E75EE" w:rsidRDefault="004E75EE" w:rsidP="004E75EE">
      <w:pPr>
        <w:sectPr w:rsidR="004E75EE" w:rsidRPr="004E75EE">
          <w:pgSz w:w="12240" w:h="15840"/>
          <w:pgMar w:top="1440" w:right="1440" w:bottom="1440" w:left="1440" w:header="720" w:footer="720" w:gutter="0"/>
          <w:pgNumType w:start="1"/>
          <w:cols w:space="720"/>
        </w:sectPr>
      </w:pPr>
    </w:p>
    <w:p w14:paraId="2122F45C" w14:textId="270B6EB7" w:rsidR="00611F5E" w:rsidRDefault="00C22B21" w:rsidP="00C22B21">
      <w:pPr>
        <w:pStyle w:val="Heading1"/>
      </w:pPr>
      <w:r>
        <w:lastRenderedPageBreak/>
        <w:t>Appendix</w:t>
      </w:r>
    </w:p>
    <w:p w14:paraId="2D9BC250" w14:textId="75A82D3F" w:rsidR="00CD404A" w:rsidRDefault="00055BEF" w:rsidP="006B2BBA">
      <w:pPr>
        <w:pStyle w:val="Caption"/>
        <w:keepNext/>
      </w:pPr>
      <w:bookmarkStart w:id="6" w:name="_Ref177631068"/>
      <w:r>
        <w:t xml:space="preserve">Table </w:t>
      </w:r>
      <w:r w:rsidR="00630ADB">
        <w:fldChar w:fldCharType="begin"/>
      </w:r>
      <w:r w:rsidR="00630ADB">
        <w:instrText xml:space="preserve"> SEQ Table \* ARABIC </w:instrText>
      </w:r>
      <w:r w:rsidR="00630ADB">
        <w:fldChar w:fldCharType="separate"/>
      </w:r>
      <w:r w:rsidR="00630ADB">
        <w:rPr>
          <w:noProof/>
        </w:rPr>
        <w:t>1</w:t>
      </w:r>
      <w:r w:rsidR="00630ADB">
        <w:rPr>
          <w:noProof/>
        </w:rPr>
        <w:fldChar w:fldCharType="end"/>
      </w:r>
      <w:bookmarkEnd w:id="6"/>
      <w:r>
        <w:t xml:space="preserve"> Import </w:t>
      </w:r>
      <w:r w:rsidR="005472CA">
        <w:t xml:space="preserve">reliance (net imports divided by domestic consumption) </w:t>
      </w:r>
      <w:r w:rsidR="00423B94">
        <w:t>for</w:t>
      </w:r>
      <w:r>
        <w:t xml:space="preserve"> USA balancing authorit</w:t>
      </w:r>
      <w:r w:rsidR="000D0D91">
        <w:t>ies</w:t>
      </w:r>
      <w:r w:rsidR="001B35E7">
        <w:t xml:space="preserve"> with</w:t>
      </w:r>
      <w:r w:rsidR="000D0D91">
        <w:t xml:space="preserve"> annual average demand &gt;500 MW</w:t>
      </w:r>
      <w:r>
        <w:t>.</w:t>
      </w:r>
    </w:p>
    <w:tbl>
      <w:tblPr>
        <w:tblW w:w="12020" w:type="dxa"/>
        <w:tblLook w:val="04A0" w:firstRow="1" w:lastRow="0" w:firstColumn="1" w:lastColumn="0" w:noHBand="0" w:noVBand="1"/>
      </w:tblPr>
      <w:tblGrid>
        <w:gridCol w:w="6260"/>
        <w:gridCol w:w="669"/>
        <w:gridCol w:w="663"/>
        <w:gridCol w:w="663"/>
        <w:gridCol w:w="663"/>
        <w:gridCol w:w="663"/>
        <w:gridCol w:w="663"/>
        <w:gridCol w:w="663"/>
        <w:gridCol w:w="663"/>
        <w:gridCol w:w="663"/>
      </w:tblGrid>
      <w:tr w:rsidR="006B2BBA" w:rsidRPr="006B2BBA" w14:paraId="7429BF95" w14:textId="77777777" w:rsidTr="006B2BBA">
        <w:trPr>
          <w:trHeight w:val="285"/>
        </w:trPr>
        <w:tc>
          <w:tcPr>
            <w:tcW w:w="6260" w:type="dxa"/>
            <w:tcBorders>
              <w:top w:val="single" w:sz="4" w:space="0" w:color="8ED973"/>
              <w:left w:val="nil"/>
              <w:bottom w:val="single" w:sz="4" w:space="0" w:color="8ED973"/>
              <w:right w:val="nil"/>
            </w:tcBorders>
            <w:shd w:val="clear" w:color="4EA72E" w:fill="4EA72E"/>
            <w:noWrap/>
            <w:vAlign w:val="bottom"/>
            <w:hideMark/>
          </w:tcPr>
          <w:p w14:paraId="24ABFF54"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Name</w:t>
            </w:r>
          </w:p>
        </w:tc>
        <w:tc>
          <w:tcPr>
            <w:tcW w:w="640" w:type="dxa"/>
            <w:tcBorders>
              <w:top w:val="single" w:sz="4" w:space="0" w:color="8ED973"/>
              <w:left w:val="nil"/>
              <w:bottom w:val="single" w:sz="4" w:space="0" w:color="8ED973"/>
              <w:right w:val="nil"/>
            </w:tcBorders>
            <w:shd w:val="clear" w:color="4EA72E" w:fill="4EA72E"/>
            <w:noWrap/>
            <w:vAlign w:val="bottom"/>
            <w:hideMark/>
          </w:tcPr>
          <w:p w14:paraId="756F0DA8"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Total</w:t>
            </w:r>
          </w:p>
        </w:tc>
        <w:tc>
          <w:tcPr>
            <w:tcW w:w="640" w:type="dxa"/>
            <w:tcBorders>
              <w:top w:val="single" w:sz="4" w:space="0" w:color="8ED973"/>
              <w:left w:val="nil"/>
              <w:bottom w:val="single" w:sz="4" w:space="0" w:color="8ED973"/>
              <w:right w:val="nil"/>
            </w:tcBorders>
            <w:shd w:val="clear" w:color="4EA72E" w:fill="4EA72E"/>
            <w:noWrap/>
            <w:vAlign w:val="bottom"/>
            <w:hideMark/>
          </w:tcPr>
          <w:p w14:paraId="406BE58F"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2016</w:t>
            </w:r>
          </w:p>
        </w:tc>
        <w:tc>
          <w:tcPr>
            <w:tcW w:w="640" w:type="dxa"/>
            <w:tcBorders>
              <w:top w:val="single" w:sz="4" w:space="0" w:color="8ED973"/>
              <w:left w:val="nil"/>
              <w:bottom w:val="single" w:sz="4" w:space="0" w:color="8ED973"/>
              <w:right w:val="nil"/>
            </w:tcBorders>
            <w:shd w:val="clear" w:color="4EA72E" w:fill="4EA72E"/>
            <w:noWrap/>
            <w:vAlign w:val="bottom"/>
            <w:hideMark/>
          </w:tcPr>
          <w:p w14:paraId="06527EC9"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2017</w:t>
            </w:r>
          </w:p>
        </w:tc>
        <w:tc>
          <w:tcPr>
            <w:tcW w:w="640" w:type="dxa"/>
            <w:tcBorders>
              <w:top w:val="single" w:sz="4" w:space="0" w:color="8ED973"/>
              <w:left w:val="nil"/>
              <w:bottom w:val="single" w:sz="4" w:space="0" w:color="8ED973"/>
              <w:right w:val="nil"/>
            </w:tcBorders>
            <w:shd w:val="clear" w:color="4EA72E" w:fill="4EA72E"/>
            <w:noWrap/>
            <w:vAlign w:val="bottom"/>
            <w:hideMark/>
          </w:tcPr>
          <w:p w14:paraId="25D6A4B6"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2018</w:t>
            </w:r>
          </w:p>
        </w:tc>
        <w:tc>
          <w:tcPr>
            <w:tcW w:w="640" w:type="dxa"/>
            <w:tcBorders>
              <w:top w:val="single" w:sz="4" w:space="0" w:color="8ED973"/>
              <w:left w:val="nil"/>
              <w:bottom w:val="single" w:sz="4" w:space="0" w:color="8ED973"/>
              <w:right w:val="nil"/>
            </w:tcBorders>
            <w:shd w:val="clear" w:color="4EA72E" w:fill="4EA72E"/>
            <w:noWrap/>
            <w:vAlign w:val="bottom"/>
            <w:hideMark/>
          </w:tcPr>
          <w:p w14:paraId="36799CBB"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2019</w:t>
            </w:r>
          </w:p>
        </w:tc>
        <w:tc>
          <w:tcPr>
            <w:tcW w:w="640" w:type="dxa"/>
            <w:tcBorders>
              <w:top w:val="single" w:sz="4" w:space="0" w:color="8ED973"/>
              <w:left w:val="nil"/>
              <w:bottom w:val="single" w:sz="4" w:space="0" w:color="8ED973"/>
              <w:right w:val="nil"/>
            </w:tcBorders>
            <w:shd w:val="clear" w:color="4EA72E" w:fill="4EA72E"/>
            <w:noWrap/>
            <w:vAlign w:val="bottom"/>
            <w:hideMark/>
          </w:tcPr>
          <w:p w14:paraId="727E77C4"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2020</w:t>
            </w:r>
          </w:p>
        </w:tc>
        <w:tc>
          <w:tcPr>
            <w:tcW w:w="640" w:type="dxa"/>
            <w:tcBorders>
              <w:top w:val="single" w:sz="4" w:space="0" w:color="8ED973"/>
              <w:left w:val="nil"/>
              <w:bottom w:val="single" w:sz="4" w:space="0" w:color="8ED973"/>
              <w:right w:val="nil"/>
            </w:tcBorders>
            <w:shd w:val="clear" w:color="4EA72E" w:fill="4EA72E"/>
            <w:noWrap/>
            <w:vAlign w:val="bottom"/>
            <w:hideMark/>
          </w:tcPr>
          <w:p w14:paraId="78C57F21"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2021</w:t>
            </w:r>
          </w:p>
        </w:tc>
        <w:tc>
          <w:tcPr>
            <w:tcW w:w="640" w:type="dxa"/>
            <w:tcBorders>
              <w:top w:val="single" w:sz="4" w:space="0" w:color="8ED973"/>
              <w:left w:val="nil"/>
              <w:bottom w:val="single" w:sz="4" w:space="0" w:color="8ED973"/>
              <w:right w:val="nil"/>
            </w:tcBorders>
            <w:shd w:val="clear" w:color="4EA72E" w:fill="4EA72E"/>
            <w:noWrap/>
            <w:vAlign w:val="bottom"/>
            <w:hideMark/>
          </w:tcPr>
          <w:p w14:paraId="4BAB089A"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2022</w:t>
            </w:r>
          </w:p>
        </w:tc>
        <w:tc>
          <w:tcPr>
            <w:tcW w:w="640" w:type="dxa"/>
            <w:tcBorders>
              <w:top w:val="single" w:sz="4" w:space="0" w:color="8ED973"/>
              <w:left w:val="nil"/>
              <w:bottom w:val="single" w:sz="4" w:space="0" w:color="8ED973"/>
              <w:right w:val="nil"/>
            </w:tcBorders>
            <w:shd w:val="clear" w:color="4EA72E" w:fill="4EA72E"/>
            <w:noWrap/>
            <w:vAlign w:val="bottom"/>
            <w:hideMark/>
          </w:tcPr>
          <w:p w14:paraId="7B75E045"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2023</w:t>
            </w:r>
          </w:p>
        </w:tc>
      </w:tr>
      <w:tr w:rsidR="006B2BBA" w:rsidRPr="006B2BBA" w14:paraId="48A14977"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0A7B58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Portland General Electric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3CEC0C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0.70</w:t>
            </w:r>
          </w:p>
        </w:tc>
        <w:tc>
          <w:tcPr>
            <w:tcW w:w="640" w:type="dxa"/>
            <w:tcBorders>
              <w:top w:val="single" w:sz="4" w:space="0" w:color="8ED973"/>
              <w:left w:val="nil"/>
              <w:bottom w:val="single" w:sz="4" w:space="0" w:color="8ED973"/>
              <w:right w:val="nil"/>
            </w:tcBorders>
            <w:shd w:val="clear" w:color="DAF2D0" w:fill="DAF2D0"/>
            <w:noWrap/>
            <w:vAlign w:val="bottom"/>
            <w:hideMark/>
          </w:tcPr>
          <w:p w14:paraId="46B132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0.71</w:t>
            </w:r>
          </w:p>
        </w:tc>
        <w:tc>
          <w:tcPr>
            <w:tcW w:w="640" w:type="dxa"/>
            <w:tcBorders>
              <w:top w:val="single" w:sz="4" w:space="0" w:color="8ED973"/>
              <w:left w:val="nil"/>
              <w:bottom w:val="single" w:sz="4" w:space="0" w:color="8ED973"/>
              <w:right w:val="nil"/>
            </w:tcBorders>
            <w:shd w:val="clear" w:color="DAF2D0" w:fill="DAF2D0"/>
            <w:noWrap/>
            <w:vAlign w:val="bottom"/>
            <w:hideMark/>
          </w:tcPr>
          <w:p w14:paraId="16DC28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171419A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0.67</w:t>
            </w:r>
          </w:p>
        </w:tc>
        <w:tc>
          <w:tcPr>
            <w:tcW w:w="640" w:type="dxa"/>
            <w:tcBorders>
              <w:top w:val="single" w:sz="4" w:space="0" w:color="8ED973"/>
              <w:left w:val="nil"/>
              <w:bottom w:val="single" w:sz="4" w:space="0" w:color="8ED973"/>
              <w:right w:val="nil"/>
            </w:tcBorders>
            <w:shd w:val="clear" w:color="DAF2D0" w:fill="DAF2D0"/>
            <w:noWrap/>
            <w:vAlign w:val="bottom"/>
            <w:hideMark/>
          </w:tcPr>
          <w:p w14:paraId="7928F5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0.73</w:t>
            </w:r>
          </w:p>
        </w:tc>
        <w:tc>
          <w:tcPr>
            <w:tcW w:w="640" w:type="dxa"/>
            <w:tcBorders>
              <w:top w:val="single" w:sz="4" w:space="0" w:color="8ED973"/>
              <w:left w:val="nil"/>
              <w:bottom w:val="single" w:sz="4" w:space="0" w:color="8ED973"/>
              <w:right w:val="nil"/>
            </w:tcBorders>
            <w:shd w:val="clear" w:color="DAF2D0" w:fill="DAF2D0"/>
            <w:noWrap/>
            <w:vAlign w:val="bottom"/>
            <w:hideMark/>
          </w:tcPr>
          <w:p w14:paraId="33622DC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5882B3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0.71</w:t>
            </w:r>
          </w:p>
        </w:tc>
        <w:tc>
          <w:tcPr>
            <w:tcW w:w="640" w:type="dxa"/>
            <w:tcBorders>
              <w:top w:val="single" w:sz="4" w:space="0" w:color="8ED973"/>
              <w:left w:val="nil"/>
              <w:bottom w:val="single" w:sz="4" w:space="0" w:color="8ED973"/>
              <w:right w:val="nil"/>
            </w:tcBorders>
            <w:shd w:val="clear" w:color="DAF2D0" w:fill="DAF2D0"/>
            <w:noWrap/>
            <w:vAlign w:val="bottom"/>
            <w:hideMark/>
          </w:tcPr>
          <w:p w14:paraId="293CC7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1BB34D1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0.65</w:t>
            </w:r>
          </w:p>
        </w:tc>
      </w:tr>
      <w:tr w:rsidR="006B2BBA" w:rsidRPr="006B2BBA" w14:paraId="25F9640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E8C397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Puget Sound Energy, Inc.</w:t>
            </w:r>
          </w:p>
        </w:tc>
        <w:tc>
          <w:tcPr>
            <w:tcW w:w="640" w:type="dxa"/>
            <w:tcBorders>
              <w:top w:val="single" w:sz="4" w:space="0" w:color="8ED973"/>
              <w:left w:val="nil"/>
              <w:bottom w:val="single" w:sz="4" w:space="0" w:color="8ED973"/>
              <w:right w:val="nil"/>
            </w:tcBorders>
            <w:shd w:val="clear" w:color="auto" w:fill="auto"/>
            <w:noWrap/>
            <w:vAlign w:val="bottom"/>
            <w:hideMark/>
          </w:tcPr>
          <w:p w14:paraId="14855EE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0.57</w:t>
            </w:r>
          </w:p>
        </w:tc>
        <w:tc>
          <w:tcPr>
            <w:tcW w:w="640" w:type="dxa"/>
            <w:tcBorders>
              <w:top w:val="single" w:sz="4" w:space="0" w:color="8ED973"/>
              <w:left w:val="nil"/>
              <w:bottom w:val="single" w:sz="4" w:space="0" w:color="8ED973"/>
              <w:right w:val="nil"/>
            </w:tcBorders>
            <w:shd w:val="clear" w:color="auto" w:fill="auto"/>
            <w:noWrap/>
            <w:vAlign w:val="bottom"/>
            <w:hideMark/>
          </w:tcPr>
          <w:p w14:paraId="5B9681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0.47</w:t>
            </w:r>
          </w:p>
        </w:tc>
        <w:tc>
          <w:tcPr>
            <w:tcW w:w="640" w:type="dxa"/>
            <w:tcBorders>
              <w:top w:val="single" w:sz="4" w:space="0" w:color="8ED973"/>
              <w:left w:val="nil"/>
              <w:bottom w:val="single" w:sz="4" w:space="0" w:color="8ED973"/>
              <w:right w:val="nil"/>
            </w:tcBorders>
            <w:shd w:val="clear" w:color="auto" w:fill="auto"/>
            <w:noWrap/>
            <w:vAlign w:val="bottom"/>
            <w:hideMark/>
          </w:tcPr>
          <w:p w14:paraId="37EA9E4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0.51</w:t>
            </w:r>
          </w:p>
        </w:tc>
        <w:tc>
          <w:tcPr>
            <w:tcW w:w="640" w:type="dxa"/>
            <w:tcBorders>
              <w:top w:val="single" w:sz="4" w:space="0" w:color="8ED973"/>
              <w:left w:val="nil"/>
              <w:bottom w:val="single" w:sz="4" w:space="0" w:color="8ED973"/>
              <w:right w:val="nil"/>
            </w:tcBorders>
            <w:shd w:val="clear" w:color="auto" w:fill="auto"/>
            <w:noWrap/>
            <w:vAlign w:val="bottom"/>
            <w:hideMark/>
          </w:tcPr>
          <w:p w14:paraId="3EC775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0.54</w:t>
            </w:r>
          </w:p>
        </w:tc>
        <w:tc>
          <w:tcPr>
            <w:tcW w:w="640" w:type="dxa"/>
            <w:tcBorders>
              <w:top w:val="single" w:sz="4" w:space="0" w:color="8ED973"/>
              <w:left w:val="nil"/>
              <w:bottom w:val="single" w:sz="4" w:space="0" w:color="8ED973"/>
              <w:right w:val="nil"/>
            </w:tcBorders>
            <w:shd w:val="clear" w:color="auto" w:fill="auto"/>
            <w:noWrap/>
            <w:vAlign w:val="bottom"/>
            <w:hideMark/>
          </w:tcPr>
          <w:p w14:paraId="04FCD3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724477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47B7292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0.73</w:t>
            </w:r>
          </w:p>
        </w:tc>
        <w:tc>
          <w:tcPr>
            <w:tcW w:w="640" w:type="dxa"/>
            <w:tcBorders>
              <w:top w:val="single" w:sz="4" w:space="0" w:color="8ED973"/>
              <w:left w:val="nil"/>
              <w:bottom w:val="single" w:sz="4" w:space="0" w:color="8ED973"/>
              <w:right w:val="nil"/>
            </w:tcBorders>
            <w:shd w:val="clear" w:color="auto" w:fill="auto"/>
            <w:noWrap/>
            <w:vAlign w:val="bottom"/>
            <w:hideMark/>
          </w:tcPr>
          <w:p w14:paraId="58B2D5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0.79</w:t>
            </w:r>
          </w:p>
        </w:tc>
        <w:tc>
          <w:tcPr>
            <w:tcW w:w="640" w:type="dxa"/>
            <w:tcBorders>
              <w:top w:val="single" w:sz="4" w:space="0" w:color="8ED973"/>
              <w:left w:val="nil"/>
              <w:bottom w:val="single" w:sz="4" w:space="0" w:color="8ED973"/>
              <w:right w:val="nil"/>
            </w:tcBorders>
            <w:shd w:val="clear" w:color="auto" w:fill="auto"/>
            <w:noWrap/>
            <w:vAlign w:val="bottom"/>
            <w:hideMark/>
          </w:tcPr>
          <w:p w14:paraId="5FBB0D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0.68</w:t>
            </w:r>
          </w:p>
        </w:tc>
      </w:tr>
      <w:tr w:rsidR="006B2BBA" w:rsidRPr="006B2BBA" w14:paraId="2608C5CF"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B7FA82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City of Tacoma, Department of Public Utilities, Light Division</w:t>
            </w:r>
          </w:p>
        </w:tc>
        <w:tc>
          <w:tcPr>
            <w:tcW w:w="640" w:type="dxa"/>
            <w:tcBorders>
              <w:top w:val="single" w:sz="4" w:space="0" w:color="8ED973"/>
              <w:left w:val="nil"/>
              <w:bottom w:val="single" w:sz="4" w:space="0" w:color="8ED973"/>
              <w:right w:val="nil"/>
            </w:tcBorders>
            <w:shd w:val="clear" w:color="DAF2D0" w:fill="DAF2D0"/>
            <w:noWrap/>
            <w:vAlign w:val="bottom"/>
            <w:hideMark/>
          </w:tcPr>
          <w:p w14:paraId="1B62B5D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0.48</w:t>
            </w:r>
          </w:p>
        </w:tc>
        <w:tc>
          <w:tcPr>
            <w:tcW w:w="640" w:type="dxa"/>
            <w:tcBorders>
              <w:top w:val="single" w:sz="4" w:space="0" w:color="8ED973"/>
              <w:left w:val="nil"/>
              <w:bottom w:val="single" w:sz="4" w:space="0" w:color="8ED973"/>
              <w:right w:val="nil"/>
            </w:tcBorders>
            <w:shd w:val="clear" w:color="DAF2D0" w:fill="DAF2D0"/>
            <w:noWrap/>
            <w:vAlign w:val="bottom"/>
            <w:hideMark/>
          </w:tcPr>
          <w:p w14:paraId="34E5B7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DAF2D0" w:fill="DAF2D0"/>
            <w:noWrap/>
            <w:vAlign w:val="bottom"/>
            <w:hideMark/>
          </w:tcPr>
          <w:p w14:paraId="6BC5C86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DAF2D0" w:fill="DAF2D0"/>
            <w:noWrap/>
            <w:vAlign w:val="bottom"/>
            <w:hideMark/>
          </w:tcPr>
          <w:p w14:paraId="1DA74C2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0.51</w:t>
            </w:r>
          </w:p>
        </w:tc>
        <w:tc>
          <w:tcPr>
            <w:tcW w:w="640" w:type="dxa"/>
            <w:tcBorders>
              <w:top w:val="single" w:sz="4" w:space="0" w:color="8ED973"/>
              <w:left w:val="nil"/>
              <w:bottom w:val="single" w:sz="4" w:space="0" w:color="8ED973"/>
              <w:right w:val="nil"/>
            </w:tcBorders>
            <w:shd w:val="clear" w:color="DAF2D0" w:fill="DAF2D0"/>
            <w:noWrap/>
            <w:vAlign w:val="bottom"/>
            <w:hideMark/>
          </w:tcPr>
          <w:p w14:paraId="36222BF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0.67</w:t>
            </w:r>
          </w:p>
        </w:tc>
        <w:tc>
          <w:tcPr>
            <w:tcW w:w="640" w:type="dxa"/>
            <w:tcBorders>
              <w:top w:val="single" w:sz="4" w:space="0" w:color="8ED973"/>
              <w:left w:val="nil"/>
              <w:bottom w:val="single" w:sz="4" w:space="0" w:color="8ED973"/>
              <w:right w:val="nil"/>
            </w:tcBorders>
            <w:shd w:val="clear" w:color="DAF2D0" w:fill="DAF2D0"/>
            <w:noWrap/>
            <w:vAlign w:val="bottom"/>
            <w:hideMark/>
          </w:tcPr>
          <w:p w14:paraId="57FCB5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14C5769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DAF2D0" w:fill="DAF2D0"/>
            <w:noWrap/>
            <w:vAlign w:val="bottom"/>
            <w:hideMark/>
          </w:tcPr>
          <w:p w14:paraId="76634A3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5A23AF4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0.58</w:t>
            </w:r>
          </w:p>
        </w:tc>
      </w:tr>
      <w:tr w:rsidR="006B2BBA" w:rsidRPr="006B2BBA" w14:paraId="5841B1FE"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9996FD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El Paso Electric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4E6361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55A7A9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0.55</w:t>
            </w:r>
          </w:p>
        </w:tc>
        <w:tc>
          <w:tcPr>
            <w:tcW w:w="640" w:type="dxa"/>
            <w:tcBorders>
              <w:top w:val="single" w:sz="4" w:space="0" w:color="8ED973"/>
              <w:left w:val="nil"/>
              <w:bottom w:val="single" w:sz="4" w:space="0" w:color="8ED973"/>
              <w:right w:val="nil"/>
            </w:tcBorders>
            <w:shd w:val="clear" w:color="auto" w:fill="auto"/>
            <w:noWrap/>
            <w:vAlign w:val="bottom"/>
            <w:hideMark/>
          </w:tcPr>
          <w:p w14:paraId="1C0D4B3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0.52</w:t>
            </w:r>
          </w:p>
        </w:tc>
        <w:tc>
          <w:tcPr>
            <w:tcW w:w="640" w:type="dxa"/>
            <w:tcBorders>
              <w:top w:val="single" w:sz="4" w:space="0" w:color="8ED973"/>
              <w:left w:val="nil"/>
              <w:bottom w:val="single" w:sz="4" w:space="0" w:color="8ED973"/>
              <w:right w:val="nil"/>
            </w:tcBorders>
            <w:shd w:val="clear" w:color="auto" w:fill="auto"/>
            <w:noWrap/>
            <w:vAlign w:val="bottom"/>
            <w:hideMark/>
          </w:tcPr>
          <w:p w14:paraId="450A46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auto" w:fill="auto"/>
            <w:noWrap/>
            <w:vAlign w:val="bottom"/>
            <w:hideMark/>
          </w:tcPr>
          <w:p w14:paraId="36493D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32CAD8C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0.42</w:t>
            </w:r>
          </w:p>
        </w:tc>
        <w:tc>
          <w:tcPr>
            <w:tcW w:w="640" w:type="dxa"/>
            <w:tcBorders>
              <w:top w:val="single" w:sz="4" w:space="0" w:color="8ED973"/>
              <w:left w:val="nil"/>
              <w:bottom w:val="single" w:sz="4" w:space="0" w:color="8ED973"/>
              <w:right w:val="nil"/>
            </w:tcBorders>
            <w:shd w:val="clear" w:color="auto" w:fill="auto"/>
            <w:noWrap/>
            <w:vAlign w:val="bottom"/>
            <w:hideMark/>
          </w:tcPr>
          <w:p w14:paraId="2AEA6D7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7E75F95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auto" w:fill="auto"/>
            <w:noWrap/>
            <w:vAlign w:val="bottom"/>
            <w:hideMark/>
          </w:tcPr>
          <w:p w14:paraId="0EEA942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r>
      <w:tr w:rsidR="006B2BBA" w:rsidRPr="006B2BBA" w14:paraId="73A6918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B564EB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Progress West</w:t>
            </w:r>
          </w:p>
        </w:tc>
        <w:tc>
          <w:tcPr>
            <w:tcW w:w="640" w:type="dxa"/>
            <w:tcBorders>
              <w:top w:val="single" w:sz="4" w:space="0" w:color="8ED973"/>
              <w:left w:val="nil"/>
              <w:bottom w:val="single" w:sz="4" w:space="0" w:color="8ED973"/>
              <w:right w:val="nil"/>
            </w:tcBorders>
            <w:shd w:val="clear" w:color="DAF2D0" w:fill="DAF2D0"/>
            <w:noWrap/>
            <w:vAlign w:val="bottom"/>
            <w:hideMark/>
          </w:tcPr>
          <w:p w14:paraId="69169C7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0.42</w:t>
            </w:r>
          </w:p>
        </w:tc>
        <w:tc>
          <w:tcPr>
            <w:tcW w:w="640" w:type="dxa"/>
            <w:tcBorders>
              <w:top w:val="single" w:sz="4" w:space="0" w:color="8ED973"/>
              <w:left w:val="nil"/>
              <w:bottom w:val="single" w:sz="4" w:space="0" w:color="8ED973"/>
              <w:right w:val="nil"/>
            </w:tcBorders>
            <w:shd w:val="clear" w:color="DAF2D0" w:fill="DAF2D0"/>
            <w:noWrap/>
            <w:vAlign w:val="bottom"/>
            <w:hideMark/>
          </w:tcPr>
          <w:p w14:paraId="237D87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0.64</w:t>
            </w:r>
          </w:p>
        </w:tc>
        <w:tc>
          <w:tcPr>
            <w:tcW w:w="640" w:type="dxa"/>
            <w:tcBorders>
              <w:top w:val="single" w:sz="4" w:space="0" w:color="8ED973"/>
              <w:left w:val="nil"/>
              <w:bottom w:val="single" w:sz="4" w:space="0" w:color="8ED973"/>
              <w:right w:val="nil"/>
            </w:tcBorders>
            <w:shd w:val="clear" w:color="DAF2D0" w:fill="DAF2D0"/>
            <w:noWrap/>
            <w:vAlign w:val="bottom"/>
            <w:hideMark/>
          </w:tcPr>
          <w:p w14:paraId="21BB86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0.66</w:t>
            </w:r>
          </w:p>
        </w:tc>
        <w:tc>
          <w:tcPr>
            <w:tcW w:w="640" w:type="dxa"/>
            <w:tcBorders>
              <w:top w:val="single" w:sz="4" w:space="0" w:color="8ED973"/>
              <w:left w:val="nil"/>
              <w:bottom w:val="single" w:sz="4" w:space="0" w:color="8ED973"/>
              <w:right w:val="nil"/>
            </w:tcBorders>
            <w:shd w:val="clear" w:color="DAF2D0" w:fill="DAF2D0"/>
            <w:noWrap/>
            <w:vAlign w:val="bottom"/>
            <w:hideMark/>
          </w:tcPr>
          <w:p w14:paraId="323363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0.56</w:t>
            </w:r>
          </w:p>
        </w:tc>
        <w:tc>
          <w:tcPr>
            <w:tcW w:w="640" w:type="dxa"/>
            <w:tcBorders>
              <w:top w:val="single" w:sz="4" w:space="0" w:color="8ED973"/>
              <w:left w:val="nil"/>
              <w:bottom w:val="single" w:sz="4" w:space="0" w:color="8ED973"/>
              <w:right w:val="nil"/>
            </w:tcBorders>
            <w:shd w:val="clear" w:color="DAF2D0" w:fill="DAF2D0"/>
            <w:noWrap/>
            <w:vAlign w:val="bottom"/>
            <w:hideMark/>
          </w:tcPr>
          <w:p w14:paraId="787CEA9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0.58</w:t>
            </w:r>
          </w:p>
        </w:tc>
        <w:tc>
          <w:tcPr>
            <w:tcW w:w="640" w:type="dxa"/>
            <w:tcBorders>
              <w:top w:val="single" w:sz="4" w:space="0" w:color="8ED973"/>
              <w:left w:val="nil"/>
              <w:bottom w:val="single" w:sz="4" w:space="0" w:color="8ED973"/>
              <w:right w:val="nil"/>
            </w:tcBorders>
            <w:shd w:val="clear" w:color="DAF2D0" w:fill="DAF2D0"/>
            <w:noWrap/>
            <w:vAlign w:val="bottom"/>
            <w:hideMark/>
          </w:tcPr>
          <w:p w14:paraId="6B4042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DAF2D0" w:fill="DAF2D0"/>
            <w:noWrap/>
            <w:vAlign w:val="bottom"/>
            <w:hideMark/>
          </w:tcPr>
          <w:p w14:paraId="1B34AF8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4F3F481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49BD06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r>
      <w:tr w:rsidR="006B2BBA" w:rsidRPr="006B2BBA" w14:paraId="03B241B9"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82AE48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Avista Corporation</w:t>
            </w:r>
          </w:p>
        </w:tc>
        <w:tc>
          <w:tcPr>
            <w:tcW w:w="640" w:type="dxa"/>
            <w:tcBorders>
              <w:top w:val="single" w:sz="4" w:space="0" w:color="8ED973"/>
              <w:left w:val="nil"/>
              <w:bottom w:val="single" w:sz="4" w:space="0" w:color="8ED973"/>
              <w:right w:val="nil"/>
            </w:tcBorders>
            <w:shd w:val="clear" w:color="auto" w:fill="auto"/>
            <w:noWrap/>
            <w:vAlign w:val="bottom"/>
            <w:hideMark/>
          </w:tcPr>
          <w:p w14:paraId="008DF7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6153DEF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0.43</w:t>
            </w:r>
          </w:p>
        </w:tc>
        <w:tc>
          <w:tcPr>
            <w:tcW w:w="640" w:type="dxa"/>
            <w:tcBorders>
              <w:top w:val="single" w:sz="4" w:space="0" w:color="8ED973"/>
              <w:left w:val="nil"/>
              <w:bottom w:val="single" w:sz="4" w:space="0" w:color="8ED973"/>
              <w:right w:val="nil"/>
            </w:tcBorders>
            <w:shd w:val="clear" w:color="auto" w:fill="auto"/>
            <w:noWrap/>
            <w:vAlign w:val="bottom"/>
            <w:hideMark/>
          </w:tcPr>
          <w:p w14:paraId="699CAB5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auto" w:fill="auto"/>
            <w:noWrap/>
            <w:vAlign w:val="bottom"/>
            <w:hideMark/>
          </w:tcPr>
          <w:p w14:paraId="3A658A6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647BB04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7825FD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auto" w:fill="auto"/>
            <w:noWrap/>
            <w:vAlign w:val="bottom"/>
            <w:hideMark/>
          </w:tcPr>
          <w:p w14:paraId="647C72F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auto" w:fill="auto"/>
            <w:noWrap/>
            <w:vAlign w:val="bottom"/>
            <w:hideMark/>
          </w:tcPr>
          <w:p w14:paraId="15546E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632B00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r>
      <w:tr w:rsidR="006B2BBA" w:rsidRPr="006B2BBA" w14:paraId="08C9AC03"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8901059"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Seattle City Light</w:t>
            </w:r>
          </w:p>
        </w:tc>
        <w:tc>
          <w:tcPr>
            <w:tcW w:w="640" w:type="dxa"/>
            <w:tcBorders>
              <w:top w:val="single" w:sz="4" w:space="0" w:color="8ED973"/>
              <w:left w:val="nil"/>
              <w:bottom w:val="single" w:sz="4" w:space="0" w:color="8ED973"/>
              <w:right w:val="nil"/>
            </w:tcBorders>
            <w:shd w:val="clear" w:color="DAF2D0" w:fill="DAF2D0"/>
            <w:noWrap/>
            <w:vAlign w:val="bottom"/>
            <w:hideMark/>
          </w:tcPr>
          <w:p w14:paraId="79D024B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411E2A8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0.29</w:t>
            </w:r>
          </w:p>
        </w:tc>
        <w:tc>
          <w:tcPr>
            <w:tcW w:w="640" w:type="dxa"/>
            <w:tcBorders>
              <w:top w:val="single" w:sz="4" w:space="0" w:color="8ED973"/>
              <w:left w:val="nil"/>
              <w:bottom w:val="single" w:sz="4" w:space="0" w:color="8ED973"/>
              <w:right w:val="nil"/>
            </w:tcBorders>
            <w:shd w:val="clear" w:color="DAF2D0" w:fill="DAF2D0"/>
            <w:noWrap/>
            <w:vAlign w:val="bottom"/>
            <w:hideMark/>
          </w:tcPr>
          <w:p w14:paraId="3D5306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DAF2D0" w:fill="DAF2D0"/>
            <w:noWrap/>
            <w:vAlign w:val="bottom"/>
            <w:hideMark/>
          </w:tcPr>
          <w:p w14:paraId="35223F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DAF2D0" w:fill="DAF2D0"/>
            <w:noWrap/>
            <w:vAlign w:val="bottom"/>
            <w:hideMark/>
          </w:tcPr>
          <w:p w14:paraId="7DDD867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367C987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DAF2D0" w:fill="DAF2D0"/>
            <w:noWrap/>
            <w:vAlign w:val="bottom"/>
            <w:hideMark/>
          </w:tcPr>
          <w:p w14:paraId="64F2C6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DAF2D0" w:fill="DAF2D0"/>
            <w:noWrap/>
            <w:vAlign w:val="bottom"/>
            <w:hideMark/>
          </w:tcPr>
          <w:p w14:paraId="50BBED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548B8D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0.52</w:t>
            </w:r>
          </w:p>
        </w:tc>
      </w:tr>
      <w:tr w:rsidR="006B2BBA" w:rsidRPr="006B2BBA" w14:paraId="4DCA0192"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BD8977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PacifiCorp West</w:t>
            </w:r>
          </w:p>
        </w:tc>
        <w:tc>
          <w:tcPr>
            <w:tcW w:w="640" w:type="dxa"/>
            <w:tcBorders>
              <w:top w:val="single" w:sz="4" w:space="0" w:color="8ED973"/>
              <w:left w:val="nil"/>
              <w:bottom w:val="single" w:sz="4" w:space="0" w:color="8ED973"/>
              <w:right w:val="nil"/>
            </w:tcBorders>
            <w:shd w:val="clear" w:color="auto" w:fill="auto"/>
            <w:noWrap/>
            <w:vAlign w:val="bottom"/>
            <w:hideMark/>
          </w:tcPr>
          <w:p w14:paraId="7F37F9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auto" w:fill="auto"/>
            <w:noWrap/>
            <w:vAlign w:val="bottom"/>
            <w:hideMark/>
          </w:tcPr>
          <w:p w14:paraId="216B05E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auto" w:fill="auto"/>
            <w:noWrap/>
            <w:vAlign w:val="bottom"/>
            <w:hideMark/>
          </w:tcPr>
          <w:p w14:paraId="21CE52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0.13</w:t>
            </w:r>
          </w:p>
        </w:tc>
        <w:tc>
          <w:tcPr>
            <w:tcW w:w="640" w:type="dxa"/>
            <w:tcBorders>
              <w:top w:val="single" w:sz="4" w:space="0" w:color="8ED973"/>
              <w:left w:val="nil"/>
              <w:bottom w:val="single" w:sz="4" w:space="0" w:color="8ED973"/>
              <w:right w:val="nil"/>
            </w:tcBorders>
            <w:shd w:val="clear" w:color="auto" w:fill="auto"/>
            <w:noWrap/>
            <w:vAlign w:val="bottom"/>
            <w:hideMark/>
          </w:tcPr>
          <w:p w14:paraId="033FBB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auto" w:fill="auto"/>
            <w:noWrap/>
            <w:vAlign w:val="bottom"/>
            <w:hideMark/>
          </w:tcPr>
          <w:p w14:paraId="3F02ACF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64B2F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3FF138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auto" w:fill="auto"/>
            <w:noWrap/>
            <w:vAlign w:val="bottom"/>
            <w:hideMark/>
          </w:tcPr>
          <w:p w14:paraId="24003A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0.61</w:t>
            </w:r>
          </w:p>
        </w:tc>
        <w:tc>
          <w:tcPr>
            <w:tcW w:w="640" w:type="dxa"/>
            <w:tcBorders>
              <w:top w:val="single" w:sz="4" w:space="0" w:color="8ED973"/>
              <w:left w:val="nil"/>
              <w:bottom w:val="single" w:sz="4" w:space="0" w:color="8ED973"/>
              <w:right w:val="nil"/>
            </w:tcBorders>
            <w:shd w:val="clear" w:color="auto" w:fill="auto"/>
            <w:noWrap/>
            <w:vAlign w:val="bottom"/>
            <w:hideMark/>
          </w:tcPr>
          <w:p w14:paraId="37DA53B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r>
      <w:tr w:rsidR="006B2BBA" w:rsidRPr="006B2BBA" w14:paraId="60F80C8F"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59AB2E6E"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 Carolina Public Service Authority</w:t>
            </w:r>
          </w:p>
        </w:tc>
        <w:tc>
          <w:tcPr>
            <w:tcW w:w="640" w:type="dxa"/>
            <w:tcBorders>
              <w:top w:val="single" w:sz="4" w:space="0" w:color="8ED973"/>
              <w:left w:val="nil"/>
              <w:bottom w:val="single" w:sz="4" w:space="0" w:color="8ED973"/>
              <w:right w:val="nil"/>
            </w:tcBorders>
            <w:shd w:val="clear" w:color="DAF2D0" w:fill="DAF2D0"/>
            <w:noWrap/>
            <w:vAlign w:val="bottom"/>
            <w:hideMark/>
          </w:tcPr>
          <w:p w14:paraId="17211D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6C74EA9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5C59C80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7B5B8E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0277D7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4A80859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DAF2D0" w:fill="DAF2D0"/>
            <w:noWrap/>
            <w:vAlign w:val="bottom"/>
            <w:hideMark/>
          </w:tcPr>
          <w:p w14:paraId="3F9233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DAF2D0" w:fill="DAF2D0"/>
            <w:noWrap/>
            <w:vAlign w:val="bottom"/>
            <w:hideMark/>
          </w:tcPr>
          <w:p w14:paraId="66DEC07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DAF2D0" w:fill="DAF2D0"/>
            <w:noWrap/>
            <w:vAlign w:val="bottom"/>
            <w:hideMark/>
          </w:tcPr>
          <w:p w14:paraId="0A89BBD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r>
      <w:tr w:rsidR="006B2BBA" w:rsidRPr="006B2BBA" w14:paraId="59E2D1A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706A18B"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Tucson Electric Power</w:t>
            </w:r>
          </w:p>
        </w:tc>
        <w:tc>
          <w:tcPr>
            <w:tcW w:w="640" w:type="dxa"/>
            <w:tcBorders>
              <w:top w:val="single" w:sz="4" w:space="0" w:color="8ED973"/>
              <w:left w:val="nil"/>
              <w:bottom w:val="single" w:sz="4" w:space="0" w:color="8ED973"/>
              <w:right w:val="nil"/>
            </w:tcBorders>
            <w:shd w:val="clear" w:color="auto" w:fill="auto"/>
            <w:noWrap/>
            <w:vAlign w:val="bottom"/>
            <w:hideMark/>
          </w:tcPr>
          <w:p w14:paraId="447011E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1A6CDF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auto" w:fill="auto"/>
            <w:noWrap/>
            <w:vAlign w:val="bottom"/>
            <w:hideMark/>
          </w:tcPr>
          <w:p w14:paraId="5DD0D87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300D0F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001A17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0410A2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auto" w:fill="auto"/>
            <w:noWrap/>
            <w:vAlign w:val="bottom"/>
            <w:hideMark/>
          </w:tcPr>
          <w:p w14:paraId="0D30AF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1FC156E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572FA53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r>
      <w:tr w:rsidR="006B2BBA" w:rsidRPr="006B2BBA" w14:paraId="708CAFB7"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D92474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Idaho Power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1FC4D3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0.29</w:t>
            </w:r>
          </w:p>
        </w:tc>
        <w:tc>
          <w:tcPr>
            <w:tcW w:w="640" w:type="dxa"/>
            <w:tcBorders>
              <w:top w:val="single" w:sz="4" w:space="0" w:color="8ED973"/>
              <w:left w:val="nil"/>
              <w:bottom w:val="single" w:sz="4" w:space="0" w:color="8ED973"/>
              <w:right w:val="nil"/>
            </w:tcBorders>
            <w:shd w:val="clear" w:color="DAF2D0" w:fill="DAF2D0"/>
            <w:noWrap/>
            <w:vAlign w:val="bottom"/>
            <w:hideMark/>
          </w:tcPr>
          <w:p w14:paraId="5CFC0A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4C25C88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089E4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DAF2D0" w:fill="DAF2D0"/>
            <w:noWrap/>
            <w:vAlign w:val="bottom"/>
            <w:hideMark/>
          </w:tcPr>
          <w:p w14:paraId="2509B1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7FEC4C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273812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DAF2D0" w:fill="DAF2D0"/>
            <w:noWrap/>
            <w:vAlign w:val="bottom"/>
            <w:hideMark/>
          </w:tcPr>
          <w:p w14:paraId="2D1820F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DAF2D0" w:fill="DAF2D0"/>
            <w:noWrap/>
            <w:vAlign w:val="bottom"/>
            <w:hideMark/>
          </w:tcPr>
          <w:p w14:paraId="11B53A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r>
      <w:tr w:rsidR="006B2BBA" w:rsidRPr="006B2BBA" w14:paraId="53136E09"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03DE695"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Balancing Authority of Northern California</w:t>
            </w:r>
          </w:p>
        </w:tc>
        <w:tc>
          <w:tcPr>
            <w:tcW w:w="640" w:type="dxa"/>
            <w:tcBorders>
              <w:top w:val="single" w:sz="4" w:space="0" w:color="8ED973"/>
              <w:left w:val="nil"/>
              <w:bottom w:val="single" w:sz="4" w:space="0" w:color="8ED973"/>
              <w:right w:val="nil"/>
            </w:tcBorders>
            <w:shd w:val="clear" w:color="auto" w:fill="auto"/>
            <w:noWrap/>
            <w:vAlign w:val="bottom"/>
            <w:hideMark/>
          </w:tcPr>
          <w:p w14:paraId="41C3B99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0CB2EEE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4783FE1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auto" w:fill="auto"/>
            <w:noWrap/>
            <w:vAlign w:val="bottom"/>
            <w:hideMark/>
          </w:tcPr>
          <w:p w14:paraId="2DB7A0F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78A6A05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2B62BC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05E9DEA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781042F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22E555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r>
      <w:tr w:rsidR="006B2BBA" w:rsidRPr="006B2BBA" w14:paraId="78D3F5B3"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B7139F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California Independent System Operator</w:t>
            </w:r>
          </w:p>
        </w:tc>
        <w:tc>
          <w:tcPr>
            <w:tcW w:w="640" w:type="dxa"/>
            <w:tcBorders>
              <w:top w:val="single" w:sz="4" w:space="0" w:color="8ED973"/>
              <w:left w:val="nil"/>
              <w:bottom w:val="single" w:sz="4" w:space="0" w:color="8ED973"/>
              <w:right w:val="nil"/>
            </w:tcBorders>
            <w:shd w:val="clear" w:color="DAF2D0" w:fill="DAF2D0"/>
            <w:noWrap/>
            <w:vAlign w:val="bottom"/>
            <w:hideMark/>
          </w:tcPr>
          <w:p w14:paraId="31C9AB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DAF2D0" w:fill="DAF2D0"/>
            <w:noWrap/>
            <w:vAlign w:val="bottom"/>
            <w:hideMark/>
          </w:tcPr>
          <w:p w14:paraId="20CE914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2FA766C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DAF2D0" w:fill="DAF2D0"/>
            <w:noWrap/>
            <w:vAlign w:val="bottom"/>
            <w:hideMark/>
          </w:tcPr>
          <w:p w14:paraId="441E6C9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5E3861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340FAEB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58AF2C6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534737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E2ABE5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r>
      <w:tr w:rsidR="006B2BBA" w:rsidRPr="006B2BBA" w14:paraId="3168BE0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7685D0EE"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Florida, Inc.</w:t>
            </w:r>
          </w:p>
        </w:tc>
        <w:tc>
          <w:tcPr>
            <w:tcW w:w="640" w:type="dxa"/>
            <w:tcBorders>
              <w:top w:val="single" w:sz="4" w:space="0" w:color="8ED973"/>
              <w:left w:val="nil"/>
              <w:bottom w:val="single" w:sz="4" w:space="0" w:color="8ED973"/>
              <w:right w:val="nil"/>
            </w:tcBorders>
            <w:shd w:val="clear" w:color="auto" w:fill="auto"/>
            <w:noWrap/>
            <w:vAlign w:val="bottom"/>
            <w:hideMark/>
          </w:tcPr>
          <w:p w14:paraId="06AD32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3D856AF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4264F9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36C805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32906B5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6971C5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4CB215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auto" w:fill="auto"/>
            <w:noWrap/>
            <w:vAlign w:val="bottom"/>
            <w:hideMark/>
          </w:tcPr>
          <w:p w14:paraId="66F6F3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auto" w:fill="auto"/>
            <w:noWrap/>
            <w:vAlign w:val="bottom"/>
            <w:hideMark/>
          </w:tcPr>
          <w:p w14:paraId="2AE86B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r>
      <w:tr w:rsidR="006B2BBA" w:rsidRPr="006B2BBA" w14:paraId="6D10E495"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A4F5C6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JEA</w:t>
            </w:r>
          </w:p>
        </w:tc>
        <w:tc>
          <w:tcPr>
            <w:tcW w:w="640" w:type="dxa"/>
            <w:tcBorders>
              <w:top w:val="single" w:sz="4" w:space="0" w:color="8ED973"/>
              <w:left w:val="nil"/>
              <w:bottom w:val="single" w:sz="4" w:space="0" w:color="8ED973"/>
              <w:right w:val="nil"/>
            </w:tcBorders>
            <w:shd w:val="clear" w:color="DAF2D0" w:fill="DAF2D0"/>
            <w:noWrap/>
            <w:vAlign w:val="bottom"/>
            <w:hideMark/>
          </w:tcPr>
          <w:p w14:paraId="71989BE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DAF2D0" w:fill="DAF2D0"/>
            <w:noWrap/>
            <w:vAlign w:val="bottom"/>
            <w:hideMark/>
          </w:tcPr>
          <w:p w14:paraId="06A2E2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31D2C8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7E68715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07D17CD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DAF2D0" w:fill="DAF2D0"/>
            <w:noWrap/>
            <w:vAlign w:val="bottom"/>
            <w:hideMark/>
          </w:tcPr>
          <w:p w14:paraId="0AAFE4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DAF2D0" w:fill="DAF2D0"/>
            <w:noWrap/>
            <w:vAlign w:val="bottom"/>
            <w:hideMark/>
          </w:tcPr>
          <w:p w14:paraId="18E9875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51FA83B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129B5B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0.31</w:t>
            </w:r>
          </w:p>
        </w:tc>
      </w:tr>
      <w:tr w:rsidR="006B2BBA" w:rsidRPr="006B2BBA" w14:paraId="3E824707"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C1E07B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Los Angeles Department of Water and Power</w:t>
            </w:r>
          </w:p>
        </w:tc>
        <w:tc>
          <w:tcPr>
            <w:tcW w:w="640" w:type="dxa"/>
            <w:tcBorders>
              <w:top w:val="single" w:sz="4" w:space="0" w:color="8ED973"/>
              <w:left w:val="nil"/>
              <w:bottom w:val="single" w:sz="4" w:space="0" w:color="8ED973"/>
              <w:right w:val="nil"/>
            </w:tcBorders>
            <w:shd w:val="clear" w:color="auto" w:fill="auto"/>
            <w:noWrap/>
            <w:vAlign w:val="bottom"/>
            <w:hideMark/>
          </w:tcPr>
          <w:p w14:paraId="671BAEC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2C0E0A2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31A9250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auto" w:fill="auto"/>
            <w:noWrap/>
            <w:vAlign w:val="bottom"/>
            <w:hideMark/>
          </w:tcPr>
          <w:p w14:paraId="40FF79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23E8076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auto" w:fill="auto"/>
            <w:noWrap/>
            <w:vAlign w:val="bottom"/>
            <w:hideMark/>
          </w:tcPr>
          <w:p w14:paraId="1770855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52B8E1D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19BC5FD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6AB50B6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r>
      <w:tr w:rsidR="006B2BBA" w:rsidRPr="006B2BBA" w14:paraId="0D55939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6EBB9A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Western Area Power Administration - Desert Southwest Region</w:t>
            </w:r>
          </w:p>
        </w:tc>
        <w:tc>
          <w:tcPr>
            <w:tcW w:w="640" w:type="dxa"/>
            <w:tcBorders>
              <w:top w:val="single" w:sz="4" w:space="0" w:color="8ED973"/>
              <w:left w:val="nil"/>
              <w:bottom w:val="single" w:sz="4" w:space="0" w:color="8ED973"/>
              <w:right w:val="nil"/>
            </w:tcBorders>
            <w:shd w:val="clear" w:color="DAF2D0" w:fill="DAF2D0"/>
            <w:noWrap/>
            <w:vAlign w:val="bottom"/>
            <w:hideMark/>
          </w:tcPr>
          <w:p w14:paraId="3C3D00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0B37AC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DAF2D0" w:fill="DAF2D0"/>
            <w:noWrap/>
            <w:vAlign w:val="bottom"/>
            <w:hideMark/>
          </w:tcPr>
          <w:p w14:paraId="71ECB8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DAF2D0" w:fill="DAF2D0"/>
            <w:noWrap/>
            <w:vAlign w:val="bottom"/>
            <w:hideMark/>
          </w:tcPr>
          <w:p w14:paraId="217B184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DAF2D0" w:fill="DAF2D0"/>
            <w:noWrap/>
            <w:vAlign w:val="bottom"/>
            <w:hideMark/>
          </w:tcPr>
          <w:p w14:paraId="0A5FE4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1BCE6BA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0.10</w:t>
            </w:r>
          </w:p>
        </w:tc>
        <w:tc>
          <w:tcPr>
            <w:tcW w:w="640" w:type="dxa"/>
            <w:tcBorders>
              <w:top w:val="single" w:sz="4" w:space="0" w:color="8ED973"/>
              <w:left w:val="nil"/>
              <w:bottom w:val="single" w:sz="4" w:space="0" w:color="8ED973"/>
              <w:right w:val="nil"/>
            </w:tcBorders>
            <w:shd w:val="clear" w:color="DAF2D0" w:fill="DAF2D0"/>
            <w:noWrap/>
            <w:vAlign w:val="bottom"/>
            <w:hideMark/>
          </w:tcPr>
          <w:p w14:paraId="5905AF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4A3911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0.13</w:t>
            </w:r>
          </w:p>
        </w:tc>
        <w:tc>
          <w:tcPr>
            <w:tcW w:w="640" w:type="dxa"/>
            <w:tcBorders>
              <w:top w:val="single" w:sz="4" w:space="0" w:color="8ED973"/>
              <w:left w:val="nil"/>
              <w:bottom w:val="single" w:sz="4" w:space="0" w:color="8ED973"/>
              <w:right w:val="nil"/>
            </w:tcBorders>
            <w:shd w:val="clear" w:color="DAF2D0" w:fill="DAF2D0"/>
            <w:noWrap/>
            <w:vAlign w:val="bottom"/>
            <w:hideMark/>
          </w:tcPr>
          <w:p w14:paraId="0A4ED53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r>
      <w:tr w:rsidR="006B2BBA" w:rsidRPr="006B2BBA" w14:paraId="72D9522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70CCD9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ISO New England</w:t>
            </w:r>
          </w:p>
        </w:tc>
        <w:tc>
          <w:tcPr>
            <w:tcW w:w="640" w:type="dxa"/>
            <w:tcBorders>
              <w:top w:val="single" w:sz="4" w:space="0" w:color="8ED973"/>
              <w:left w:val="nil"/>
              <w:bottom w:val="single" w:sz="4" w:space="0" w:color="8ED973"/>
              <w:right w:val="nil"/>
            </w:tcBorders>
            <w:shd w:val="clear" w:color="auto" w:fill="auto"/>
            <w:noWrap/>
            <w:vAlign w:val="bottom"/>
            <w:hideMark/>
          </w:tcPr>
          <w:p w14:paraId="3137243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2B754B7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4DDBF26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09EE8C9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1F955C4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400198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auto" w:fill="auto"/>
            <w:noWrap/>
            <w:vAlign w:val="bottom"/>
            <w:hideMark/>
          </w:tcPr>
          <w:p w14:paraId="185208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1E2DB0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auto" w:fill="auto"/>
            <w:noWrap/>
            <w:vAlign w:val="bottom"/>
            <w:hideMark/>
          </w:tcPr>
          <w:p w14:paraId="59E9A12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r>
      <w:tr w:rsidR="006B2BBA" w:rsidRPr="006B2BBA" w14:paraId="47FE838B"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6327AD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Nevada Power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299F529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602F2A9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0C81B94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7AC90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DAF2D0" w:fill="DAF2D0"/>
            <w:noWrap/>
            <w:vAlign w:val="bottom"/>
            <w:hideMark/>
          </w:tcPr>
          <w:p w14:paraId="622817A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37209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7784470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28A658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108E8E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r>
      <w:tr w:rsidR="006B2BBA" w:rsidRPr="006B2BBA" w14:paraId="4E0B2873"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0A0955A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Arizona Public Service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232869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606CA7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36512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782EA5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465473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C6A4F5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6571A8B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auto" w:fill="auto"/>
            <w:noWrap/>
            <w:vAlign w:val="bottom"/>
            <w:hideMark/>
          </w:tcPr>
          <w:p w14:paraId="54619F7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auto" w:fill="auto"/>
            <w:noWrap/>
            <w:vAlign w:val="bottom"/>
            <w:hideMark/>
          </w:tcPr>
          <w:p w14:paraId="402E5F4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r>
      <w:tr w:rsidR="006B2BBA" w:rsidRPr="006B2BBA" w14:paraId="0A8FF859"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D1B99F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New York Independent System Operator</w:t>
            </w:r>
          </w:p>
        </w:tc>
        <w:tc>
          <w:tcPr>
            <w:tcW w:w="640" w:type="dxa"/>
            <w:tcBorders>
              <w:top w:val="single" w:sz="4" w:space="0" w:color="8ED973"/>
              <w:left w:val="nil"/>
              <w:bottom w:val="single" w:sz="4" w:space="0" w:color="8ED973"/>
              <w:right w:val="nil"/>
            </w:tcBorders>
            <w:shd w:val="clear" w:color="DAF2D0" w:fill="DAF2D0"/>
            <w:noWrap/>
            <w:vAlign w:val="bottom"/>
            <w:hideMark/>
          </w:tcPr>
          <w:p w14:paraId="46EDAE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748AF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A7965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0E41559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7B7E19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FB305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DAF2D0" w:fill="DAF2D0"/>
            <w:noWrap/>
            <w:vAlign w:val="bottom"/>
            <w:hideMark/>
          </w:tcPr>
          <w:p w14:paraId="01D7C42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4D8C38B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1767F7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r>
      <w:tr w:rsidR="006B2BBA" w:rsidRPr="006B2BBA" w14:paraId="303BCC15"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0371CF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Service Company of Colorado</w:t>
            </w:r>
          </w:p>
        </w:tc>
        <w:tc>
          <w:tcPr>
            <w:tcW w:w="640" w:type="dxa"/>
            <w:tcBorders>
              <w:top w:val="single" w:sz="4" w:space="0" w:color="8ED973"/>
              <w:left w:val="nil"/>
              <w:bottom w:val="single" w:sz="4" w:space="0" w:color="8ED973"/>
              <w:right w:val="nil"/>
            </w:tcBorders>
            <w:shd w:val="clear" w:color="auto" w:fill="auto"/>
            <w:noWrap/>
            <w:vAlign w:val="bottom"/>
            <w:hideMark/>
          </w:tcPr>
          <w:p w14:paraId="6D5DFC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49A4088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0.12</w:t>
            </w:r>
          </w:p>
        </w:tc>
        <w:tc>
          <w:tcPr>
            <w:tcW w:w="640" w:type="dxa"/>
            <w:tcBorders>
              <w:top w:val="single" w:sz="4" w:space="0" w:color="8ED973"/>
              <w:left w:val="nil"/>
              <w:bottom w:val="single" w:sz="4" w:space="0" w:color="8ED973"/>
              <w:right w:val="nil"/>
            </w:tcBorders>
            <w:shd w:val="clear" w:color="auto" w:fill="auto"/>
            <w:noWrap/>
            <w:vAlign w:val="bottom"/>
            <w:hideMark/>
          </w:tcPr>
          <w:p w14:paraId="34E73F7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c>
          <w:tcPr>
            <w:tcW w:w="640" w:type="dxa"/>
            <w:tcBorders>
              <w:top w:val="single" w:sz="4" w:space="0" w:color="8ED973"/>
              <w:left w:val="nil"/>
              <w:bottom w:val="single" w:sz="4" w:space="0" w:color="8ED973"/>
              <w:right w:val="nil"/>
            </w:tcBorders>
            <w:shd w:val="clear" w:color="auto" w:fill="auto"/>
            <w:noWrap/>
            <w:vAlign w:val="bottom"/>
            <w:hideMark/>
          </w:tcPr>
          <w:p w14:paraId="267A82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44F548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10F3BB6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7169EC6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079E56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6072D3F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1B8A7002"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111116F"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Associated Electric Cooperative,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06D66D9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6B3748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42EE95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55E184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47A16B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16B0EE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1CB43D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DAF2D0" w:fill="DAF2D0"/>
            <w:noWrap/>
            <w:vAlign w:val="bottom"/>
            <w:hideMark/>
          </w:tcPr>
          <w:p w14:paraId="49B38B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08074F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r>
      <w:tr w:rsidR="006B2BBA" w:rsidRPr="006B2BBA" w14:paraId="40EFD020"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8F7C39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Midcontinent Independent System Operator, Inc.</w:t>
            </w:r>
          </w:p>
        </w:tc>
        <w:tc>
          <w:tcPr>
            <w:tcW w:w="640" w:type="dxa"/>
            <w:tcBorders>
              <w:top w:val="single" w:sz="4" w:space="0" w:color="8ED973"/>
              <w:left w:val="nil"/>
              <w:bottom w:val="single" w:sz="4" w:space="0" w:color="8ED973"/>
              <w:right w:val="nil"/>
            </w:tcBorders>
            <w:shd w:val="clear" w:color="auto" w:fill="auto"/>
            <w:noWrap/>
            <w:vAlign w:val="bottom"/>
            <w:hideMark/>
          </w:tcPr>
          <w:p w14:paraId="44180B1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696D6B6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25BD71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6FA9F9B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66DDF5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6C2FE56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048080A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50D35CA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57966D6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49B8F12C"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B102EF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PacifiCorp East</w:t>
            </w:r>
          </w:p>
        </w:tc>
        <w:tc>
          <w:tcPr>
            <w:tcW w:w="640" w:type="dxa"/>
            <w:tcBorders>
              <w:top w:val="single" w:sz="4" w:space="0" w:color="8ED973"/>
              <w:left w:val="nil"/>
              <w:bottom w:val="single" w:sz="4" w:space="0" w:color="8ED973"/>
              <w:right w:val="nil"/>
            </w:tcBorders>
            <w:shd w:val="clear" w:color="DAF2D0" w:fill="DAF2D0"/>
            <w:noWrap/>
            <w:vAlign w:val="bottom"/>
            <w:hideMark/>
          </w:tcPr>
          <w:p w14:paraId="46E5D3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79E265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7D68FD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3FC9A4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35C4FB4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60E7ED3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3C833EF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1212DB6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878B4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r>
      <w:tr w:rsidR="006B2BBA" w:rsidRPr="006B2BBA" w14:paraId="0EB0A01B"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708FD0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Service Company of New Mexico</w:t>
            </w:r>
          </w:p>
        </w:tc>
        <w:tc>
          <w:tcPr>
            <w:tcW w:w="640" w:type="dxa"/>
            <w:tcBorders>
              <w:top w:val="single" w:sz="4" w:space="0" w:color="8ED973"/>
              <w:left w:val="nil"/>
              <w:bottom w:val="single" w:sz="4" w:space="0" w:color="8ED973"/>
              <w:right w:val="nil"/>
            </w:tcBorders>
            <w:shd w:val="clear" w:color="auto" w:fill="auto"/>
            <w:noWrap/>
            <w:vAlign w:val="bottom"/>
            <w:hideMark/>
          </w:tcPr>
          <w:p w14:paraId="0EDFB96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37D97A2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2D3088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39FF0D1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08A68C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786C572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6F57FB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1D5A83F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3485DE5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7368FB24"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8FAEB2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lastRenderedPageBreak/>
              <w:t>Florida Municipal Power Pool</w:t>
            </w:r>
          </w:p>
        </w:tc>
        <w:tc>
          <w:tcPr>
            <w:tcW w:w="640" w:type="dxa"/>
            <w:tcBorders>
              <w:top w:val="single" w:sz="4" w:space="0" w:color="8ED973"/>
              <w:left w:val="nil"/>
              <w:bottom w:val="single" w:sz="4" w:space="0" w:color="8ED973"/>
              <w:right w:val="nil"/>
            </w:tcBorders>
            <w:shd w:val="clear" w:color="DAF2D0" w:fill="DAF2D0"/>
            <w:noWrap/>
            <w:vAlign w:val="bottom"/>
            <w:hideMark/>
          </w:tcPr>
          <w:p w14:paraId="3D1AF0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4D931CE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1FC9201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01DFE49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055192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2579BEC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A98D63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45FB9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76471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r>
      <w:tr w:rsidR="006B2BBA" w:rsidRPr="006B2BBA" w14:paraId="5E56FCE2"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1D778E5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Louisville Gas and Electric Company and Kentucky Utilities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0E9D4A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432E740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826A0F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CFADF5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F5676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22FBB71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2DAB326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1BB8DBA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1DD062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0.12</w:t>
            </w:r>
          </w:p>
        </w:tc>
      </w:tr>
      <w:tr w:rsidR="006B2BBA" w:rsidRPr="006B2BBA" w14:paraId="21007D81"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A3041B1" w14:textId="77777777" w:rsidR="006B2BBA" w:rsidRPr="006B2BBA" w:rsidRDefault="006B2BBA" w:rsidP="006B2BBA">
            <w:pPr>
              <w:spacing w:after="0" w:line="240" w:lineRule="auto"/>
              <w:rPr>
                <w:rFonts w:ascii="Aptos Narrow" w:eastAsia="Times New Roman" w:hAnsi="Aptos Narrow" w:cs="Times New Roman"/>
                <w:color w:val="000000"/>
              </w:rPr>
            </w:pPr>
            <w:proofErr w:type="spellStart"/>
            <w:r w:rsidRPr="006B2BBA">
              <w:rPr>
                <w:rFonts w:ascii="Aptos Narrow" w:eastAsia="Times New Roman" w:hAnsi="Aptos Narrow" w:cs="Times New Roman"/>
                <w:color w:val="000000"/>
              </w:rPr>
              <w:t>PowerSouth</w:t>
            </w:r>
            <w:proofErr w:type="spellEnd"/>
            <w:r w:rsidRPr="006B2BBA">
              <w:rPr>
                <w:rFonts w:ascii="Aptos Narrow" w:eastAsia="Times New Roman" w:hAnsi="Aptos Narrow" w:cs="Times New Roman"/>
                <w:color w:val="000000"/>
              </w:rPr>
              <w:t xml:space="preserve"> Energy Cooperative</w:t>
            </w:r>
          </w:p>
        </w:tc>
        <w:tc>
          <w:tcPr>
            <w:tcW w:w="640" w:type="dxa"/>
            <w:tcBorders>
              <w:top w:val="single" w:sz="4" w:space="0" w:color="8ED973"/>
              <w:left w:val="nil"/>
              <w:bottom w:val="single" w:sz="4" w:space="0" w:color="8ED973"/>
              <w:right w:val="nil"/>
            </w:tcBorders>
            <w:shd w:val="clear" w:color="DAF2D0" w:fill="DAF2D0"/>
            <w:noWrap/>
            <w:vAlign w:val="bottom"/>
            <w:hideMark/>
          </w:tcPr>
          <w:p w14:paraId="38550A1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317169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6E4713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64D880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0C1FF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0D83F6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1A86DB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429EE90E" w14:textId="77777777" w:rsidR="006B2BBA" w:rsidRPr="006B2BBA" w:rsidRDefault="006B2BBA" w:rsidP="006B2BBA">
            <w:pPr>
              <w:spacing w:after="0" w:line="240" w:lineRule="auto"/>
              <w:jc w:val="right"/>
              <w:rPr>
                <w:rFonts w:ascii="Aptos Narrow" w:eastAsia="Times New Roman" w:hAnsi="Aptos Narrow" w:cs="Times New Roman"/>
                <w:color w:val="000000"/>
              </w:rPr>
            </w:pPr>
          </w:p>
        </w:tc>
        <w:tc>
          <w:tcPr>
            <w:tcW w:w="640" w:type="dxa"/>
            <w:tcBorders>
              <w:top w:val="single" w:sz="4" w:space="0" w:color="8ED973"/>
              <w:left w:val="nil"/>
              <w:bottom w:val="single" w:sz="4" w:space="0" w:color="8ED973"/>
              <w:right w:val="nil"/>
            </w:tcBorders>
            <w:shd w:val="clear" w:color="DAF2D0" w:fill="DAF2D0"/>
            <w:noWrap/>
            <w:vAlign w:val="bottom"/>
            <w:hideMark/>
          </w:tcPr>
          <w:p w14:paraId="655FA316" w14:textId="77777777" w:rsidR="006B2BBA" w:rsidRPr="006B2BBA" w:rsidRDefault="006B2BBA" w:rsidP="006B2BBA">
            <w:pPr>
              <w:spacing w:after="0" w:line="240" w:lineRule="auto"/>
              <w:rPr>
                <w:rFonts w:ascii="Times New Roman" w:eastAsia="Times New Roman" w:hAnsi="Times New Roman" w:cs="Times New Roman"/>
                <w:sz w:val="20"/>
                <w:szCs w:val="20"/>
              </w:rPr>
            </w:pPr>
          </w:p>
        </w:tc>
      </w:tr>
      <w:tr w:rsidR="006B2BBA" w:rsidRPr="006B2BBA" w14:paraId="69E0C147"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ADB70AB"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Progress East</w:t>
            </w:r>
          </w:p>
        </w:tc>
        <w:tc>
          <w:tcPr>
            <w:tcW w:w="640" w:type="dxa"/>
            <w:tcBorders>
              <w:top w:val="single" w:sz="4" w:space="0" w:color="8ED973"/>
              <w:left w:val="nil"/>
              <w:bottom w:val="single" w:sz="4" w:space="0" w:color="8ED973"/>
              <w:right w:val="nil"/>
            </w:tcBorders>
            <w:shd w:val="clear" w:color="auto" w:fill="auto"/>
            <w:noWrap/>
            <w:vAlign w:val="bottom"/>
            <w:hideMark/>
          </w:tcPr>
          <w:p w14:paraId="3F7E097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613D0C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7E0898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2ACE45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46496C8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09D5C8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696A120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2542005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7014D29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r>
      <w:tr w:rsidR="006B2BBA" w:rsidRPr="006B2BBA" w14:paraId="3AC1CA6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E639E8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Carolinas</w:t>
            </w:r>
          </w:p>
        </w:tc>
        <w:tc>
          <w:tcPr>
            <w:tcW w:w="640" w:type="dxa"/>
            <w:tcBorders>
              <w:top w:val="single" w:sz="4" w:space="0" w:color="8ED973"/>
              <w:left w:val="nil"/>
              <w:bottom w:val="single" w:sz="4" w:space="0" w:color="8ED973"/>
              <w:right w:val="nil"/>
            </w:tcBorders>
            <w:shd w:val="clear" w:color="DAF2D0" w:fill="DAF2D0"/>
            <w:noWrap/>
            <w:vAlign w:val="bottom"/>
            <w:hideMark/>
          </w:tcPr>
          <w:p w14:paraId="7EC583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A5E128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05F9DB2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5D582DD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AE4964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E6632E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1BCA81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7D88FC6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0B46EB6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5A29CCF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77F82A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Florida Power &amp; Light Co.</w:t>
            </w:r>
          </w:p>
        </w:tc>
        <w:tc>
          <w:tcPr>
            <w:tcW w:w="640" w:type="dxa"/>
            <w:tcBorders>
              <w:top w:val="single" w:sz="4" w:space="0" w:color="8ED973"/>
              <w:left w:val="nil"/>
              <w:bottom w:val="single" w:sz="4" w:space="0" w:color="8ED973"/>
              <w:right w:val="nil"/>
            </w:tcBorders>
            <w:shd w:val="clear" w:color="auto" w:fill="auto"/>
            <w:noWrap/>
            <w:vAlign w:val="bottom"/>
            <w:hideMark/>
          </w:tcPr>
          <w:p w14:paraId="31C500D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6DBDF15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2AE0DAD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0F385F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0B53D0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43F1C7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D84E9F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F0FC8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B8C8D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22C9F8F4"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0A9F12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Utility District No. 2 of Grant County, Washington</w:t>
            </w:r>
          </w:p>
        </w:tc>
        <w:tc>
          <w:tcPr>
            <w:tcW w:w="640" w:type="dxa"/>
            <w:tcBorders>
              <w:top w:val="single" w:sz="4" w:space="0" w:color="8ED973"/>
              <w:left w:val="nil"/>
              <w:bottom w:val="single" w:sz="4" w:space="0" w:color="8ED973"/>
              <w:right w:val="nil"/>
            </w:tcBorders>
            <w:shd w:val="clear" w:color="DAF2D0" w:fill="DAF2D0"/>
            <w:noWrap/>
            <w:vAlign w:val="bottom"/>
            <w:hideMark/>
          </w:tcPr>
          <w:p w14:paraId="62947C6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575F14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8B5496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DCD68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C1DBC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1BC405F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4A263E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82A70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4F3AEE0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4D6F0F80"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96078E4"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Tennessee Valley Authority</w:t>
            </w:r>
          </w:p>
        </w:tc>
        <w:tc>
          <w:tcPr>
            <w:tcW w:w="640" w:type="dxa"/>
            <w:tcBorders>
              <w:top w:val="single" w:sz="4" w:space="0" w:color="8ED973"/>
              <w:left w:val="nil"/>
              <w:bottom w:val="single" w:sz="4" w:space="0" w:color="8ED973"/>
              <w:right w:val="nil"/>
            </w:tcBorders>
            <w:shd w:val="clear" w:color="auto" w:fill="auto"/>
            <w:noWrap/>
            <w:vAlign w:val="bottom"/>
            <w:hideMark/>
          </w:tcPr>
          <w:p w14:paraId="450A8A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407FDC7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438C6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112A2E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2FFA0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73CAA2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3FC860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0524B5A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6C59D5E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15F816D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38B2779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Dominion Energy South Carolina,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31A2D0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E2EF0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79D2F22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2CA0F1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554F7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7A01BE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745AC8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59C22C7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9301D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r>
      <w:tr w:rsidR="006B2BBA" w:rsidRPr="006B2BBA" w14:paraId="6A8BA9FB"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991DDFF" w14:textId="77777777" w:rsidR="006B2BBA" w:rsidRPr="006B2BBA" w:rsidRDefault="006B2BBA" w:rsidP="006B2BBA">
            <w:pPr>
              <w:spacing w:after="0" w:line="240" w:lineRule="auto"/>
              <w:rPr>
                <w:rFonts w:ascii="Aptos Narrow" w:eastAsia="Times New Roman" w:hAnsi="Aptos Narrow" w:cs="Times New Roman"/>
                <w:color w:val="000000"/>
              </w:rPr>
            </w:pPr>
            <w:proofErr w:type="spellStart"/>
            <w:r w:rsidRPr="006B2BBA">
              <w:rPr>
                <w:rFonts w:ascii="Aptos Narrow" w:eastAsia="Times New Roman" w:hAnsi="Aptos Narrow" w:cs="Times New Roman"/>
                <w:color w:val="000000"/>
              </w:rPr>
              <w:t>NorthWestern</w:t>
            </w:r>
            <w:proofErr w:type="spellEnd"/>
            <w:r w:rsidRPr="006B2BBA">
              <w:rPr>
                <w:rFonts w:ascii="Aptos Narrow" w:eastAsia="Times New Roman" w:hAnsi="Aptos Narrow" w:cs="Times New Roman"/>
                <w:color w:val="000000"/>
              </w:rPr>
              <w:t xml:space="preserve"> Corporation</w:t>
            </w:r>
          </w:p>
        </w:tc>
        <w:tc>
          <w:tcPr>
            <w:tcW w:w="640" w:type="dxa"/>
            <w:tcBorders>
              <w:top w:val="single" w:sz="4" w:space="0" w:color="8ED973"/>
              <w:left w:val="nil"/>
              <w:bottom w:val="single" w:sz="4" w:space="0" w:color="8ED973"/>
              <w:right w:val="nil"/>
            </w:tcBorders>
            <w:shd w:val="clear" w:color="auto" w:fill="auto"/>
            <w:noWrap/>
            <w:vAlign w:val="bottom"/>
            <w:hideMark/>
          </w:tcPr>
          <w:p w14:paraId="1BFE64F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9733B3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4B328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8363A0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35C28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1945FA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5425BC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46C883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56F513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7B86C8C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B04FDD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Salt River Project Agricultural Improvement and Power District</w:t>
            </w:r>
          </w:p>
        </w:tc>
        <w:tc>
          <w:tcPr>
            <w:tcW w:w="640" w:type="dxa"/>
            <w:tcBorders>
              <w:top w:val="single" w:sz="4" w:space="0" w:color="8ED973"/>
              <w:left w:val="nil"/>
              <w:bottom w:val="single" w:sz="4" w:space="0" w:color="8ED973"/>
              <w:right w:val="nil"/>
            </w:tcBorders>
            <w:shd w:val="clear" w:color="DAF2D0" w:fill="DAF2D0"/>
            <w:noWrap/>
            <w:vAlign w:val="bottom"/>
            <w:hideMark/>
          </w:tcPr>
          <w:p w14:paraId="598A098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F9C48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498D83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54EDC50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0ABED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EBDEA7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76D9B8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97D0B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6D1C8E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68896E4F"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7CD2883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Southwest Power Pool</w:t>
            </w:r>
          </w:p>
        </w:tc>
        <w:tc>
          <w:tcPr>
            <w:tcW w:w="640" w:type="dxa"/>
            <w:tcBorders>
              <w:top w:val="single" w:sz="4" w:space="0" w:color="8ED973"/>
              <w:left w:val="nil"/>
              <w:bottom w:val="single" w:sz="4" w:space="0" w:color="8ED973"/>
              <w:right w:val="nil"/>
            </w:tcBorders>
            <w:shd w:val="clear" w:color="auto" w:fill="auto"/>
            <w:noWrap/>
            <w:vAlign w:val="bottom"/>
            <w:hideMark/>
          </w:tcPr>
          <w:p w14:paraId="33C15A5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BB273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815FBC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E69C3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A8BA7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A9F74F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257290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4CEEB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12F8EE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r>
      <w:tr w:rsidR="006B2BBA" w:rsidRPr="006B2BBA" w14:paraId="3D11090A"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7B59B05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Tampa Electric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3ACF5CD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02A60F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4D736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F5B6A9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11507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ED5975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331B2C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348948E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11BDE54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4FF877A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194AC55"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Bonneville Power Administration</w:t>
            </w:r>
          </w:p>
        </w:tc>
        <w:tc>
          <w:tcPr>
            <w:tcW w:w="640" w:type="dxa"/>
            <w:tcBorders>
              <w:top w:val="single" w:sz="4" w:space="0" w:color="8ED973"/>
              <w:left w:val="nil"/>
              <w:bottom w:val="single" w:sz="4" w:space="0" w:color="8ED973"/>
              <w:right w:val="nil"/>
            </w:tcBorders>
            <w:shd w:val="clear" w:color="auto" w:fill="auto"/>
            <w:noWrap/>
            <w:vAlign w:val="bottom"/>
            <w:hideMark/>
          </w:tcPr>
          <w:p w14:paraId="4FA421B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6ADD4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5C3D17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4480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977E0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6F4AEA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3DC7B1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C6B971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69151B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129ADBA9"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A14096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Electric Reliability Council of Texas,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3DB9A1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56D6AC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1A708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00E266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9E3B04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EEF82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56833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99CC94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6EE2EC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00CCCD86"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9E9997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PJM Interconnection, LLC</w:t>
            </w:r>
          </w:p>
        </w:tc>
        <w:tc>
          <w:tcPr>
            <w:tcW w:w="640" w:type="dxa"/>
            <w:tcBorders>
              <w:top w:val="single" w:sz="4" w:space="0" w:color="8ED973"/>
              <w:left w:val="nil"/>
              <w:bottom w:val="single" w:sz="4" w:space="0" w:color="8ED973"/>
              <w:right w:val="nil"/>
            </w:tcBorders>
            <w:shd w:val="clear" w:color="auto" w:fill="auto"/>
            <w:noWrap/>
            <w:vAlign w:val="bottom"/>
            <w:hideMark/>
          </w:tcPr>
          <w:p w14:paraId="71B157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B75B6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DEF6AC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4DFA4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2B06D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57332A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F6A8D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5BE86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94901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41EE331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BF53EC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Southern Company Services, Inc. - Trans</w:t>
            </w:r>
          </w:p>
        </w:tc>
        <w:tc>
          <w:tcPr>
            <w:tcW w:w="640" w:type="dxa"/>
            <w:tcBorders>
              <w:top w:val="single" w:sz="4" w:space="0" w:color="8ED973"/>
              <w:left w:val="nil"/>
              <w:bottom w:val="single" w:sz="4" w:space="0" w:color="8ED973"/>
              <w:right w:val="nil"/>
            </w:tcBorders>
            <w:shd w:val="clear" w:color="DAF2D0" w:fill="DAF2D0"/>
            <w:noWrap/>
            <w:vAlign w:val="bottom"/>
            <w:hideMark/>
          </w:tcPr>
          <w:p w14:paraId="1A7571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68A0C3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90487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DBFF5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284639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290797A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3523CD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4F49CA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72BAF3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78BD59BE"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A2BC0B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Western Area Power Administration - Rocky Mountain Region</w:t>
            </w:r>
          </w:p>
        </w:tc>
        <w:tc>
          <w:tcPr>
            <w:tcW w:w="640" w:type="dxa"/>
            <w:tcBorders>
              <w:top w:val="single" w:sz="4" w:space="0" w:color="8ED973"/>
              <w:left w:val="nil"/>
              <w:bottom w:val="single" w:sz="4" w:space="0" w:color="8ED973"/>
              <w:right w:val="nil"/>
            </w:tcBorders>
            <w:shd w:val="clear" w:color="auto" w:fill="auto"/>
            <w:noWrap/>
            <w:vAlign w:val="bottom"/>
            <w:hideMark/>
          </w:tcPr>
          <w:p w14:paraId="2B8D1C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F99828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F318E5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B2EB83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A5EAF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D87B1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9BB34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DE352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4D2DEE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bl>
    <w:p w14:paraId="71C344C2" w14:textId="77777777" w:rsidR="006B2BBA" w:rsidRDefault="006B2BBA" w:rsidP="0079338A">
      <w:pPr>
        <w:pStyle w:val="Caption"/>
        <w:keepNext/>
      </w:pPr>
      <w:bookmarkStart w:id="7" w:name="_Ref177631128"/>
    </w:p>
    <w:p w14:paraId="6EDC5BC0" w14:textId="77777777" w:rsidR="006B2BBA" w:rsidRDefault="006B2BBA">
      <w:pPr>
        <w:rPr>
          <w:i/>
          <w:iCs/>
          <w:color w:val="0E2841" w:themeColor="text2"/>
          <w:sz w:val="18"/>
          <w:szCs w:val="18"/>
        </w:rPr>
      </w:pPr>
      <w:r>
        <w:br w:type="page"/>
      </w:r>
    </w:p>
    <w:p w14:paraId="163BE9E0" w14:textId="769A8FF0" w:rsidR="00F9434B" w:rsidRDefault="00CC2639" w:rsidP="0079338A">
      <w:pPr>
        <w:pStyle w:val="Caption"/>
        <w:keepNext/>
      </w:pPr>
      <w:bookmarkStart w:id="8" w:name="_Ref179611033"/>
      <w:r>
        <w:lastRenderedPageBreak/>
        <w:t xml:space="preserve">Table </w:t>
      </w:r>
      <w:r w:rsidR="00630ADB">
        <w:fldChar w:fldCharType="begin"/>
      </w:r>
      <w:r w:rsidR="00630ADB">
        <w:instrText xml:space="preserve"> SEQ Table \* ARABIC </w:instrText>
      </w:r>
      <w:r w:rsidR="00630ADB">
        <w:fldChar w:fldCharType="separate"/>
      </w:r>
      <w:r w:rsidR="00630ADB">
        <w:rPr>
          <w:noProof/>
        </w:rPr>
        <w:t>2</w:t>
      </w:r>
      <w:r w:rsidR="00630ADB">
        <w:rPr>
          <w:noProof/>
        </w:rPr>
        <w:fldChar w:fldCharType="end"/>
      </w:r>
      <w:bookmarkEnd w:id="7"/>
      <w:bookmarkEnd w:id="8"/>
      <w:r>
        <w:t xml:space="preserve"> Import diversity (measured by Shannon Diversity Index) by USA balancing authorities with annual average demand &gt;500 MW.</w:t>
      </w:r>
    </w:p>
    <w:tbl>
      <w:tblPr>
        <w:tblStyle w:val="GridTable4-Accent4"/>
        <w:tblW w:w="12093" w:type="dxa"/>
        <w:tblLook w:val="04A0" w:firstRow="1" w:lastRow="0" w:firstColumn="1" w:lastColumn="0" w:noHBand="0" w:noVBand="1"/>
      </w:tblPr>
      <w:tblGrid>
        <w:gridCol w:w="6300"/>
        <w:gridCol w:w="669"/>
        <w:gridCol w:w="663"/>
        <w:gridCol w:w="663"/>
        <w:gridCol w:w="663"/>
        <w:gridCol w:w="663"/>
        <w:gridCol w:w="663"/>
        <w:gridCol w:w="663"/>
        <w:gridCol w:w="663"/>
        <w:gridCol w:w="663"/>
      </w:tblGrid>
      <w:tr w:rsidR="00260939" w:rsidRPr="00260939" w14:paraId="74A94A56" w14:textId="77777777" w:rsidTr="00D7424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4EBB188" w14:textId="77777777" w:rsidR="00260939" w:rsidRPr="00260939" w:rsidRDefault="00260939" w:rsidP="00260939">
            <w:pPr>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Name</w:t>
            </w:r>
          </w:p>
        </w:tc>
        <w:tc>
          <w:tcPr>
            <w:tcW w:w="489" w:type="dxa"/>
            <w:noWrap/>
            <w:hideMark/>
          </w:tcPr>
          <w:p w14:paraId="01067CB6"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Total</w:t>
            </w:r>
          </w:p>
        </w:tc>
        <w:tc>
          <w:tcPr>
            <w:tcW w:w="663" w:type="dxa"/>
            <w:noWrap/>
            <w:hideMark/>
          </w:tcPr>
          <w:p w14:paraId="70EAFE79"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2016</w:t>
            </w:r>
          </w:p>
        </w:tc>
        <w:tc>
          <w:tcPr>
            <w:tcW w:w="663" w:type="dxa"/>
            <w:noWrap/>
            <w:hideMark/>
          </w:tcPr>
          <w:p w14:paraId="0231562F"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2017</w:t>
            </w:r>
          </w:p>
        </w:tc>
        <w:tc>
          <w:tcPr>
            <w:tcW w:w="663" w:type="dxa"/>
            <w:noWrap/>
            <w:hideMark/>
          </w:tcPr>
          <w:p w14:paraId="39C3E938"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2018</w:t>
            </w:r>
          </w:p>
        </w:tc>
        <w:tc>
          <w:tcPr>
            <w:tcW w:w="663" w:type="dxa"/>
            <w:noWrap/>
            <w:hideMark/>
          </w:tcPr>
          <w:p w14:paraId="2BD6E044"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2019</w:t>
            </w:r>
          </w:p>
        </w:tc>
        <w:tc>
          <w:tcPr>
            <w:tcW w:w="663" w:type="dxa"/>
            <w:noWrap/>
            <w:hideMark/>
          </w:tcPr>
          <w:p w14:paraId="6D664FCA"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2020</w:t>
            </w:r>
          </w:p>
        </w:tc>
        <w:tc>
          <w:tcPr>
            <w:tcW w:w="663" w:type="dxa"/>
            <w:noWrap/>
            <w:hideMark/>
          </w:tcPr>
          <w:p w14:paraId="090FF657"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2021</w:t>
            </w:r>
          </w:p>
        </w:tc>
        <w:tc>
          <w:tcPr>
            <w:tcW w:w="663" w:type="dxa"/>
            <w:noWrap/>
            <w:hideMark/>
          </w:tcPr>
          <w:p w14:paraId="446A281E"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2022</w:t>
            </w:r>
          </w:p>
        </w:tc>
        <w:tc>
          <w:tcPr>
            <w:tcW w:w="663" w:type="dxa"/>
            <w:noWrap/>
            <w:hideMark/>
          </w:tcPr>
          <w:p w14:paraId="3791EFCD"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2023</w:t>
            </w:r>
          </w:p>
        </w:tc>
      </w:tr>
      <w:tr w:rsidR="00260939" w:rsidRPr="00260939" w14:paraId="59E9A6A5"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D95AE4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Bonneville Power Administration</w:t>
            </w:r>
          </w:p>
        </w:tc>
        <w:tc>
          <w:tcPr>
            <w:tcW w:w="489" w:type="dxa"/>
            <w:noWrap/>
            <w:hideMark/>
          </w:tcPr>
          <w:p w14:paraId="124C403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1.93</w:t>
            </w:r>
          </w:p>
        </w:tc>
        <w:tc>
          <w:tcPr>
            <w:tcW w:w="663" w:type="dxa"/>
            <w:noWrap/>
            <w:hideMark/>
          </w:tcPr>
          <w:p w14:paraId="1247ACE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1.64</w:t>
            </w:r>
          </w:p>
        </w:tc>
        <w:tc>
          <w:tcPr>
            <w:tcW w:w="663" w:type="dxa"/>
            <w:noWrap/>
            <w:hideMark/>
          </w:tcPr>
          <w:p w14:paraId="62C12BF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27C00A2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0D52643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1.86</w:t>
            </w:r>
          </w:p>
        </w:tc>
        <w:tc>
          <w:tcPr>
            <w:tcW w:w="663" w:type="dxa"/>
            <w:noWrap/>
            <w:hideMark/>
          </w:tcPr>
          <w:p w14:paraId="2CDA86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1.72</w:t>
            </w:r>
          </w:p>
        </w:tc>
        <w:tc>
          <w:tcPr>
            <w:tcW w:w="663" w:type="dxa"/>
            <w:noWrap/>
            <w:hideMark/>
          </w:tcPr>
          <w:p w14:paraId="566554D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1.86</w:t>
            </w:r>
          </w:p>
        </w:tc>
        <w:tc>
          <w:tcPr>
            <w:tcW w:w="663" w:type="dxa"/>
            <w:noWrap/>
            <w:hideMark/>
          </w:tcPr>
          <w:p w14:paraId="08741B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1.92</w:t>
            </w:r>
          </w:p>
        </w:tc>
        <w:tc>
          <w:tcPr>
            <w:tcW w:w="663" w:type="dxa"/>
            <w:noWrap/>
            <w:hideMark/>
          </w:tcPr>
          <w:p w14:paraId="694D6A0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2.11</w:t>
            </w:r>
          </w:p>
        </w:tc>
      </w:tr>
      <w:tr w:rsidR="00260939" w:rsidRPr="00260939" w14:paraId="6E49D5F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3AAFDC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California Independent System Operator</w:t>
            </w:r>
          </w:p>
        </w:tc>
        <w:tc>
          <w:tcPr>
            <w:tcW w:w="489" w:type="dxa"/>
            <w:noWrap/>
            <w:hideMark/>
          </w:tcPr>
          <w:p w14:paraId="01D796F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1.88</w:t>
            </w:r>
          </w:p>
        </w:tc>
        <w:tc>
          <w:tcPr>
            <w:tcW w:w="663" w:type="dxa"/>
            <w:noWrap/>
            <w:hideMark/>
          </w:tcPr>
          <w:p w14:paraId="46C72E0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623D105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5BA8D5F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1.69</w:t>
            </w:r>
          </w:p>
        </w:tc>
        <w:tc>
          <w:tcPr>
            <w:tcW w:w="663" w:type="dxa"/>
            <w:noWrap/>
            <w:hideMark/>
          </w:tcPr>
          <w:p w14:paraId="7726127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0A9F4AF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1.82</w:t>
            </w:r>
          </w:p>
        </w:tc>
        <w:tc>
          <w:tcPr>
            <w:tcW w:w="663" w:type="dxa"/>
            <w:noWrap/>
            <w:hideMark/>
          </w:tcPr>
          <w:p w14:paraId="1C0C3A7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1.93</w:t>
            </w:r>
          </w:p>
        </w:tc>
        <w:tc>
          <w:tcPr>
            <w:tcW w:w="663" w:type="dxa"/>
            <w:noWrap/>
            <w:hideMark/>
          </w:tcPr>
          <w:p w14:paraId="1C2B419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1.91</w:t>
            </w:r>
          </w:p>
        </w:tc>
        <w:tc>
          <w:tcPr>
            <w:tcW w:w="663" w:type="dxa"/>
            <w:noWrap/>
            <w:hideMark/>
          </w:tcPr>
          <w:p w14:paraId="42811D3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1.92</w:t>
            </w:r>
          </w:p>
        </w:tc>
      </w:tr>
      <w:tr w:rsidR="00260939" w:rsidRPr="00260939" w14:paraId="27C8B17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1A3280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Salt River Project Agricultural Improvement and Power District</w:t>
            </w:r>
          </w:p>
        </w:tc>
        <w:tc>
          <w:tcPr>
            <w:tcW w:w="489" w:type="dxa"/>
            <w:noWrap/>
            <w:hideMark/>
          </w:tcPr>
          <w:p w14:paraId="0B4425C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1.83</w:t>
            </w:r>
          </w:p>
        </w:tc>
        <w:tc>
          <w:tcPr>
            <w:tcW w:w="663" w:type="dxa"/>
            <w:noWrap/>
            <w:hideMark/>
          </w:tcPr>
          <w:p w14:paraId="506B3AA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1.30</w:t>
            </w:r>
          </w:p>
        </w:tc>
        <w:tc>
          <w:tcPr>
            <w:tcW w:w="663" w:type="dxa"/>
            <w:noWrap/>
            <w:hideMark/>
          </w:tcPr>
          <w:p w14:paraId="3CB7262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1.41</w:t>
            </w:r>
          </w:p>
        </w:tc>
        <w:tc>
          <w:tcPr>
            <w:tcW w:w="663" w:type="dxa"/>
            <w:noWrap/>
            <w:hideMark/>
          </w:tcPr>
          <w:p w14:paraId="593FE3E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1.43</w:t>
            </w:r>
          </w:p>
        </w:tc>
        <w:tc>
          <w:tcPr>
            <w:tcW w:w="663" w:type="dxa"/>
            <w:noWrap/>
            <w:hideMark/>
          </w:tcPr>
          <w:p w14:paraId="0316520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0A54E8B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1.14</w:t>
            </w:r>
          </w:p>
        </w:tc>
        <w:tc>
          <w:tcPr>
            <w:tcW w:w="663" w:type="dxa"/>
            <w:noWrap/>
            <w:hideMark/>
          </w:tcPr>
          <w:p w14:paraId="766FE9E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3E6E243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226F6D8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r>
      <w:tr w:rsidR="00260939" w:rsidRPr="00260939" w14:paraId="6FF1352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94C5C7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Midcontinent Independent System Operator, Inc.</w:t>
            </w:r>
          </w:p>
        </w:tc>
        <w:tc>
          <w:tcPr>
            <w:tcW w:w="489" w:type="dxa"/>
            <w:noWrap/>
            <w:hideMark/>
          </w:tcPr>
          <w:p w14:paraId="618463A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1.74</w:t>
            </w:r>
          </w:p>
        </w:tc>
        <w:tc>
          <w:tcPr>
            <w:tcW w:w="663" w:type="dxa"/>
            <w:noWrap/>
            <w:hideMark/>
          </w:tcPr>
          <w:p w14:paraId="2EF0B5E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1.88</w:t>
            </w:r>
          </w:p>
        </w:tc>
        <w:tc>
          <w:tcPr>
            <w:tcW w:w="663" w:type="dxa"/>
            <w:noWrap/>
            <w:hideMark/>
          </w:tcPr>
          <w:p w14:paraId="637EE80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1.83</w:t>
            </w:r>
          </w:p>
        </w:tc>
        <w:tc>
          <w:tcPr>
            <w:tcW w:w="663" w:type="dxa"/>
            <w:noWrap/>
            <w:hideMark/>
          </w:tcPr>
          <w:p w14:paraId="169967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1.84</w:t>
            </w:r>
          </w:p>
        </w:tc>
        <w:tc>
          <w:tcPr>
            <w:tcW w:w="663" w:type="dxa"/>
            <w:noWrap/>
            <w:hideMark/>
          </w:tcPr>
          <w:p w14:paraId="1621DA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1.79</w:t>
            </w:r>
          </w:p>
        </w:tc>
        <w:tc>
          <w:tcPr>
            <w:tcW w:w="663" w:type="dxa"/>
            <w:noWrap/>
            <w:hideMark/>
          </w:tcPr>
          <w:p w14:paraId="2BD97D0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519DA2A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27767E5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1.67</w:t>
            </w:r>
          </w:p>
        </w:tc>
        <w:tc>
          <w:tcPr>
            <w:tcW w:w="663" w:type="dxa"/>
            <w:noWrap/>
            <w:hideMark/>
          </w:tcPr>
          <w:p w14:paraId="07DACCD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1.39</w:t>
            </w:r>
          </w:p>
        </w:tc>
      </w:tr>
      <w:tr w:rsidR="00260939" w:rsidRPr="00260939" w14:paraId="03DF8C50"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390622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Southwest Power Pool</w:t>
            </w:r>
          </w:p>
        </w:tc>
        <w:tc>
          <w:tcPr>
            <w:tcW w:w="489" w:type="dxa"/>
            <w:noWrap/>
            <w:hideMark/>
          </w:tcPr>
          <w:p w14:paraId="2512FF8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64E2048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4DD4C67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1.77</w:t>
            </w:r>
          </w:p>
        </w:tc>
        <w:tc>
          <w:tcPr>
            <w:tcW w:w="663" w:type="dxa"/>
            <w:noWrap/>
            <w:hideMark/>
          </w:tcPr>
          <w:p w14:paraId="76CEED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1.87</w:t>
            </w:r>
          </w:p>
        </w:tc>
        <w:tc>
          <w:tcPr>
            <w:tcW w:w="663" w:type="dxa"/>
            <w:noWrap/>
            <w:hideMark/>
          </w:tcPr>
          <w:p w14:paraId="7B78E2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6793FE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33A166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1.47</w:t>
            </w:r>
          </w:p>
        </w:tc>
        <w:tc>
          <w:tcPr>
            <w:tcW w:w="663" w:type="dxa"/>
            <w:noWrap/>
            <w:hideMark/>
          </w:tcPr>
          <w:p w14:paraId="51E4C51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5069BF5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1.58</w:t>
            </w:r>
          </w:p>
        </w:tc>
      </w:tr>
      <w:tr w:rsidR="00260939" w:rsidRPr="00260939" w14:paraId="3E01B75E"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21682A6" w14:textId="77777777" w:rsidR="00260939" w:rsidRPr="00D7424B" w:rsidRDefault="00260939" w:rsidP="00260939">
            <w:pPr>
              <w:rPr>
                <w:rFonts w:ascii="Aptos Narrow" w:eastAsia="Times New Roman" w:hAnsi="Aptos Narrow" w:cs="Times New Roman"/>
                <w:b w:val="0"/>
                <w:bCs w:val="0"/>
                <w:color w:val="000000"/>
              </w:rPr>
            </w:pPr>
            <w:proofErr w:type="spellStart"/>
            <w:r w:rsidRPr="00D7424B">
              <w:rPr>
                <w:rFonts w:ascii="Aptos Narrow" w:eastAsia="Times New Roman" w:hAnsi="Aptos Narrow" w:cs="Times New Roman"/>
                <w:b w:val="0"/>
                <w:bCs w:val="0"/>
                <w:color w:val="000000"/>
              </w:rPr>
              <w:t>NorthWestern</w:t>
            </w:r>
            <w:proofErr w:type="spellEnd"/>
            <w:r w:rsidRPr="00D7424B">
              <w:rPr>
                <w:rFonts w:ascii="Aptos Narrow" w:eastAsia="Times New Roman" w:hAnsi="Aptos Narrow" w:cs="Times New Roman"/>
                <w:b w:val="0"/>
                <w:bCs w:val="0"/>
                <w:color w:val="000000"/>
              </w:rPr>
              <w:t xml:space="preserve"> Corporation</w:t>
            </w:r>
          </w:p>
        </w:tc>
        <w:tc>
          <w:tcPr>
            <w:tcW w:w="489" w:type="dxa"/>
            <w:noWrap/>
            <w:hideMark/>
          </w:tcPr>
          <w:p w14:paraId="249EECE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7FF22DA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08CE6F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1.44</w:t>
            </w:r>
          </w:p>
        </w:tc>
        <w:tc>
          <w:tcPr>
            <w:tcW w:w="663" w:type="dxa"/>
            <w:noWrap/>
            <w:hideMark/>
          </w:tcPr>
          <w:p w14:paraId="729984A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1.57</w:t>
            </w:r>
          </w:p>
        </w:tc>
        <w:tc>
          <w:tcPr>
            <w:tcW w:w="663" w:type="dxa"/>
            <w:noWrap/>
            <w:hideMark/>
          </w:tcPr>
          <w:p w14:paraId="0682E91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6735CD7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1.53</w:t>
            </w:r>
          </w:p>
        </w:tc>
        <w:tc>
          <w:tcPr>
            <w:tcW w:w="663" w:type="dxa"/>
            <w:noWrap/>
            <w:hideMark/>
          </w:tcPr>
          <w:p w14:paraId="1618E09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1.67</w:t>
            </w:r>
          </w:p>
        </w:tc>
        <w:tc>
          <w:tcPr>
            <w:tcW w:w="663" w:type="dxa"/>
            <w:noWrap/>
            <w:hideMark/>
          </w:tcPr>
          <w:p w14:paraId="536DEDA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1.66</w:t>
            </w:r>
          </w:p>
        </w:tc>
        <w:tc>
          <w:tcPr>
            <w:tcW w:w="663" w:type="dxa"/>
            <w:noWrap/>
            <w:hideMark/>
          </w:tcPr>
          <w:p w14:paraId="3B4415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1.64</w:t>
            </w:r>
          </w:p>
        </w:tc>
      </w:tr>
      <w:tr w:rsidR="00260939" w:rsidRPr="00260939" w14:paraId="5495ACE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2E4593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Carolinas</w:t>
            </w:r>
          </w:p>
        </w:tc>
        <w:tc>
          <w:tcPr>
            <w:tcW w:w="489" w:type="dxa"/>
            <w:noWrap/>
            <w:hideMark/>
          </w:tcPr>
          <w:p w14:paraId="6D3FFC3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4ABC4E6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1.81</w:t>
            </w:r>
          </w:p>
        </w:tc>
        <w:tc>
          <w:tcPr>
            <w:tcW w:w="663" w:type="dxa"/>
            <w:noWrap/>
            <w:hideMark/>
          </w:tcPr>
          <w:p w14:paraId="3519BA7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37140F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17AEDC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1.58</w:t>
            </w:r>
          </w:p>
        </w:tc>
        <w:tc>
          <w:tcPr>
            <w:tcW w:w="663" w:type="dxa"/>
            <w:noWrap/>
            <w:hideMark/>
          </w:tcPr>
          <w:p w14:paraId="2A4A26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79ADF06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1.55</w:t>
            </w:r>
          </w:p>
        </w:tc>
        <w:tc>
          <w:tcPr>
            <w:tcW w:w="663" w:type="dxa"/>
            <w:noWrap/>
            <w:hideMark/>
          </w:tcPr>
          <w:p w14:paraId="20EBC77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104F7DB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r>
      <w:tr w:rsidR="00260939" w:rsidRPr="00260939" w14:paraId="6B3950F1"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D168C8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PJM Interconnection, LLC</w:t>
            </w:r>
          </w:p>
        </w:tc>
        <w:tc>
          <w:tcPr>
            <w:tcW w:w="489" w:type="dxa"/>
            <w:noWrap/>
            <w:hideMark/>
          </w:tcPr>
          <w:p w14:paraId="35191D5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1F882CD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462DD6F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679D13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1005F2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4F36215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1.30</w:t>
            </w:r>
          </w:p>
        </w:tc>
        <w:tc>
          <w:tcPr>
            <w:tcW w:w="663" w:type="dxa"/>
            <w:noWrap/>
            <w:hideMark/>
          </w:tcPr>
          <w:p w14:paraId="6AAA3A4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1F8ACC0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2AC1E34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1.35</w:t>
            </w:r>
          </w:p>
        </w:tc>
      </w:tr>
      <w:tr w:rsidR="00260939" w:rsidRPr="00260939" w14:paraId="2726E440"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0E31D3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Florida, Inc.</w:t>
            </w:r>
          </w:p>
        </w:tc>
        <w:tc>
          <w:tcPr>
            <w:tcW w:w="489" w:type="dxa"/>
            <w:noWrap/>
            <w:hideMark/>
          </w:tcPr>
          <w:p w14:paraId="73E3D38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1.56</w:t>
            </w:r>
          </w:p>
        </w:tc>
        <w:tc>
          <w:tcPr>
            <w:tcW w:w="663" w:type="dxa"/>
            <w:noWrap/>
            <w:hideMark/>
          </w:tcPr>
          <w:p w14:paraId="06364C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c>
          <w:tcPr>
            <w:tcW w:w="663" w:type="dxa"/>
            <w:noWrap/>
            <w:hideMark/>
          </w:tcPr>
          <w:p w14:paraId="6C1A7F7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1.57</w:t>
            </w:r>
          </w:p>
        </w:tc>
        <w:tc>
          <w:tcPr>
            <w:tcW w:w="663" w:type="dxa"/>
            <w:noWrap/>
            <w:hideMark/>
          </w:tcPr>
          <w:p w14:paraId="4F99C3D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58FBCD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c>
          <w:tcPr>
            <w:tcW w:w="663" w:type="dxa"/>
            <w:noWrap/>
            <w:hideMark/>
          </w:tcPr>
          <w:p w14:paraId="4EF553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1.51</w:t>
            </w:r>
          </w:p>
        </w:tc>
        <w:tc>
          <w:tcPr>
            <w:tcW w:w="663" w:type="dxa"/>
            <w:noWrap/>
            <w:hideMark/>
          </w:tcPr>
          <w:p w14:paraId="34A1381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27F0818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1.42</w:t>
            </w:r>
          </w:p>
        </w:tc>
        <w:tc>
          <w:tcPr>
            <w:tcW w:w="663" w:type="dxa"/>
            <w:noWrap/>
            <w:hideMark/>
          </w:tcPr>
          <w:p w14:paraId="50A6B97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r>
      <w:tr w:rsidR="00260939" w:rsidRPr="00260939" w14:paraId="209517E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A0F3E0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Service Company of New Mexico</w:t>
            </w:r>
          </w:p>
        </w:tc>
        <w:tc>
          <w:tcPr>
            <w:tcW w:w="489" w:type="dxa"/>
            <w:noWrap/>
            <w:hideMark/>
          </w:tcPr>
          <w:p w14:paraId="55CC212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1.51</w:t>
            </w:r>
          </w:p>
        </w:tc>
        <w:tc>
          <w:tcPr>
            <w:tcW w:w="663" w:type="dxa"/>
            <w:noWrap/>
            <w:hideMark/>
          </w:tcPr>
          <w:p w14:paraId="1321E53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66319F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72E8E2C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1.49</w:t>
            </w:r>
          </w:p>
        </w:tc>
        <w:tc>
          <w:tcPr>
            <w:tcW w:w="663" w:type="dxa"/>
            <w:noWrap/>
            <w:hideMark/>
          </w:tcPr>
          <w:p w14:paraId="6B513E1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1.42</w:t>
            </w:r>
          </w:p>
        </w:tc>
        <w:tc>
          <w:tcPr>
            <w:tcW w:w="663" w:type="dxa"/>
            <w:noWrap/>
            <w:hideMark/>
          </w:tcPr>
          <w:p w14:paraId="26C7E8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5E41729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c>
          <w:tcPr>
            <w:tcW w:w="663" w:type="dxa"/>
            <w:noWrap/>
            <w:hideMark/>
          </w:tcPr>
          <w:p w14:paraId="0FD61EC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c>
          <w:tcPr>
            <w:tcW w:w="663" w:type="dxa"/>
            <w:noWrap/>
            <w:hideMark/>
          </w:tcPr>
          <w:p w14:paraId="24670E1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r>
      <w:tr w:rsidR="00260939" w:rsidRPr="00260939" w14:paraId="53AD24F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2C2903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Tucson Electric Power</w:t>
            </w:r>
          </w:p>
        </w:tc>
        <w:tc>
          <w:tcPr>
            <w:tcW w:w="489" w:type="dxa"/>
            <w:noWrap/>
            <w:hideMark/>
          </w:tcPr>
          <w:p w14:paraId="4D23A0F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6AE3F24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45D2B55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F835D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2DA375B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c>
          <w:tcPr>
            <w:tcW w:w="663" w:type="dxa"/>
            <w:noWrap/>
            <w:hideMark/>
          </w:tcPr>
          <w:p w14:paraId="72E6B40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1.46</w:t>
            </w:r>
          </w:p>
        </w:tc>
        <w:tc>
          <w:tcPr>
            <w:tcW w:w="663" w:type="dxa"/>
            <w:noWrap/>
            <w:hideMark/>
          </w:tcPr>
          <w:p w14:paraId="1795819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5D99E3F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73CB273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r>
      <w:tr w:rsidR="00260939" w:rsidRPr="00260939" w14:paraId="3173723A"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46F7DB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Western Area Power Administration - Rocky Mountain Region</w:t>
            </w:r>
          </w:p>
        </w:tc>
        <w:tc>
          <w:tcPr>
            <w:tcW w:w="489" w:type="dxa"/>
            <w:noWrap/>
            <w:hideMark/>
          </w:tcPr>
          <w:p w14:paraId="343747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47C487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5990A9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0.72</w:t>
            </w:r>
          </w:p>
        </w:tc>
        <w:tc>
          <w:tcPr>
            <w:tcW w:w="663" w:type="dxa"/>
            <w:noWrap/>
            <w:hideMark/>
          </w:tcPr>
          <w:p w14:paraId="1DD5A46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1.40</w:t>
            </w:r>
          </w:p>
        </w:tc>
        <w:tc>
          <w:tcPr>
            <w:tcW w:w="663" w:type="dxa"/>
            <w:noWrap/>
            <w:hideMark/>
          </w:tcPr>
          <w:p w14:paraId="2811C3D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1.31</w:t>
            </w:r>
          </w:p>
        </w:tc>
        <w:tc>
          <w:tcPr>
            <w:tcW w:w="663" w:type="dxa"/>
            <w:noWrap/>
            <w:hideMark/>
          </w:tcPr>
          <w:p w14:paraId="4C91D0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1.24</w:t>
            </w:r>
          </w:p>
        </w:tc>
        <w:tc>
          <w:tcPr>
            <w:tcW w:w="663" w:type="dxa"/>
            <w:noWrap/>
            <w:hideMark/>
          </w:tcPr>
          <w:p w14:paraId="1100C14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65031DC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1.47</w:t>
            </w:r>
          </w:p>
        </w:tc>
        <w:tc>
          <w:tcPr>
            <w:tcW w:w="663" w:type="dxa"/>
            <w:noWrap/>
            <w:hideMark/>
          </w:tcPr>
          <w:p w14:paraId="439B21F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1.14</w:t>
            </w:r>
          </w:p>
        </w:tc>
      </w:tr>
      <w:tr w:rsidR="00260939" w:rsidRPr="00260939" w14:paraId="4933747E"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4F1DEF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Western Area Power Administration - Desert Southwest Region</w:t>
            </w:r>
          </w:p>
        </w:tc>
        <w:tc>
          <w:tcPr>
            <w:tcW w:w="489" w:type="dxa"/>
            <w:noWrap/>
            <w:hideMark/>
          </w:tcPr>
          <w:p w14:paraId="3E03263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1.41</w:t>
            </w:r>
          </w:p>
        </w:tc>
        <w:tc>
          <w:tcPr>
            <w:tcW w:w="663" w:type="dxa"/>
            <w:noWrap/>
            <w:hideMark/>
          </w:tcPr>
          <w:p w14:paraId="19DDAAD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1.37</w:t>
            </w:r>
          </w:p>
        </w:tc>
        <w:tc>
          <w:tcPr>
            <w:tcW w:w="663" w:type="dxa"/>
            <w:noWrap/>
            <w:hideMark/>
          </w:tcPr>
          <w:p w14:paraId="67F040B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06F080C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538A392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78BE55B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8EC410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5A88604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3CE21B0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1.46</w:t>
            </w:r>
          </w:p>
        </w:tc>
      </w:tr>
      <w:tr w:rsidR="00260939" w:rsidRPr="00260939" w14:paraId="33B29BD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608F24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Louisville Gas and Electric Company and Kentucky Utilities Company</w:t>
            </w:r>
          </w:p>
        </w:tc>
        <w:tc>
          <w:tcPr>
            <w:tcW w:w="489" w:type="dxa"/>
            <w:noWrap/>
            <w:hideMark/>
          </w:tcPr>
          <w:p w14:paraId="30431B8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1.40</w:t>
            </w:r>
          </w:p>
        </w:tc>
        <w:tc>
          <w:tcPr>
            <w:tcW w:w="663" w:type="dxa"/>
            <w:noWrap/>
            <w:hideMark/>
          </w:tcPr>
          <w:p w14:paraId="198306E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52AD442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5C1C83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4CF7590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4820550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1B6B2A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793C61D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1C819EB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0.99</w:t>
            </w:r>
          </w:p>
        </w:tc>
      </w:tr>
      <w:tr w:rsidR="00260939" w:rsidRPr="00260939" w14:paraId="2B9549A7"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61133E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Southern Company Services, Inc. - Trans</w:t>
            </w:r>
          </w:p>
        </w:tc>
        <w:tc>
          <w:tcPr>
            <w:tcW w:w="489" w:type="dxa"/>
            <w:noWrap/>
            <w:hideMark/>
          </w:tcPr>
          <w:p w14:paraId="3D0163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c>
          <w:tcPr>
            <w:tcW w:w="663" w:type="dxa"/>
            <w:noWrap/>
            <w:hideMark/>
          </w:tcPr>
          <w:p w14:paraId="794BBC9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1.55</w:t>
            </w:r>
          </w:p>
        </w:tc>
        <w:tc>
          <w:tcPr>
            <w:tcW w:w="663" w:type="dxa"/>
            <w:noWrap/>
            <w:hideMark/>
          </w:tcPr>
          <w:p w14:paraId="698EE67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2A2C359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1.27</w:t>
            </w:r>
          </w:p>
        </w:tc>
        <w:tc>
          <w:tcPr>
            <w:tcW w:w="663" w:type="dxa"/>
            <w:noWrap/>
            <w:hideMark/>
          </w:tcPr>
          <w:p w14:paraId="7D103A2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1.34</w:t>
            </w:r>
          </w:p>
        </w:tc>
        <w:tc>
          <w:tcPr>
            <w:tcW w:w="663" w:type="dxa"/>
            <w:noWrap/>
            <w:hideMark/>
          </w:tcPr>
          <w:p w14:paraId="72936CF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1CC728C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1F7327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1FBCDDC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r>
      <w:tr w:rsidR="00260939" w:rsidRPr="00260939" w14:paraId="38CDF525"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937592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Nevada Power Company</w:t>
            </w:r>
          </w:p>
        </w:tc>
        <w:tc>
          <w:tcPr>
            <w:tcW w:w="489" w:type="dxa"/>
            <w:noWrap/>
            <w:hideMark/>
          </w:tcPr>
          <w:p w14:paraId="7B63B33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3ADFF9F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1.37</w:t>
            </w:r>
          </w:p>
        </w:tc>
        <w:tc>
          <w:tcPr>
            <w:tcW w:w="663" w:type="dxa"/>
            <w:noWrap/>
            <w:hideMark/>
          </w:tcPr>
          <w:p w14:paraId="3D8615A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5BFAABF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1.27</w:t>
            </w:r>
          </w:p>
        </w:tc>
        <w:tc>
          <w:tcPr>
            <w:tcW w:w="663" w:type="dxa"/>
            <w:noWrap/>
            <w:hideMark/>
          </w:tcPr>
          <w:p w14:paraId="3AA346C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24DFB87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5B42AC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5BD92E8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35DB4A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r>
      <w:tr w:rsidR="00260939" w:rsidRPr="00260939" w14:paraId="11A0E98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0425BC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Los Angeles Department of Water and Power</w:t>
            </w:r>
          </w:p>
        </w:tc>
        <w:tc>
          <w:tcPr>
            <w:tcW w:w="489" w:type="dxa"/>
            <w:noWrap/>
            <w:hideMark/>
          </w:tcPr>
          <w:p w14:paraId="1CC83BF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48B01AB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26FD9E9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ABAFFD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22F4EE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29786FA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1.07</w:t>
            </w:r>
          </w:p>
        </w:tc>
        <w:tc>
          <w:tcPr>
            <w:tcW w:w="663" w:type="dxa"/>
            <w:noWrap/>
            <w:hideMark/>
          </w:tcPr>
          <w:p w14:paraId="0C60381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62542C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5229334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1.35</w:t>
            </w:r>
          </w:p>
        </w:tc>
      </w:tr>
      <w:tr w:rsidR="00260939" w:rsidRPr="00260939" w14:paraId="6222E7FD"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52AFB5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PacifiCorp West</w:t>
            </w:r>
          </w:p>
        </w:tc>
        <w:tc>
          <w:tcPr>
            <w:tcW w:w="489" w:type="dxa"/>
            <w:noWrap/>
            <w:hideMark/>
          </w:tcPr>
          <w:p w14:paraId="3CF90D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398D795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0375B96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56559AD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0.86</w:t>
            </w:r>
          </w:p>
        </w:tc>
        <w:tc>
          <w:tcPr>
            <w:tcW w:w="663" w:type="dxa"/>
            <w:noWrap/>
            <w:hideMark/>
          </w:tcPr>
          <w:p w14:paraId="2D22642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1B6906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272C6B7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6E24A3A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0EA81B1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r>
      <w:tr w:rsidR="00260939" w:rsidRPr="00260939" w14:paraId="3B99E4BA"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02AB11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Progress East</w:t>
            </w:r>
          </w:p>
        </w:tc>
        <w:tc>
          <w:tcPr>
            <w:tcW w:w="489" w:type="dxa"/>
            <w:noWrap/>
            <w:hideMark/>
          </w:tcPr>
          <w:p w14:paraId="30D7E9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622544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1.08</w:t>
            </w:r>
          </w:p>
        </w:tc>
        <w:tc>
          <w:tcPr>
            <w:tcW w:w="663" w:type="dxa"/>
            <w:noWrap/>
            <w:hideMark/>
          </w:tcPr>
          <w:p w14:paraId="4E093B8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533CB7C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5B63270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05DE352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38A9F6A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6B693F0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3FA5181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r>
      <w:tr w:rsidR="00260939" w:rsidRPr="00260939" w14:paraId="660B9B5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9E87A28"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New York Independent System Operator</w:t>
            </w:r>
          </w:p>
        </w:tc>
        <w:tc>
          <w:tcPr>
            <w:tcW w:w="489" w:type="dxa"/>
            <w:noWrap/>
            <w:hideMark/>
          </w:tcPr>
          <w:p w14:paraId="06A3080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3778CB6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302082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6A3CCA9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3934D04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3A263FC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1.11</w:t>
            </w:r>
          </w:p>
        </w:tc>
        <w:tc>
          <w:tcPr>
            <w:tcW w:w="663" w:type="dxa"/>
            <w:noWrap/>
            <w:hideMark/>
          </w:tcPr>
          <w:p w14:paraId="686A94C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5BDA996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C3C72C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r>
      <w:tr w:rsidR="00260939" w:rsidRPr="00260939" w14:paraId="44930D4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6529BF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PacifiCorp East</w:t>
            </w:r>
          </w:p>
        </w:tc>
        <w:tc>
          <w:tcPr>
            <w:tcW w:w="489" w:type="dxa"/>
            <w:noWrap/>
            <w:hideMark/>
          </w:tcPr>
          <w:p w14:paraId="0A3714C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7E24BDE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629730A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c>
          <w:tcPr>
            <w:tcW w:w="663" w:type="dxa"/>
            <w:noWrap/>
            <w:hideMark/>
          </w:tcPr>
          <w:p w14:paraId="5D330ED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0ACC94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c>
          <w:tcPr>
            <w:tcW w:w="663" w:type="dxa"/>
            <w:noWrap/>
            <w:hideMark/>
          </w:tcPr>
          <w:p w14:paraId="65665F3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c>
          <w:tcPr>
            <w:tcW w:w="663" w:type="dxa"/>
            <w:noWrap/>
            <w:hideMark/>
          </w:tcPr>
          <w:p w14:paraId="2360212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39E5341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290BCBB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r>
      <w:tr w:rsidR="00260939" w:rsidRPr="00260939" w14:paraId="0AAC13A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8709EC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 Carolina Public Service Authority</w:t>
            </w:r>
          </w:p>
        </w:tc>
        <w:tc>
          <w:tcPr>
            <w:tcW w:w="489" w:type="dxa"/>
            <w:noWrap/>
            <w:hideMark/>
          </w:tcPr>
          <w:p w14:paraId="73871CA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21639BB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0558D1E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3B798DB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413F916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3EBA256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0639224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58E5CDE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c>
          <w:tcPr>
            <w:tcW w:w="663" w:type="dxa"/>
            <w:noWrap/>
            <w:hideMark/>
          </w:tcPr>
          <w:p w14:paraId="0319AA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r>
      <w:tr w:rsidR="00260939" w:rsidRPr="00260939" w14:paraId="2D618F0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67BCC43"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Florida Power &amp; Light Co.</w:t>
            </w:r>
          </w:p>
        </w:tc>
        <w:tc>
          <w:tcPr>
            <w:tcW w:w="489" w:type="dxa"/>
            <w:noWrap/>
            <w:hideMark/>
          </w:tcPr>
          <w:p w14:paraId="5657ECD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c>
          <w:tcPr>
            <w:tcW w:w="663" w:type="dxa"/>
            <w:noWrap/>
            <w:hideMark/>
          </w:tcPr>
          <w:p w14:paraId="0625BBC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70A121F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70A12A2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71DA9B7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6A8A1B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4F4791A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07AA89B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1.07</w:t>
            </w:r>
          </w:p>
        </w:tc>
        <w:tc>
          <w:tcPr>
            <w:tcW w:w="663" w:type="dxa"/>
            <w:noWrap/>
            <w:hideMark/>
          </w:tcPr>
          <w:p w14:paraId="3472A64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r>
      <w:tr w:rsidR="00260939" w:rsidRPr="00260939" w14:paraId="61C03E4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2B86027"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Arizona Public Service Company</w:t>
            </w:r>
          </w:p>
        </w:tc>
        <w:tc>
          <w:tcPr>
            <w:tcW w:w="489" w:type="dxa"/>
            <w:noWrap/>
            <w:hideMark/>
          </w:tcPr>
          <w:p w14:paraId="464D678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c>
          <w:tcPr>
            <w:tcW w:w="663" w:type="dxa"/>
            <w:noWrap/>
            <w:hideMark/>
          </w:tcPr>
          <w:p w14:paraId="228951B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0911227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716302A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7E6A4E1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4F4368E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681C52F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c>
          <w:tcPr>
            <w:tcW w:w="663" w:type="dxa"/>
            <w:noWrap/>
            <w:hideMark/>
          </w:tcPr>
          <w:p w14:paraId="21A6A60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0.54</w:t>
            </w:r>
          </w:p>
        </w:tc>
        <w:tc>
          <w:tcPr>
            <w:tcW w:w="663" w:type="dxa"/>
            <w:noWrap/>
            <w:hideMark/>
          </w:tcPr>
          <w:p w14:paraId="113CBA3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0.42</w:t>
            </w:r>
          </w:p>
        </w:tc>
      </w:tr>
      <w:tr w:rsidR="00260939" w:rsidRPr="00260939" w14:paraId="5F66EF58"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722C88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Associated Electric Cooperative, Inc.</w:t>
            </w:r>
          </w:p>
        </w:tc>
        <w:tc>
          <w:tcPr>
            <w:tcW w:w="489" w:type="dxa"/>
            <w:noWrap/>
            <w:hideMark/>
          </w:tcPr>
          <w:p w14:paraId="7C745BA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6ED09B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1E9B32B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42F5398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54AD89F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2093E92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656578F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00DF04E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06CC1C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1.04</w:t>
            </w:r>
          </w:p>
        </w:tc>
      </w:tr>
      <w:tr w:rsidR="00260939" w:rsidRPr="00260939" w14:paraId="325A707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AF8F6D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ISO New England</w:t>
            </w:r>
          </w:p>
        </w:tc>
        <w:tc>
          <w:tcPr>
            <w:tcW w:w="489" w:type="dxa"/>
            <w:noWrap/>
            <w:hideMark/>
          </w:tcPr>
          <w:p w14:paraId="0C22A5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2845EB5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0.98</w:t>
            </w:r>
          </w:p>
        </w:tc>
        <w:tc>
          <w:tcPr>
            <w:tcW w:w="663" w:type="dxa"/>
            <w:noWrap/>
            <w:hideMark/>
          </w:tcPr>
          <w:p w14:paraId="1D62570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60B25D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35BAA25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0.94</w:t>
            </w:r>
          </w:p>
        </w:tc>
        <w:tc>
          <w:tcPr>
            <w:tcW w:w="663" w:type="dxa"/>
            <w:noWrap/>
            <w:hideMark/>
          </w:tcPr>
          <w:p w14:paraId="53F1BF9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0.92</w:t>
            </w:r>
          </w:p>
        </w:tc>
        <w:tc>
          <w:tcPr>
            <w:tcW w:w="663" w:type="dxa"/>
            <w:noWrap/>
            <w:hideMark/>
          </w:tcPr>
          <w:p w14:paraId="7C4FC63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0.86</w:t>
            </w:r>
          </w:p>
        </w:tc>
        <w:tc>
          <w:tcPr>
            <w:tcW w:w="663" w:type="dxa"/>
            <w:noWrap/>
            <w:hideMark/>
          </w:tcPr>
          <w:p w14:paraId="1B750FD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74EC8FE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r>
      <w:tr w:rsidR="00260939" w:rsidRPr="00260939" w14:paraId="3FCAFD88"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29A026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Progress West</w:t>
            </w:r>
          </w:p>
        </w:tc>
        <w:tc>
          <w:tcPr>
            <w:tcW w:w="489" w:type="dxa"/>
            <w:noWrap/>
            <w:hideMark/>
          </w:tcPr>
          <w:p w14:paraId="795B6D4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437C35A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0F23211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51B80AA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C7E5A9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366691E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17F8EB9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4373E0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4F886D0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r>
      <w:tr w:rsidR="00260939" w:rsidRPr="00260939" w14:paraId="10A08790"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96D246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Florida Municipal Power Pool</w:t>
            </w:r>
          </w:p>
        </w:tc>
        <w:tc>
          <w:tcPr>
            <w:tcW w:w="489" w:type="dxa"/>
            <w:noWrap/>
            <w:hideMark/>
          </w:tcPr>
          <w:p w14:paraId="1B1A164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52D6591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0425C93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0.92</w:t>
            </w:r>
          </w:p>
        </w:tc>
        <w:tc>
          <w:tcPr>
            <w:tcW w:w="663" w:type="dxa"/>
            <w:noWrap/>
            <w:hideMark/>
          </w:tcPr>
          <w:p w14:paraId="38A5EDD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50A34D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23D342B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7AB2F16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3DE483A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0.80</w:t>
            </w:r>
          </w:p>
        </w:tc>
        <w:tc>
          <w:tcPr>
            <w:tcW w:w="663" w:type="dxa"/>
            <w:noWrap/>
            <w:hideMark/>
          </w:tcPr>
          <w:p w14:paraId="029B087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r>
      <w:tr w:rsidR="00260939" w:rsidRPr="00260939" w14:paraId="00C47A2E"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97D59F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Utility District No. 2 of Grant County, Washington</w:t>
            </w:r>
          </w:p>
        </w:tc>
        <w:tc>
          <w:tcPr>
            <w:tcW w:w="489" w:type="dxa"/>
            <w:noWrap/>
            <w:hideMark/>
          </w:tcPr>
          <w:p w14:paraId="58F1EBA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0.82</w:t>
            </w:r>
          </w:p>
        </w:tc>
        <w:tc>
          <w:tcPr>
            <w:tcW w:w="663" w:type="dxa"/>
            <w:noWrap/>
            <w:hideMark/>
          </w:tcPr>
          <w:p w14:paraId="53E9DD5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0.58</w:t>
            </w:r>
          </w:p>
        </w:tc>
        <w:tc>
          <w:tcPr>
            <w:tcW w:w="663" w:type="dxa"/>
            <w:noWrap/>
            <w:hideMark/>
          </w:tcPr>
          <w:p w14:paraId="4DDD99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494F872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0B019F8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5851607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0.48</w:t>
            </w:r>
          </w:p>
        </w:tc>
        <w:tc>
          <w:tcPr>
            <w:tcW w:w="663" w:type="dxa"/>
            <w:noWrap/>
            <w:hideMark/>
          </w:tcPr>
          <w:p w14:paraId="44EDD8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73A7919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7E899FC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r>
      <w:tr w:rsidR="00260939" w:rsidRPr="00260939" w14:paraId="7B68A46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C8FF02F"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lastRenderedPageBreak/>
              <w:t>Tampa Electric Company</w:t>
            </w:r>
          </w:p>
        </w:tc>
        <w:tc>
          <w:tcPr>
            <w:tcW w:w="489" w:type="dxa"/>
            <w:noWrap/>
            <w:hideMark/>
          </w:tcPr>
          <w:p w14:paraId="08FDFAC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1289FF5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0.77</w:t>
            </w:r>
          </w:p>
        </w:tc>
        <w:tc>
          <w:tcPr>
            <w:tcW w:w="663" w:type="dxa"/>
            <w:noWrap/>
            <w:hideMark/>
          </w:tcPr>
          <w:p w14:paraId="53149AE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0.68</w:t>
            </w:r>
          </w:p>
        </w:tc>
        <w:tc>
          <w:tcPr>
            <w:tcW w:w="663" w:type="dxa"/>
            <w:noWrap/>
            <w:hideMark/>
          </w:tcPr>
          <w:p w14:paraId="58879B9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1.28</w:t>
            </w:r>
          </w:p>
        </w:tc>
        <w:tc>
          <w:tcPr>
            <w:tcW w:w="663" w:type="dxa"/>
            <w:noWrap/>
            <w:hideMark/>
          </w:tcPr>
          <w:p w14:paraId="656A031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c>
          <w:tcPr>
            <w:tcW w:w="663" w:type="dxa"/>
            <w:noWrap/>
            <w:hideMark/>
          </w:tcPr>
          <w:p w14:paraId="2F06865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285D904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2874BC4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2166AF8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0.45</w:t>
            </w:r>
          </w:p>
        </w:tc>
      </w:tr>
      <w:tr w:rsidR="00260939" w:rsidRPr="00260939" w14:paraId="30D9202F"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87920B8"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Idaho Power Company</w:t>
            </w:r>
          </w:p>
        </w:tc>
        <w:tc>
          <w:tcPr>
            <w:tcW w:w="489" w:type="dxa"/>
            <w:noWrap/>
            <w:hideMark/>
          </w:tcPr>
          <w:p w14:paraId="59E930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0.77</w:t>
            </w:r>
          </w:p>
        </w:tc>
        <w:tc>
          <w:tcPr>
            <w:tcW w:w="663" w:type="dxa"/>
            <w:noWrap/>
            <w:hideMark/>
          </w:tcPr>
          <w:p w14:paraId="61F0A9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0.82</w:t>
            </w:r>
          </w:p>
        </w:tc>
        <w:tc>
          <w:tcPr>
            <w:tcW w:w="663" w:type="dxa"/>
            <w:noWrap/>
            <w:hideMark/>
          </w:tcPr>
          <w:p w14:paraId="68AD791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0.84</w:t>
            </w:r>
          </w:p>
        </w:tc>
        <w:tc>
          <w:tcPr>
            <w:tcW w:w="663" w:type="dxa"/>
            <w:noWrap/>
            <w:hideMark/>
          </w:tcPr>
          <w:p w14:paraId="620BBD6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776ED66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722475D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c>
          <w:tcPr>
            <w:tcW w:w="663" w:type="dxa"/>
            <w:noWrap/>
            <w:hideMark/>
          </w:tcPr>
          <w:p w14:paraId="7BCA01D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c>
          <w:tcPr>
            <w:tcW w:w="663" w:type="dxa"/>
            <w:noWrap/>
            <w:hideMark/>
          </w:tcPr>
          <w:p w14:paraId="0FB5604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3C3AA5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r>
      <w:tr w:rsidR="00260939" w:rsidRPr="00260939" w14:paraId="7A7C35CB"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4B4787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El Paso Electric Company</w:t>
            </w:r>
          </w:p>
        </w:tc>
        <w:tc>
          <w:tcPr>
            <w:tcW w:w="489" w:type="dxa"/>
            <w:noWrap/>
            <w:hideMark/>
          </w:tcPr>
          <w:p w14:paraId="6A7EAC2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c>
          <w:tcPr>
            <w:tcW w:w="663" w:type="dxa"/>
            <w:noWrap/>
            <w:hideMark/>
          </w:tcPr>
          <w:p w14:paraId="189F00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26ECA28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c>
          <w:tcPr>
            <w:tcW w:w="663" w:type="dxa"/>
            <w:noWrap/>
            <w:hideMark/>
          </w:tcPr>
          <w:p w14:paraId="5F23507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68D3772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138F897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0.48</w:t>
            </w:r>
          </w:p>
        </w:tc>
        <w:tc>
          <w:tcPr>
            <w:tcW w:w="663" w:type="dxa"/>
            <w:noWrap/>
            <w:hideMark/>
          </w:tcPr>
          <w:p w14:paraId="0499295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0.68</w:t>
            </w:r>
          </w:p>
        </w:tc>
        <w:tc>
          <w:tcPr>
            <w:tcW w:w="663" w:type="dxa"/>
            <w:noWrap/>
            <w:hideMark/>
          </w:tcPr>
          <w:p w14:paraId="02D4C92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3835940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r>
      <w:tr w:rsidR="00260939" w:rsidRPr="00260939" w14:paraId="615AE147"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A28A383"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Avista Corporation</w:t>
            </w:r>
          </w:p>
        </w:tc>
        <w:tc>
          <w:tcPr>
            <w:tcW w:w="489" w:type="dxa"/>
            <w:noWrap/>
            <w:hideMark/>
          </w:tcPr>
          <w:p w14:paraId="541588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0.73</w:t>
            </w:r>
          </w:p>
        </w:tc>
        <w:tc>
          <w:tcPr>
            <w:tcW w:w="663" w:type="dxa"/>
            <w:noWrap/>
            <w:hideMark/>
          </w:tcPr>
          <w:p w14:paraId="591B80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0.60</w:t>
            </w:r>
          </w:p>
        </w:tc>
        <w:tc>
          <w:tcPr>
            <w:tcW w:w="663" w:type="dxa"/>
            <w:noWrap/>
            <w:hideMark/>
          </w:tcPr>
          <w:p w14:paraId="0F1664B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c>
          <w:tcPr>
            <w:tcW w:w="663" w:type="dxa"/>
            <w:noWrap/>
            <w:hideMark/>
          </w:tcPr>
          <w:p w14:paraId="692195C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487C6F2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68C00B6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0.57</w:t>
            </w:r>
          </w:p>
        </w:tc>
        <w:tc>
          <w:tcPr>
            <w:tcW w:w="663" w:type="dxa"/>
            <w:noWrap/>
            <w:hideMark/>
          </w:tcPr>
          <w:p w14:paraId="2A82FE2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7E5E23A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7C8A513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0.99</w:t>
            </w:r>
          </w:p>
        </w:tc>
      </w:tr>
      <w:tr w:rsidR="00260939" w:rsidRPr="00260939" w14:paraId="725C4E37"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6815E7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Tennessee Valley Authority</w:t>
            </w:r>
          </w:p>
        </w:tc>
        <w:tc>
          <w:tcPr>
            <w:tcW w:w="489" w:type="dxa"/>
            <w:noWrap/>
            <w:hideMark/>
          </w:tcPr>
          <w:p w14:paraId="5C112CB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19ECE7C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3085B1B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0.78</w:t>
            </w:r>
          </w:p>
        </w:tc>
        <w:tc>
          <w:tcPr>
            <w:tcW w:w="663" w:type="dxa"/>
            <w:noWrap/>
            <w:hideMark/>
          </w:tcPr>
          <w:p w14:paraId="13FE7D5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251B224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1CFE2BE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0.65</w:t>
            </w:r>
          </w:p>
        </w:tc>
        <w:tc>
          <w:tcPr>
            <w:tcW w:w="663" w:type="dxa"/>
            <w:noWrap/>
            <w:hideMark/>
          </w:tcPr>
          <w:p w14:paraId="5DE6DBF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0.60</w:t>
            </w:r>
          </w:p>
        </w:tc>
        <w:tc>
          <w:tcPr>
            <w:tcW w:w="663" w:type="dxa"/>
            <w:noWrap/>
            <w:hideMark/>
          </w:tcPr>
          <w:p w14:paraId="7C9067A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0.47</w:t>
            </w:r>
          </w:p>
        </w:tc>
        <w:tc>
          <w:tcPr>
            <w:tcW w:w="663" w:type="dxa"/>
            <w:noWrap/>
            <w:hideMark/>
          </w:tcPr>
          <w:p w14:paraId="4AE5F10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0.59</w:t>
            </w:r>
          </w:p>
        </w:tc>
      </w:tr>
      <w:tr w:rsidR="00260939" w:rsidRPr="00260939" w14:paraId="2FA5F862"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A31886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Balancing Authority of Northern California</w:t>
            </w:r>
          </w:p>
        </w:tc>
        <w:tc>
          <w:tcPr>
            <w:tcW w:w="489" w:type="dxa"/>
            <w:noWrap/>
            <w:hideMark/>
          </w:tcPr>
          <w:p w14:paraId="394B553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0.58</w:t>
            </w:r>
          </w:p>
        </w:tc>
        <w:tc>
          <w:tcPr>
            <w:tcW w:w="663" w:type="dxa"/>
            <w:noWrap/>
            <w:hideMark/>
          </w:tcPr>
          <w:p w14:paraId="1A1067B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02667C7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0.39</w:t>
            </w:r>
          </w:p>
        </w:tc>
        <w:tc>
          <w:tcPr>
            <w:tcW w:w="663" w:type="dxa"/>
            <w:noWrap/>
            <w:hideMark/>
          </w:tcPr>
          <w:p w14:paraId="30C1BD8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0.37</w:t>
            </w:r>
          </w:p>
        </w:tc>
        <w:tc>
          <w:tcPr>
            <w:tcW w:w="663" w:type="dxa"/>
            <w:noWrap/>
            <w:hideMark/>
          </w:tcPr>
          <w:p w14:paraId="13914EF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c>
          <w:tcPr>
            <w:tcW w:w="663" w:type="dxa"/>
            <w:noWrap/>
            <w:hideMark/>
          </w:tcPr>
          <w:p w14:paraId="488E75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0.55</w:t>
            </w:r>
          </w:p>
        </w:tc>
        <w:tc>
          <w:tcPr>
            <w:tcW w:w="663" w:type="dxa"/>
            <w:noWrap/>
            <w:hideMark/>
          </w:tcPr>
          <w:p w14:paraId="1C3AC1F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0.51</w:t>
            </w:r>
          </w:p>
        </w:tc>
        <w:tc>
          <w:tcPr>
            <w:tcW w:w="663" w:type="dxa"/>
            <w:noWrap/>
            <w:hideMark/>
          </w:tcPr>
          <w:p w14:paraId="152F06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48062AD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r>
      <w:tr w:rsidR="00260939" w:rsidRPr="00260939" w14:paraId="559B900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D369AA0" w14:textId="77777777" w:rsidR="00260939" w:rsidRPr="00D7424B" w:rsidRDefault="00260939" w:rsidP="00260939">
            <w:pPr>
              <w:rPr>
                <w:rFonts w:ascii="Aptos Narrow" w:eastAsia="Times New Roman" w:hAnsi="Aptos Narrow" w:cs="Times New Roman"/>
                <w:b w:val="0"/>
                <w:bCs w:val="0"/>
                <w:color w:val="000000"/>
              </w:rPr>
            </w:pPr>
            <w:proofErr w:type="spellStart"/>
            <w:r w:rsidRPr="00D7424B">
              <w:rPr>
                <w:rFonts w:ascii="Aptos Narrow" w:eastAsia="Times New Roman" w:hAnsi="Aptos Narrow" w:cs="Times New Roman"/>
                <w:b w:val="0"/>
                <w:bCs w:val="0"/>
                <w:color w:val="000000"/>
              </w:rPr>
              <w:t>PowerSouth</w:t>
            </w:r>
            <w:proofErr w:type="spellEnd"/>
            <w:r w:rsidRPr="00D7424B">
              <w:rPr>
                <w:rFonts w:ascii="Aptos Narrow" w:eastAsia="Times New Roman" w:hAnsi="Aptos Narrow" w:cs="Times New Roman"/>
                <w:b w:val="0"/>
                <w:bCs w:val="0"/>
                <w:color w:val="000000"/>
              </w:rPr>
              <w:t xml:space="preserve"> Energy Cooperative</w:t>
            </w:r>
          </w:p>
        </w:tc>
        <w:tc>
          <w:tcPr>
            <w:tcW w:w="489" w:type="dxa"/>
            <w:noWrap/>
            <w:hideMark/>
          </w:tcPr>
          <w:p w14:paraId="02D6A97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0.36</w:t>
            </w:r>
          </w:p>
        </w:tc>
        <w:tc>
          <w:tcPr>
            <w:tcW w:w="663" w:type="dxa"/>
            <w:noWrap/>
            <w:hideMark/>
          </w:tcPr>
          <w:p w14:paraId="0031178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7661285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0.21</w:t>
            </w:r>
          </w:p>
        </w:tc>
        <w:tc>
          <w:tcPr>
            <w:tcW w:w="663" w:type="dxa"/>
            <w:noWrap/>
            <w:hideMark/>
          </w:tcPr>
          <w:p w14:paraId="08561B6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c>
          <w:tcPr>
            <w:tcW w:w="663" w:type="dxa"/>
            <w:noWrap/>
            <w:hideMark/>
          </w:tcPr>
          <w:p w14:paraId="6A64DF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3AF088A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0.54</w:t>
            </w:r>
          </w:p>
        </w:tc>
        <w:tc>
          <w:tcPr>
            <w:tcW w:w="663" w:type="dxa"/>
            <w:noWrap/>
            <w:hideMark/>
          </w:tcPr>
          <w:p w14:paraId="38B84A6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0.41</w:t>
            </w:r>
          </w:p>
        </w:tc>
        <w:tc>
          <w:tcPr>
            <w:tcW w:w="663" w:type="dxa"/>
            <w:noWrap/>
            <w:hideMark/>
          </w:tcPr>
          <w:p w14:paraId="110B77C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7FFE30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r w:rsidR="00260939" w:rsidRPr="00260939" w14:paraId="33F1524D"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BF2831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Puget Sound Energy, Inc.</w:t>
            </w:r>
          </w:p>
        </w:tc>
        <w:tc>
          <w:tcPr>
            <w:tcW w:w="489" w:type="dxa"/>
            <w:noWrap/>
            <w:hideMark/>
          </w:tcPr>
          <w:p w14:paraId="319AE11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0.35</w:t>
            </w:r>
          </w:p>
        </w:tc>
        <w:tc>
          <w:tcPr>
            <w:tcW w:w="663" w:type="dxa"/>
            <w:noWrap/>
            <w:hideMark/>
          </w:tcPr>
          <w:p w14:paraId="1DB9245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62B4DF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0.30</w:t>
            </w:r>
          </w:p>
        </w:tc>
        <w:tc>
          <w:tcPr>
            <w:tcW w:w="663" w:type="dxa"/>
            <w:noWrap/>
            <w:hideMark/>
          </w:tcPr>
          <w:p w14:paraId="4FFA710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55CFAE5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0.28</w:t>
            </w:r>
          </w:p>
        </w:tc>
        <w:tc>
          <w:tcPr>
            <w:tcW w:w="663" w:type="dxa"/>
            <w:noWrap/>
            <w:hideMark/>
          </w:tcPr>
          <w:p w14:paraId="1B5FA59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0.78</w:t>
            </w:r>
          </w:p>
        </w:tc>
        <w:tc>
          <w:tcPr>
            <w:tcW w:w="663" w:type="dxa"/>
            <w:noWrap/>
            <w:hideMark/>
          </w:tcPr>
          <w:p w14:paraId="3F6104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07E4366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590871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0.41</w:t>
            </w:r>
          </w:p>
        </w:tc>
      </w:tr>
      <w:tr w:rsidR="00260939" w:rsidRPr="00260939" w14:paraId="2CCF025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BEF2E3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Dominion Energy South Carolina, Inc.</w:t>
            </w:r>
          </w:p>
        </w:tc>
        <w:tc>
          <w:tcPr>
            <w:tcW w:w="489" w:type="dxa"/>
            <w:noWrap/>
            <w:hideMark/>
          </w:tcPr>
          <w:p w14:paraId="31CBB59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0.33</w:t>
            </w:r>
          </w:p>
        </w:tc>
        <w:tc>
          <w:tcPr>
            <w:tcW w:w="663" w:type="dxa"/>
            <w:noWrap/>
            <w:hideMark/>
          </w:tcPr>
          <w:p w14:paraId="6F0226A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c>
          <w:tcPr>
            <w:tcW w:w="663" w:type="dxa"/>
            <w:noWrap/>
            <w:hideMark/>
          </w:tcPr>
          <w:p w14:paraId="409131A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0.23</w:t>
            </w:r>
          </w:p>
        </w:tc>
        <w:tc>
          <w:tcPr>
            <w:tcW w:w="663" w:type="dxa"/>
            <w:noWrap/>
            <w:hideMark/>
          </w:tcPr>
          <w:p w14:paraId="1D2B9A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0.37</w:t>
            </w:r>
          </w:p>
        </w:tc>
        <w:tc>
          <w:tcPr>
            <w:tcW w:w="663" w:type="dxa"/>
            <w:noWrap/>
            <w:hideMark/>
          </w:tcPr>
          <w:p w14:paraId="2CD04C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0.51</w:t>
            </w:r>
          </w:p>
        </w:tc>
        <w:tc>
          <w:tcPr>
            <w:tcW w:w="663" w:type="dxa"/>
            <w:noWrap/>
            <w:hideMark/>
          </w:tcPr>
          <w:p w14:paraId="4E25AC3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0.50</w:t>
            </w:r>
          </w:p>
        </w:tc>
        <w:tc>
          <w:tcPr>
            <w:tcW w:w="663" w:type="dxa"/>
            <w:noWrap/>
            <w:hideMark/>
          </w:tcPr>
          <w:p w14:paraId="164CD04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1BDF689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64BC74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0.15</w:t>
            </w:r>
          </w:p>
        </w:tc>
      </w:tr>
      <w:tr w:rsidR="00260939" w:rsidRPr="00260939" w14:paraId="7AF3F8DA"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C9965E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Service Company of Colorado</w:t>
            </w:r>
          </w:p>
        </w:tc>
        <w:tc>
          <w:tcPr>
            <w:tcW w:w="489" w:type="dxa"/>
            <w:noWrap/>
            <w:hideMark/>
          </w:tcPr>
          <w:p w14:paraId="43E7EF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33EBD4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7940389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2FC7525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0CAEC6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0.14</w:t>
            </w:r>
          </w:p>
        </w:tc>
        <w:tc>
          <w:tcPr>
            <w:tcW w:w="663" w:type="dxa"/>
            <w:noWrap/>
            <w:hideMark/>
          </w:tcPr>
          <w:p w14:paraId="27EF95A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2D4D918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0.38</w:t>
            </w:r>
          </w:p>
        </w:tc>
        <w:tc>
          <w:tcPr>
            <w:tcW w:w="663" w:type="dxa"/>
            <w:noWrap/>
            <w:hideMark/>
          </w:tcPr>
          <w:p w14:paraId="13D471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0.53</w:t>
            </w:r>
          </w:p>
        </w:tc>
        <w:tc>
          <w:tcPr>
            <w:tcW w:w="663" w:type="dxa"/>
            <w:noWrap/>
            <w:hideMark/>
          </w:tcPr>
          <w:p w14:paraId="580CB7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r>
      <w:tr w:rsidR="00260939" w:rsidRPr="00260939" w14:paraId="2FCF816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C9ECB0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Seattle City Light</w:t>
            </w:r>
          </w:p>
        </w:tc>
        <w:tc>
          <w:tcPr>
            <w:tcW w:w="489" w:type="dxa"/>
            <w:noWrap/>
            <w:hideMark/>
          </w:tcPr>
          <w:p w14:paraId="72E0249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1BE956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0.27</w:t>
            </w:r>
          </w:p>
        </w:tc>
        <w:tc>
          <w:tcPr>
            <w:tcW w:w="663" w:type="dxa"/>
            <w:noWrap/>
            <w:hideMark/>
          </w:tcPr>
          <w:p w14:paraId="61B1FB1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0.13</w:t>
            </w:r>
          </w:p>
        </w:tc>
        <w:tc>
          <w:tcPr>
            <w:tcW w:w="663" w:type="dxa"/>
            <w:noWrap/>
            <w:hideMark/>
          </w:tcPr>
          <w:p w14:paraId="03FB489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5A1BFC5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0.21</w:t>
            </w:r>
          </w:p>
        </w:tc>
        <w:tc>
          <w:tcPr>
            <w:tcW w:w="663" w:type="dxa"/>
            <w:noWrap/>
            <w:hideMark/>
          </w:tcPr>
          <w:p w14:paraId="7EACF77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4C9D6F5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0.33</w:t>
            </w:r>
          </w:p>
        </w:tc>
        <w:tc>
          <w:tcPr>
            <w:tcW w:w="663" w:type="dxa"/>
            <w:noWrap/>
            <w:hideMark/>
          </w:tcPr>
          <w:p w14:paraId="4EC5F70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1BA1F8B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r>
      <w:tr w:rsidR="00260939" w:rsidRPr="00260939" w14:paraId="5CA013AF"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6A384F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Electric Reliability Council of Texas, Inc.</w:t>
            </w:r>
          </w:p>
        </w:tc>
        <w:tc>
          <w:tcPr>
            <w:tcW w:w="489" w:type="dxa"/>
            <w:noWrap/>
            <w:hideMark/>
          </w:tcPr>
          <w:p w14:paraId="0A2FBA1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0.20</w:t>
            </w:r>
          </w:p>
        </w:tc>
        <w:tc>
          <w:tcPr>
            <w:tcW w:w="663" w:type="dxa"/>
            <w:noWrap/>
            <w:hideMark/>
          </w:tcPr>
          <w:p w14:paraId="6402C21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0.05</w:t>
            </w:r>
          </w:p>
        </w:tc>
        <w:tc>
          <w:tcPr>
            <w:tcW w:w="663" w:type="dxa"/>
            <w:noWrap/>
            <w:hideMark/>
          </w:tcPr>
          <w:p w14:paraId="58DD065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3248CF2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2E3F268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0.15</w:t>
            </w:r>
          </w:p>
        </w:tc>
        <w:tc>
          <w:tcPr>
            <w:tcW w:w="663" w:type="dxa"/>
            <w:noWrap/>
            <w:hideMark/>
          </w:tcPr>
          <w:p w14:paraId="47B6582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0.32</w:t>
            </w:r>
          </w:p>
        </w:tc>
        <w:tc>
          <w:tcPr>
            <w:tcW w:w="663" w:type="dxa"/>
            <w:noWrap/>
            <w:hideMark/>
          </w:tcPr>
          <w:p w14:paraId="39605F6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4137E13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0.23</w:t>
            </w:r>
          </w:p>
        </w:tc>
        <w:tc>
          <w:tcPr>
            <w:tcW w:w="663" w:type="dxa"/>
            <w:noWrap/>
            <w:hideMark/>
          </w:tcPr>
          <w:p w14:paraId="17C787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r>
      <w:tr w:rsidR="00260939" w:rsidRPr="00260939" w14:paraId="474136E2"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41FFCD1"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Portland General Electric Company</w:t>
            </w:r>
          </w:p>
        </w:tc>
        <w:tc>
          <w:tcPr>
            <w:tcW w:w="489" w:type="dxa"/>
            <w:noWrap/>
            <w:hideMark/>
          </w:tcPr>
          <w:p w14:paraId="5A32820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c>
          <w:tcPr>
            <w:tcW w:w="663" w:type="dxa"/>
            <w:noWrap/>
            <w:hideMark/>
          </w:tcPr>
          <w:p w14:paraId="5EB3A8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0.30</w:t>
            </w:r>
          </w:p>
        </w:tc>
        <w:tc>
          <w:tcPr>
            <w:tcW w:w="663" w:type="dxa"/>
            <w:noWrap/>
            <w:hideMark/>
          </w:tcPr>
          <w:p w14:paraId="2D57F62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0.28</w:t>
            </w:r>
          </w:p>
        </w:tc>
        <w:tc>
          <w:tcPr>
            <w:tcW w:w="663" w:type="dxa"/>
            <w:noWrap/>
            <w:hideMark/>
          </w:tcPr>
          <w:p w14:paraId="228B510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55B0FE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0212A1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0.08</w:t>
            </w:r>
          </w:p>
        </w:tc>
        <w:tc>
          <w:tcPr>
            <w:tcW w:w="663" w:type="dxa"/>
            <w:noWrap/>
            <w:hideMark/>
          </w:tcPr>
          <w:p w14:paraId="1FCC0BA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71E76A9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55F230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r w:rsidR="00260939" w:rsidRPr="00260939" w14:paraId="4640D9A2"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BE34921"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JEA</w:t>
            </w:r>
          </w:p>
        </w:tc>
        <w:tc>
          <w:tcPr>
            <w:tcW w:w="489" w:type="dxa"/>
            <w:noWrap/>
            <w:hideMark/>
          </w:tcPr>
          <w:p w14:paraId="497946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0.12</w:t>
            </w:r>
          </w:p>
        </w:tc>
        <w:tc>
          <w:tcPr>
            <w:tcW w:w="663" w:type="dxa"/>
            <w:noWrap/>
            <w:hideMark/>
          </w:tcPr>
          <w:p w14:paraId="4C8C38C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3A6B9EA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4DB1935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306ED01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2632E25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0.05</w:t>
            </w:r>
          </w:p>
        </w:tc>
        <w:tc>
          <w:tcPr>
            <w:tcW w:w="663" w:type="dxa"/>
            <w:noWrap/>
            <w:hideMark/>
          </w:tcPr>
          <w:p w14:paraId="0923175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c>
          <w:tcPr>
            <w:tcW w:w="663" w:type="dxa"/>
            <w:noWrap/>
            <w:hideMark/>
          </w:tcPr>
          <w:p w14:paraId="2242A99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726FCE0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r>
      <w:tr w:rsidR="00260939" w:rsidRPr="00260939" w14:paraId="0A74994B"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0EA0114"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City of Tacoma, Department of Public Utilities, Light Division</w:t>
            </w:r>
          </w:p>
        </w:tc>
        <w:tc>
          <w:tcPr>
            <w:tcW w:w="489" w:type="dxa"/>
            <w:noWrap/>
            <w:hideMark/>
          </w:tcPr>
          <w:p w14:paraId="6C38455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0.01</w:t>
            </w:r>
          </w:p>
        </w:tc>
        <w:tc>
          <w:tcPr>
            <w:tcW w:w="663" w:type="dxa"/>
            <w:noWrap/>
            <w:hideMark/>
          </w:tcPr>
          <w:p w14:paraId="45C8013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24E3EE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5752DB2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20AE898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62DF3E3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0.03</w:t>
            </w:r>
          </w:p>
        </w:tc>
        <w:tc>
          <w:tcPr>
            <w:tcW w:w="663" w:type="dxa"/>
            <w:noWrap/>
            <w:hideMark/>
          </w:tcPr>
          <w:p w14:paraId="2962779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419354E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4C2D8C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bl>
    <w:p w14:paraId="48F27B00" w14:textId="6B05CFD5" w:rsidR="00260939" w:rsidRDefault="00260939" w:rsidP="00F9434B"/>
    <w:p w14:paraId="5903106B" w14:textId="77777777" w:rsidR="00260939" w:rsidRDefault="00260939">
      <w:r>
        <w:br w:type="page"/>
      </w:r>
    </w:p>
    <w:p w14:paraId="4E15A54C" w14:textId="3EFE9A73" w:rsidR="00840B1A" w:rsidRDefault="00840B1A" w:rsidP="00840B1A">
      <w:pPr>
        <w:pStyle w:val="Caption"/>
        <w:keepNext/>
      </w:pPr>
      <w:bookmarkStart w:id="9" w:name="_Ref179611009"/>
      <w:r>
        <w:lastRenderedPageBreak/>
        <w:t xml:space="preserve">Table </w:t>
      </w:r>
      <w:r w:rsidR="00630ADB">
        <w:fldChar w:fldCharType="begin"/>
      </w:r>
      <w:r w:rsidR="00630ADB">
        <w:instrText xml:space="preserve"> SEQ Table \* ARABIC </w:instrText>
      </w:r>
      <w:r w:rsidR="00630ADB">
        <w:fldChar w:fldCharType="separate"/>
      </w:r>
      <w:r w:rsidR="00630ADB">
        <w:rPr>
          <w:noProof/>
        </w:rPr>
        <w:t>3</w:t>
      </w:r>
      <w:r w:rsidR="00630ADB">
        <w:rPr>
          <w:noProof/>
        </w:rPr>
        <w:fldChar w:fldCharType="end"/>
      </w:r>
      <w:bookmarkEnd w:id="9"/>
      <w:r>
        <w:t xml:space="preserve"> </w:t>
      </w:r>
      <w:r w:rsidR="00C32C83">
        <w:t>Import reliance-diversity metric for U.S. BAs</w:t>
      </w:r>
      <w:r w:rsidR="00E41D5D">
        <w:t>.</w:t>
      </w:r>
    </w:p>
    <w:tbl>
      <w:tblPr>
        <w:tblStyle w:val="GridTable4-Accent5"/>
        <w:tblW w:w="12268" w:type="dxa"/>
        <w:tblLook w:val="04A0" w:firstRow="1" w:lastRow="0" w:firstColumn="1" w:lastColumn="0" w:noHBand="0" w:noVBand="1"/>
      </w:tblPr>
      <w:tblGrid>
        <w:gridCol w:w="6295"/>
        <w:gridCol w:w="669"/>
        <w:gridCol w:w="663"/>
        <w:gridCol w:w="663"/>
        <w:gridCol w:w="663"/>
        <w:gridCol w:w="663"/>
        <w:gridCol w:w="663"/>
        <w:gridCol w:w="663"/>
        <w:gridCol w:w="663"/>
        <w:gridCol w:w="663"/>
      </w:tblGrid>
      <w:tr w:rsidR="00840B1A" w:rsidRPr="00840B1A" w14:paraId="0A85988E" w14:textId="77777777" w:rsidTr="00F5744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A07C9CC" w14:textId="77777777" w:rsidR="00840B1A" w:rsidRPr="00840B1A" w:rsidRDefault="00840B1A" w:rsidP="00840B1A">
            <w:pPr>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Name</w:t>
            </w:r>
          </w:p>
        </w:tc>
        <w:tc>
          <w:tcPr>
            <w:tcW w:w="669" w:type="dxa"/>
            <w:noWrap/>
            <w:hideMark/>
          </w:tcPr>
          <w:p w14:paraId="67D55812"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Total</w:t>
            </w:r>
          </w:p>
        </w:tc>
        <w:tc>
          <w:tcPr>
            <w:tcW w:w="663" w:type="dxa"/>
            <w:noWrap/>
            <w:hideMark/>
          </w:tcPr>
          <w:p w14:paraId="7EA096E2"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2016</w:t>
            </w:r>
          </w:p>
        </w:tc>
        <w:tc>
          <w:tcPr>
            <w:tcW w:w="663" w:type="dxa"/>
            <w:noWrap/>
            <w:hideMark/>
          </w:tcPr>
          <w:p w14:paraId="71C94EF7"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2017</w:t>
            </w:r>
          </w:p>
        </w:tc>
        <w:tc>
          <w:tcPr>
            <w:tcW w:w="663" w:type="dxa"/>
            <w:noWrap/>
            <w:hideMark/>
          </w:tcPr>
          <w:p w14:paraId="52E7451A"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2018</w:t>
            </w:r>
          </w:p>
        </w:tc>
        <w:tc>
          <w:tcPr>
            <w:tcW w:w="663" w:type="dxa"/>
            <w:noWrap/>
            <w:hideMark/>
          </w:tcPr>
          <w:p w14:paraId="0D52DB87"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2019</w:t>
            </w:r>
          </w:p>
        </w:tc>
        <w:tc>
          <w:tcPr>
            <w:tcW w:w="663" w:type="dxa"/>
            <w:noWrap/>
            <w:hideMark/>
          </w:tcPr>
          <w:p w14:paraId="3EBC7ECB"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2020</w:t>
            </w:r>
          </w:p>
        </w:tc>
        <w:tc>
          <w:tcPr>
            <w:tcW w:w="663" w:type="dxa"/>
            <w:noWrap/>
            <w:hideMark/>
          </w:tcPr>
          <w:p w14:paraId="605906CA"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2021</w:t>
            </w:r>
          </w:p>
        </w:tc>
        <w:tc>
          <w:tcPr>
            <w:tcW w:w="663" w:type="dxa"/>
            <w:noWrap/>
            <w:hideMark/>
          </w:tcPr>
          <w:p w14:paraId="52665371"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2022</w:t>
            </w:r>
          </w:p>
        </w:tc>
        <w:tc>
          <w:tcPr>
            <w:tcW w:w="663" w:type="dxa"/>
            <w:noWrap/>
            <w:hideMark/>
          </w:tcPr>
          <w:p w14:paraId="3A9BEAA5"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2023</w:t>
            </w:r>
          </w:p>
        </w:tc>
      </w:tr>
      <w:tr w:rsidR="00840B1A" w:rsidRPr="00840B1A" w14:paraId="56A0D1FF"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23A468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California Independent System Operator</w:t>
            </w:r>
          </w:p>
        </w:tc>
        <w:tc>
          <w:tcPr>
            <w:tcW w:w="669" w:type="dxa"/>
            <w:noWrap/>
            <w:hideMark/>
          </w:tcPr>
          <w:p w14:paraId="50B11CD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0.45</w:t>
            </w:r>
          </w:p>
        </w:tc>
        <w:tc>
          <w:tcPr>
            <w:tcW w:w="663" w:type="dxa"/>
            <w:noWrap/>
            <w:hideMark/>
          </w:tcPr>
          <w:p w14:paraId="35AD000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0.48</w:t>
            </w:r>
          </w:p>
        </w:tc>
        <w:tc>
          <w:tcPr>
            <w:tcW w:w="663" w:type="dxa"/>
            <w:noWrap/>
            <w:hideMark/>
          </w:tcPr>
          <w:p w14:paraId="48E62FA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0.45</w:t>
            </w:r>
          </w:p>
        </w:tc>
        <w:tc>
          <w:tcPr>
            <w:tcW w:w="663" w:type="dxa"/>
            <w:noWrap/>
            <w:hideMark/>
          </w:tcPr>
          <w:p w14:paraId="41BE2A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3778EE7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0.43</w:t>
            </w:r>
          </w:p>
        </w:tc>
        <w:tc>
          <w:tcPr>
            <w:tcW w:w="663" w:type="dxa"/>
            <w:noWrap/>
            <w:hideMark/>
          </w:tcPr>
          <w:p w14:paraId="35622C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0.49</w:t>
            </w:r>
          </w:p>
        </w:tc>
        <w:tc>
          <w:tcPr>
            <w:tcW w:w="663" w:type="dxa"/>
            <w:noWrap/>
            <w:hideMark/>
          </w:tcPr>
          <w:p w14:paraId="1263EDB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0.48</w:t>
            </w:r>
          </w:p>
        </w:tc>
        <w:tc>
          <w:tcPr>
            <w:tcW w:w="663" w:type="dxa"/>
            <w:noWrap/>
            <w:hideMark/>
          </w:tcPr>
          <w:p w14:paraId="1EA3C4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0BC66F1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0.27</w:t>
            </w:r>
          </w:p>
        </w:tc>
      </w:tr>
      <w:tr w:rsidR="00840B1A" w:rsidRPr="00840B1A" w14:paraId="6B0C0243"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2A4FB2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Tucson Electric Power</w:t>
            </w:r>
          </w:p>
        </w:tc>
        <w:tc>
          <w:tcPr>
            <w:tcW w:w="669" w:type="dxa"/>
            <w:noWrap/>
            <w:hideMark/>
          </w:tcPr>
          <w:p w14:paraId="3E43E7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4E01D12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0.51</w:t>
            </w:r>
          </w:p>
        </w:tc>
        <w:tc>
          <w:tcPr>
            <w:tcW w:w="663" w:type="dxa"/>
            <w:noWrap/>
            <w:hideMark/>
          </w:tcPr>
          <w:p w14:paraId="36C0A89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0.53</w:t>
            </w:r>
          </w:p>
        </w:tc>
        <w:tc>
          <w:tcPr>
            <w:tcW w:w="663" w:type="dxa"/>
            <w:noWrap/>
            <w:hideMark/>
          </w:tcPr>
          <w:p w14:paraId="180FAAC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2C166D0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73627BB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2431F0B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2AEC0AB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3C6433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0.35</w:t>
            </w:r>
          </w:p>
        </w:tc>
      </w:tr>
      <w:tr w:rsidR="00840B1A" w:rsidRPr="00840B1A" w14:paraId="542A32B6"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6BFB80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PacifiCorp West</w:t>
            </w:r>
          </w:p>
        </w:tc>
        <w:tc>
          <w:tcPr>
            <w:tcW w:w="669" w:type="dxa"/>
            <w:noWrap/>
            <w:hideMark/>
          </w:tcPr>
          <w:p w14:paraId="4403CFC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6146694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6541587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16EB328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57FF585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79EBD00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669863A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7F33BFA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0.77</w:t>
            </w:r>
          </w:p>
        </w:tc>
        <w:tc>
          <w:tcPr>
            <w:tcW w:w="663" w:type="dxa"/>
            <w:noWrap/>
            <w:hideMark/>
          </w:tcPr>
          <w:p w14:paraId="7F4D510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1.00</w:t>
            </w:r>
          </w:p>
        </w:tc>
      </w:tr>
      <w:tr w:rsidR="00840B1A" w:rsidRPr="00840B1A" w14:paraId="20F448B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1E860B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Progress West</w:t>
            </w:r>
          </w:p>
        </w:tc>
        <w:tc>
          <w:tcPr>
            <w:tcW w:w="669" w:type="dxa"/>
            <w:noWrap/>
            <w:hideMark/>
          </w:tcPr>
          <w:p w14:paraId="7AD3E65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2E393E2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0.61</w:t>
            </w:r>
          </w:p>
        </w:tc>
        <w:tc>
          <w:tcPr>
            <w:tcW w:w="663" w:type="dxa"/>
            <w:noWrap/>
            <w:hideMark/>
          </w:tcPr>
          <w:p w14:paraId="651212D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0.63</w:t>
            </w:r>
          </w:p>
        </w:tc>
        <w:tc>
          <w:tcPr>
            <w:tcW w:w="663" w:type="dxa"/>
            <w:noWrap/>
            <w:hideMark/>
          </w:tcPr>
          <w:p w14:paraId="0169B68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0.53</w:t>
            </w:r>
          </w:p>
        </w:tc>
        <w:tc>
          <w:tcPr>
            <w:tcW w:w="663" w:type="dxa"/>
            <w:noWrap/>
            <w:hideMark/>
          </w:tcPr>
          <w:p w14:paraId="4F8CD6A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69147F1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c>
          <w:tcPr>
            <w:tcW w:w="663" w:type="dxa"/>
            <w:noWrap/>
            <w:hideMark/>
          </w:tcPr>
          <w:p w14:paraId="525B9AC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c>
          <w:tcPr>
            <w:tcW w:w="663" w:type="dxa"/>
            <w:noWrap/>
            <w:hideMark/>
          </w:tcPr>
          <w:p w14:paraId="1F4D717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9071D1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r>
      <w:tr w:rsidR="00840B1A" w:rsidRPr="00840B1A" w14:paraId="57704AB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697297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Florida, Inc.</w:t>
            </w:r>
          </w:p>
        </w:tc>
        <w:tc>
          <w:tcPr>
            <w:tcW w:w="669" w:type="dxa"/>
            <w:noWrap/>
            <w:hideMark/>
          </w:tcPr>
          <w:p w14:paraId="001F8E6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0.37</w:t>
            </w:r>
          </w:p>
        </w:tc>
        <w:tc>
          <w:tcPr>
            <w:tcW w:w="663" w:type="dxa"/>
            <w:noWrap/>
            <w:hideMark/>
          </w:tcPr>
          <w:p w14:paraId="55A6F82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018A0DB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283CF3C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4561126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0.40</w:t>
            </w:r>
          </w:p>
        </w:tc>
        <w:tc>
          <w:tcPr>
            <w:tcW w:w="663" w:type="dxa"/>
            <w:noWrap/>
            <w:hideMark/>
          </w:tcPr>
          <w:p w14:paraId="380AE69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153D452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0.35</w:t>
            </w:r>
          </w:p>
        </w:tc>
        <w:tc>
          <w:tcPr>
            <w:tcW w:w="663" w:type="dxa"/>
            <w:noWrap/>
            <w:hideMark/>
          </w:tcPr>
          <w:p w14:paraId="6A931D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28F198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r>
      <w:tr w:rsidR="00840B1A" w:rsidRPr="00840B1A" w14:paraId="785952A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9EEF0C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 Carolina Public Service Authority</w:t>
            </w:r>
          </w:p>
        </w:tc>
        <w:tc>
          <w:tcPr>
            <w:tcW w:w="669" w:type="dxa"/>
            <w:noWrap/>
            <w:hideMark/>
          </w:tcPr>
          <w:p w14:paraId="2E98A34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0.37</w:t>
            </w:r>
          </w:p>
        </w:tc>
        <w:tc>
          <w:tcPr>
            <w:tcW w:w="663" w:type="dxa"/>
            <w:noWrap/>
            <w:hideMark/>
          </w:tcPr>
          <w:p w14:paraId="30BD3E4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670AEEF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297DD33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5B1CD73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7C7A65C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7EA0421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651527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77A7B86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0.31</w:t>
            </w:r>
          </w:p>
        </w:tc>
      </w:tr>
      <w:tr w:rsidR="00840B1A" w:rsidRPr="00840B1A" w14:paraId="2DF586B2"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5C5B75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El Paso Electric Company</w:t>
            </w:r>
          </w:p>
        </w:tc>
        <w:tc>
          <w:tcPr>
            <w:tcW w:w="669" w:type="dxa"/>
            <w:noWrap/>
            <w:hideMark/>
          </w:tcPr>
          <w:p w14:paraId="5D17BEF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c>
          <w:tcPr>
            <w:tcW w:w="663" w:type="dxa"/>
            <w:noWrap/>
            <w:hideMark/>
          </w:tcPr>
          <w:p w14:paraId="7305668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313AA18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3154A91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17E6BAE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099D25E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6CC4F88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5B7EF71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0.36</w:t>
            </w:r>
          </w:p>
        </w:tc>
        <w:tc>
          <w:tcPr>
            <w:tcW w:w="663" w:type="dxa"/>
            <w:noWrap/>
            <w:hideMark/>
          </w:tcPr>
          <w:p w14:paraId="30D9C8B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r>
      <w:tr w:rsidR="00840B1A" w:rsidRPr="00840B1A" w14:paraId="7E3F7053"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F3D2452"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Avista Corporation</w:t>
            </w:r>
          </w:p>
        </w:tc>
        <w:tc>
          <w:tcPr>
            <w:tcW w:w="669" w:type="dxa"/>
            <w:noWrap/>
            <w:hideMark/>
          </w:tcPr>
          <w:p w14:paraId="27A7267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527BAAC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6D535E5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32565B5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35F9D8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4CFBB75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6FB5CD7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0.27</w:t>
            </w:r>
          </w:p>
        </w:tc>
        <w:tc>
          <w:tcPr>
            <w:tcW w:w="663" w:type="dxa"/>
            <w:noWrap/>
            <w:hideMark/>
          </w:tcPr>
          <w:p w14:paraId="2C990D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06A4E05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r>
      <w:tr w:rsidR="00840B1A" w:rsidRPr="00840B1A" w14:paraId="4CC5403C"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2C5109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Western Area Power Administration - Desert Southwest Region</w:t>
            </w:r>
          </w:p>
        </w:tc>
        <w:tc>
          <w:tcPr>
            <w:tcW w:w="669" w:type="dxa"/>
            <w:noWrap/>
            <w:hideMark/>
          </w:tcPr>
          <w:p w14:paraId="3D1B6FF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60A3262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c>
          <w:tcPr>
            <w:tcW w:w="663" w:type="dxa"/>
            <w:noWrap/>
            <w:hideMark/>
          </w:tcPr>
          <w:p w14:paraId="6DFB94A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6783FAB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4D35B26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200A835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5DA3F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967B17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1A0F01D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18F5BE1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63E161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Los Angeles Department of Water and Power</w:t>
            </w:r>
          </w:p>
        </w:tc>
        <w:tc>
          <w:tcPr>
            <w:tcW w:w="669" w:type="dxa"/>
            <w:noWrap/>
            <w:hideMark/>
          </w:tcPr>
          <w:p w14:paraId="56E13C9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19DEC32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11F1758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736850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019A0D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0E1304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0A8D1B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625BC59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0.31</w:t>
            </w:r>
          </w:p>
        </w:tc>
        <w:tc>
          <w:tcPr>
            <w:tcW w:w="663" w:type="dxa"/>
            <w:noWrap/>
            <w:hideMark/>
          </w:tcPr>
          <w:p w14:paraId="75B76DA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0.36</w:t>
            </w:r>
          </w:p>
        </w:tc>
      </w:tr>
      <w:tr w:rsidR="00840B1A" w:rsidRPr="00840B1A" w14:paraId="54B4ECAA"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68B257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Nevada Power Company</w:t>
            </w:r>
          </w:p>
        </w:tc>
        <w:tc>
          <w:tcPr>
            <w:tcW w:w="669" w:type="dxa"/>
            <w:noWrap/>
            <w:hideMark/>
          </w:tcPr>
          <w:p w14:paraId="432A2D2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441273C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12F1626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5157F41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363BC97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2EAC62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265334A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611803B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715493B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07D9C051"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BE80D59"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Idaho Power Company</w:t>
            </w:r>
          </w:p>
        </w:tc>
        <w:tc>
          <w:tcPr>
            <w:tcW w:w="669" w:type="dxa"/>
            <w:noWrap/>
            <w:hideMark/>
          </w:tcPr>
          <w:p w14:paraId="5054F62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667358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720EAB8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37D65C8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35A8EA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2C3A39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50B9D22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03C00DE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79E2AB7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r>
      <w:tr w:rsidR="00840B1A" w:rsidRPr="00840B1A" w14:paraId="334D4797"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7B3981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Puget Sound Energy, Inc.</w:t>
            </w:r>
          </w:p>
        </w:tc>
        <w:tc>
          <w:tcPr>
            <w:tcW w:w="669" w:type="dxa"/>
            <w:noWrap/>
            <w:hideMark/>
          </w:tcPr>
          <w:p w14:paraId="4FDEEB8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35FE317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3BDA95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4E16E83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5FD67B7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424A572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38FE100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05B940A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2EF2CA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r>
      <w:tr w:rsidR="00840B1A" w:rsidRPr="00840B1A" w14:paraId="6E736B18"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6C02CF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New York Independent System Operator</w:t>
            </w:r>
          </w:p>
        </w:tc>
        <w:tc>
          <w:tcPr>
            <w:tcW w:w="669" w:type="dxa"/>
            <w:noWrap/>
            <w:hideMark/>
          </w:tcPr>
          <w:p w14:paraId="0589FA0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19492F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27B8452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6342333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7DB4F3A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21F4C3A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4602EA7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78E96FF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2E78E19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r>
      <w:tr w:rsidR="00840B1A" w:rsidRPr="00840B1A" w14:paraId="3D8EC79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CE0609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Arizona Public Service Company</w:t>
            </w:r>
          </w:p>
        </w:tc>
        <w:tc>
          <w:tcPr>
            <w:tcW w:w="669" w:type="dxa"/>
            <w:noWrap/>
            <w:hideMark/>
          </w:tcPr>
          <w:p w14:paraId="26E772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18254D2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A0E84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9F0869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B69029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6950E4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4F50C4A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689624C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630E7A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r>
      <w:tr w:rsidR="00840B1A" w:rsidRPr="00840B1A" w14:paraId="269C6100"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98CB2F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ISO New England</w:t>
            </w:r>
          </w:p>
        </w:tc>
        <w:tc>
          <w:tcPr>
            <w:tcW w:w="669" w:type="dxa"/>
            <w:noWrap/>
            <w:hideMark/>
          </w:tcPr>
          <w:p w14:paraId="15BB95C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586D2B5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6F255A3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0703ACA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330267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E4EDF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32E2664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279C39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0450B0D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r>
      <w:tr w:rsidR="00840B1A" w:rsidRPr="00840B1A" w14:paraId="7E5EA3D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842086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Balancing Authority of Northern California</w:t>
            </w:r>
          </w:p>
        </w:tc>
        <w:tc>
          <w:tcPr>
            <w:tcW w:w="669" w:type="dxa"/>
            <w:noWrap/>
            <w:hideMark/>
          </w:tcPr>
          <w:p w14:paraId="784840B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06E861C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1BFC2EA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3497170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235A8D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63E4156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401707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964AA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76BAFBE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26090F88"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FC01732"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Portland General Electric Company</w:t>
            </w:r>
          </w:p>
        </w:tc>
        <w:tc>
          <w:tcPr>
            <w:tcW w:w="669" w:type="dxa"/>
            <w:noWrap/>
            <w:hideMark/>
          </w:tcPr>
          <w:p w14:paraId="574693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996B55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35B81B9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7306ED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6BD0828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92CA44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00A7F26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60BC18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4C0CE70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7B1C75B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4A589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Midcontinent Independent System Operator, Inc.</w:t>
            </w:r>
          </w:p>
        </w:tc>
        <w:tc>
          <w:tcPr>
            <w:tcW w:w="669" w:type="dxa"/>
            <w:noWrap/>
            <w:hideMark/>
          </w:tcPr>
          <w:p w14:paraId="1D8B989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0F691F7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E8C67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5312797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06CB2AA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B2FAFF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2F7D8CA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E892C1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6F6E72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r>
      <w:tr w:rsidR="00840B1A" w:rsidRPr="00840B1A" w14:paraId="37A8CAFF"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DDCA35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Seattle City Light</w:t>
            </w:r>
          </w:p>
        </w:tc>
        <w:tc>
          <w:tcPr>
            <w:tcW w:w="669" w:type="dxa"/>
            <w:noWrap/>
            <w:hideMark/>
          </w:tcPr>
          <w:p w14:paraId="6473A49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437EEA9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76FB38C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1EBD85B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67C0183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4F6D180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273F5A3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44741CF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587D9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r>
      <w:tr w:rsidR="00840B1A" w:rsidRPr="00840B1A" w14:paraId="20AED347"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18078E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Service Company of New Mexico</w:t>
            </w:r>
          </w:p>
        </w:tc>
        <w:tc>
          <w:tcPr>
            <w:tcW w:w="669" w:type="dxa"/>
            <w:noWrap/>
            <w:hideMark/>
          </w:tcPr>
          <w:p w14:paraId="18ABB8D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0EE0134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54FB9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E89340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109E01E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18BBE3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7B114EC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6208E5C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0A635B3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r>
      <w:tr w:rsidR="00840B1A" w:rsidRPr="00840B1A" w14:paraId="27F5C48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DEC08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PacifiCorp East</w:t>
            </w:r>
          </w:p>
        </w:tc>
        <w:tc>
          <w:tcPr>
            <w:tcW w:w="669" w:type="dxa"/>
            <w:noWrap/>
            <w:hideMark/>
          </w:tcPr>
          <w:p w14:paraId="1301DDA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9A1BBC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5CAD35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7BE8888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22CA26F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4044B01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262503B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50CE37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A7E3C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r>
      <w:tr w:rsidR="00840B1A" w:rsidRPr="00840B1A" w14:paraId="521165BE"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A81E9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Associated Electric Cooperative, Inc.</w:t>
            </w:r>
          </w:p>
        </w:tc>
        <w:tc>
          <w:tcPr>
            <w:tcW w:w="669" w:type="dxa"/>
            <w:noWrap/>
            <w:hideMark/>
          </w:tcPr>
          <w:p w14:paraId="04DA63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91A647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48C59B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75B3F7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29F6F1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97650B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3B02C07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739E5C1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1D4097E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r>
      <w:tr w:rsidR="00840B1A" w:rsidRPr="00840B1A" w14:paraId="13BEFB35"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079138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Louisville Gas and Electric Company and Kentucky Utilities Company</w:t>
            </w:r>
          </w:p>
        </w:tc>
        <w:tc>
          <w:tcPr>
            <w:tcW w:w="669" w:type="dxa"/>
            <w:noWrap/>
            <w:hideMark/>
          </w:tcPr>
          <w:p w14:paraId="3FEECBE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712318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0037CC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0D6017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D02BD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D25C82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4D7B95F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193622B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4CDEA07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r>
      <w:tr w:rsidR="00840B1A" w:rsidRPr="00840B1A" w14:paraId="66C74ED2"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0B7CB0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Florida Municipal Power Pool</w:t>
            </w:r>
          </w:p>
        </w:tc>
        <w:tc>
          <w:tcPr>
            <w:tcW w:w="669" w:type="dxa"/>
            <w:noWrap/>
            <w:hideMark/>
          </w:tcPr>
          <w:p w14:paraId="45F50D9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6517DE6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5FBB1EB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2896D09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CCBFBF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88E939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0C0E5A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337947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64817D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r>
      <w:tr w:rsidR="00840B1A" w:rsidRPr="00840B1A" w14:paraId="08EA36CA"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727C59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Progress East</w:t>
            </w:r>
          </w:p>
        </w:tc>
        <w:tc>
          <w:tcPr>
            <w:tcW w:w="669" w:type="dxa"/>
            <w:noWrap/>
            <w:hideMark/>
          </w:tcPr>
          <w:p w14:paraId="1BD378D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1ACF7AD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4A76BE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5E478A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68F58DC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F4D40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41A39DE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3CED1FB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6FE6EB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r>
      <w:tr w:rsidR="00840B1A" w:rsidRPr="00840B1A" w14:paraId="7F3CD584"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C4498F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Carolinas</w:t>
            </w:r>
          </w:p>
        </w:tc>
        <w:tc>
          <w:tcPr>
            <w:tcW w:w="669" w:type="dxa"/>
            <w:noWrap/>
            <w:hideMark/>
          </w:tcPr>
          <w:p w14:paraId="0EACC3F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4E7008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7D0CD39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01D8AA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85C802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FAC680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41EA51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6AF213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479A22F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r>
      <w:tr w:rsidR="00840B1A" w:rsidRPr="00840B1A" w14:paraId="5F89C347"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BD81D1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JEA</w:t>
            </w:r>
          </w:p>
        </w:tc>
        <w:tc>
          <w:tcPr>
            <w:tcW w:w="669" w:type="dxa"/>
            <w:noWrap/>
            <w:hideMark/>
          </w:tcPr>
          <w:p w14:paraId="0CE0EA2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B848CA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713AC8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8CE2E5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8D509D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FE73A1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54ACA56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7E513A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0D5060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r>
      <w:tr w:rsidR="00840B1A" w:rsidRPr="00840B1A" w14:paraId="4D49E831"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3156BEF"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Florida Power &amp; Light Co.</w:t>
            </w:r>
          </w:p>
        </w:tc>
        <w:tc>
          <w:tcPr>
            <w:tcW w:w="669" w:type="dxa"/>
            <w:noWrap/>
            <w:hideMark/>
          </w:tcPr>
          <w:p w14:paraId="27DA944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7783E1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2AF1E1D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1C7138B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E998E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40B5C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2D92FC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10AD96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8443F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BE8CA3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75D7E7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lastRenderedPageBreak/>
              <w:t>Salt River Project Agricultural Improvement and Power District</w:t>
            </w:r>
          </w:p>
        </w:tc>
        <w:tc>
          <w:tcPr>
            <w:tcW w:w="669" w:type="dxa"/>
            <w:noWrap/>
            <w:hideMark/>
          </w:tcPr>
          <w:p w14:paraId="48C851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7FD9B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6748C8C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6E4B713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5F42BBD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E2D334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715BEA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840EB6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D93D89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22BF3ED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CA32E2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Service Company of Colorado</w:t>
            </w:r>
          </w:p>
        </w:tc>
        <w:tc>
          <w:tcPr>
            <w:tcW w:w="669" w:type="dxa"/>
            <w:noWrap/>
            <w:hideMark/>
          </w:tcPr>
          <w:p w14:paraId="1B2F27A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7B11DBA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724A4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3CCA43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CC4587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383F8C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8EB887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EE004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32B649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70E58D06"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DDB72B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Southwest Power Pool</w:t>
            </w:r>
          </w:p>
        </w:tc>
        <w:tc>
          <w:tcPr>
            <w:tcW w:w="669" w:type="dxa"/>
            <w:noWrap/>
            <w:hideMark/>
          </w:tcPr>
          <w:p w14:paraId="06CD76F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35954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510136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4C546B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F377ED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F0A41E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78EB9B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977A5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E0C820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r>
      <w:tr w:rsidR="00840B1A" w:rsidRPr="00840B1A" w14:paraId="553AA330"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16025D4" w14:textId="77777777" w:rsidR="00840B1A" w:rsidRPr="00F5744F" w:rsidRDefault="00840B1A" w:rsidP="00840B1A">
            <w:pPr>
              <w:rPr>
                <w:rFonts w:ascii="Aptos Narrow" w:eastAsia="Times New Roman" w:hAnsi="Aptos Narrow" w:cs="Times New Roman"/>
                <w:b w:val="0"/>
                <w:bCs w:val="0"/>
                <w:color w:val="000000"/>
              </w:rPr>
            </w:pPr>
            <w:proofErr w:type="spellStart"/>
            <w:r w:rsidRPr="00F5744F">
              <w:rPr>
                <w:rFonts w:ascii="Aptos Narrow" w:eastAsia="Times New Roman" w:hAnsi="Aptos Narrow" w:cs="Times New Roman"/>
                <w:b w:val="0"/>
                <w:bCs w:val="0"/>
                <w:color w:val="000000"/>
              </w:rPr>
              <w:t>NorthWestern</w:t>
            </w:r>
            <w:proofErr w:type="spellEnd"/>
            <w:r w:rsidRPr="00F5744F">
              <w:rPr>
                <w:rFonts w:ascii="Aptos Narrow" w:eastAsia="Times New Roman" w:hAnsi="Aptos Narrow" w:cs="Times New Roman"/>
                <w:b w:val="0"/>
                <w:bCs w:val="0"/>
                <w:color w:val="000000"/>
              </w:rPr>
              <w:t xml:space="preserve"> Corporation</w:t>
            </w:r>
          </w:p>
        </w:tc>
        <w:tc>
          <w:tcPr>
            <w:tcW w:w="669" w:type="dxa"/>
            <w:noWrap/>
            <w:hideMark/>
          </w:tcPr>
          <w:p w14:paraId="5097F93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7140FD4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541C3D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70305B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9FF2B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D44F2E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2927263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5DF0E7F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DFFB11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E160AE2"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59359C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Utility District No. 2 of Grant County, Washington</w:t>
            </w:r>
          </w:p>
        </w:tc>
        <w:tc>
          <w:tcPr>
            <w:tcW w:w="669" w:type="dxa"/>
            <w:noWrap/>
            <w:hideMark/>
          </w:tcPr>
          <w:p w14:paraId="40E906D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6B8E34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DF45EA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62E0258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C0C855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764E1A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432A01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7534379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F45A6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r>
      <w:tr w:rsidR="00840B1A" w:rsidRPr="00840B1A" w14:paraId="2966011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EAC7A50" w14:textId="77777777" w:rsidR="00840B1A" w:rsidRPr="00F5744F" w:rsidRDefault="00840B1A" w:rsidP="00840B1A">
            <w:pPr>
              <w:rPr>
                <w:rFonts w:ascii="Aptos Narrow" w:eastAsia="Times New Roman" w:hAnsi="Aptos Narrow" w:cs="Times New Roman"/>
                <w:b w:val="0"/>
                <w:bCs w:val="0"/>
                <w:color w:val="000000"/>
              </w:rPr>
            </w:pPr>
            <w:proofErr w:type="spellStart"/>
            <w:r w:rsidRPr="00F5744F">
              <w:rPr>
                <w:rFonts w:ascii="Aptos Narrow" w:eastAsia="Times New Roman" w:hAnsi="Aptos Narrow" w:cs="Times New Roman"/>
                <w:b w:val="0"/>
                <w:bCs w:val="0"/>
                <w:color w:val="000000"/>
              </w:rPr>
              <w:t>PowerSouth</w:t>
            </w:r>
            <w:proofErr w:type="spellEnd"/>
            <w:r w:rsidRPr="00F5744F">
              <w:rPr>
                <w:rFonts w:ascii="Aptos Narrow" w:eastAsia="Times New Roman" w:hAnsi="Aptos Narrow" w:cs="Times New Roman"/>
                <w:b w:val="0"/>
                <w:bCs w:val="0"/>
                <w:color w:val="000000"/>
              </w:rPr>
              <w:t xml:space="preserve"> Energy Cooperative</w:t>
            </w:r>
          </w:p>
        </w:tc>
        <w:tc>
          <w:tcPr>
            <w:tcW w:w="669" w:type="dxa"/>
            <w:noWrap/>
            <w:hideMark/>
          </w:tcPr>
          <w:p w14:paraId="09DD0C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02FC8D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4399CE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14522D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4572B1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F1CCAD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E9DE6B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AA8705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AEB8BF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15D772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94582B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Tennessee Valley Authority</w:t>
            </w:r>
          </w:p>
        </w:tc>
        <w:tc>
          <w:tcPr>
            <w:tcW w:w="669" w:type="dxa"/>
            <w:noWrap/>
            <w:hideMark/>
          </w:tcPr>
          <w:p w14:paraId="0AB45D6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47017B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B4B163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A9FCE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FCA05B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4492E8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568A684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6CF3BF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73C5A3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r>
      <w:tr w:rsidR="00840B1A" w:rsidRPr="00840B1A" w14:paraId="56A7C72C"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9B1BD9C"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Tampa Electric Company</w:t>
            </w:r>
          </w:p>
        </w:tc>
        <w:tc>
          <w:tcPr>
            <w:tcW w:w="669" w:type="dxa"/>
            <w:noWrap/>
            <w:hideMark/>
          </w:tcPr>
          <w:p w14:paraId="02C3CF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CF6AD0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E59A1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F87D59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91AEBA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8D077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093F4B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720D61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1C3267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r>
      <w:tr w:rsidR="00840B1A" w:rsidRPr="00840B1A" w14:paraId="135F4F54"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D90CD4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City of Tacoma, Department of Public Utilities, Light Division</w:t>
            </w:r>
          </w:p>
        </w:tc>
        <w:tc>
          <w:tcPr>
            <w:tcW w:w="669" w:type="dxa"/>
            <w:noWrap/>
            <w:hideMark/>
          </w:tcPr>
          <w:p w14:paraId="37211F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CD095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909701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A1D44E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FE9D8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916B99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7D9E89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DBD88F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B3BE22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F312F98"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A731199"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Dominion Energy South Carolina, Inc.</w:t>
            </w:r>
          </w:p>
        </w:tc>
        <w:tc>
          <w:tcPr>
            <w:tcW w:w="669" w:type="dxa"/>
            <w:noWrap/>
            <w:hideMark/>
          </w:tcPr>
          <w:p w14:paraId="3B76EA6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C0A763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866C45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986668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1893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6DDC878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048121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7EB0AA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F04334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29FA881"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CFBC89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Bonneville Power Administration</w:t>
            </w:r>
          </w:p>
        </w:tc>
        <w:tc>
          <w:tcPr>
            <w:tcW w:w="669" w:type="dxa"/>
            <w:noWrap/>
            <w:hideMark/>
          </w:tcPr>
          <w:p w14:paraId="624B11A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F255B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FCE4F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8CADB3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94807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B414BF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30C08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FB7212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F7EE83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6CA7014F"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2100F8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Electric Reliability Council of Texas, Inc.</w:t>
            </w:r>
          </w:p>
        </w:tc>
        <w:tc>
          <w:tcPr>
            <w:tcW w:w="669" w:type="dxa"/>
            <w:noWrap/>
            <w:hideMark/>
          </w:tcPr>
          <w:p w14:paraId="7D300C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764266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8218B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9EF41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AC2B1B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A28A58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63030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57845B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2164D7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68A558D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DEA122F"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PJM Interconnection, LLC</w:t>
            </w:r>
          </w:p>
        </w:tc>
        <w:tc>
          <w:tcPr>
            <w:tcW w:w="669" w:type="dxa"/>
            <w:noWrap/>
            <w:hideMark/>
          </w:tcPr>
          <w:p w14:paraId="77C870D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F9E95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1D325C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C5C5B7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E2CE15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ACD47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034610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47C565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10A06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68E1B44"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A4F0B4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Southern Company Services, Inc. - Trans</w:t>
            </w:r>
          </w:p>
        </w:tc>
        <w:tc>
          <w:tcPr>
            <w:tcW w:w="669" w:type="dxa"/>
            <w:noWrap/>
            <w:hideMark/>
          </w:tcPr>
          <w:p w14:paraId="356F5E7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C8872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99A55A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0D3C4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7225EC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3C9A334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2AE463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2C7BB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36BB8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1BD6119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4B8BD13"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Western Area Power Administration - Rocky Mountain Region</w:t>
            </w:r>
          </w:p>
        </w:tc>
        <w:tc>
          <w:tcPr>
            <w:tcW w:w="669" w:type="dxa"/>
            <w:noWrap/>
            <w:hideMark/>
          </w:tcPr>
          <w:p w14:paraId="0E3A2C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8C2CB8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40806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2E525F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BEE1E3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90AFC1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5773C1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A49A19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5C9DAA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bl>
    <w:p w14:paraId="5AA4455C" w14:textId="140C3B3F" w:rsidR="006952FC" w:rsidRDefault="006952FC" w:rsidP="00F9434B"/>
    <w:p w14:paraId="344993D0" w14:textId="77777777" w:rsidR="006952FC" w:rsidRDefault="006952FC">
      <w:r>
        <w:br w:type="page"/>
      </w:r>
    </w:p>
    <w:p w14:paraId="11E77DE0" w14:textId="778B990B" w:rsidR="00630ADB" w:rsidRDefault="00630ADB" w:rsidP="00630ADB">
      <w:pPr>
        <w:pStyle w:val="Caption"/>
        <w:keepNext/>
      </w:pPr>
      <w:bookmarkStart w:id="10" w:name="_Ref183551621"/>
      <w:r>
        <w:lastRenderedPageBreak/>
        <w:t xml:space="preserve">Table </w:t>
      </w:r>
      <w:r>
        <w:fldChar w:fldCharType="begin"/>
      </w:r>
      <w:r>
        <w:instrText xml:space="preserve"> SEQ Table \* ARABIC </w:instrText>
      </w:r>
      <w:r>
        <w:fldChar w:fldCharType="separate"/>
      </w:r>
      <w:r>
        <w:rPr>
          <w:noProof/>
        </w:rPr>
        <w:t>4</w:t>
      </w:r>
      <w:r>
        <w:rPr>
          <w:noProof/>
        </w:rPr>
        <w:fldChar w:fldCharType="end"/>
      </w:r>
      <w:bookmarkEnd w:id="10"/>
      <w:r>
        <w:t xml:space="preserve"> Import shares during high net load periods </w:t>
      </w:r>
      <w:r w:rsidR="00A679F1">
        <w:t xml:space="preserve">(&gt;=p95) </w:t>
      </w:r>
      <w:r>
        <w:t>compared to import shares during all periods by US balancing authority, 2018-2023.</w:t>
      </w:r>
    </w:p>
    <w:tbl>
      <w:tblPr>
        <w:tblStyle w:val="GridTable4-Accent1"/>
        <w:tblW w:w="11561" w:type="dxa"/>
        <w:tblLook w:val="04A0" w:firstRow="1" w:lastRow="0" w:firstColumn="1" w:lastColumn="0" w:noHBand="0" w:noVBand="1"/>
      </w:tblPr>
      <w:tblGrid>
        <w:gridCol w:w="6336"/>
        <w:gridCol w:w="2345"/>
        <w:gridCol w:w="90"/>
        <w:gridCol w:w="1530"/>
        <w:gridCol w:w="90"/>
        <w:gridCol w:w="1177"/>
      </w:tblGrid>
      <w:tr w:rsidR="00D6341A" w:rsidRPr="00D0785F" w14:paraId="5BFFFA70" w14:textId="77777777" w:rsidTr="001A669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4875B4F" w14:textId="77777777" w:rsidR="00D0785F" w:rsidRPr="00D0785F" w:rsidRDefault="00D0785F" w:rsidP="00D0785F">
            <w:pPr>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Name</w:t>
            </w:r>
          </w:p>
        </w:tc>
        <w:tc>
          <w:tcPr>
            <w:tcW w:w="2435" w:type="dxa"/>
            <w:gridSpan w:val="2"/>
            <w:noWrap/>
            <w:hideMark/>
          </w:tcPr>
          <w:p w14:paraId="77C6BA24" w14:textId="1BB8C342"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 xml:space="preserve">Average Import Share </w:t>
            </w:r>
            <w:r w:rsidR="006F42C9">
              <w:rPr>
                <w:rFonts w:ascii="Aptos Narrow" w:eastAsia="Times New Roman" w:hAnsi="Aptos Narrow" w:cs="Times New Roman"/>
                <w:color w:val="FFFFFF"/>
              </w:rPr>
              <w:t>with</w:t>
            </w:r>
            <w:r w:rsidRPr="00D0785F">
              <w:rPr>
                <w:rFonts w:ascii="Aptos Narrow" w:eastAsia="Times New Roman" w:hAnsi="Aptos Narrow" w:cs="Times New Roman"/>
                <w:color w:val="FFFFFF"/>
              </w:rPr>
              <w:t xml:space="preserve"> High Net Load</w:t>
            </w:r>
          </w:p>
        </w:tc>
        <w:tc>
          <w:tcPr>
            <w:tcW w:w="1620" w:type="dxa"/>
            <w:gridSpan w:val="2"/>
            <w:noWrap/>
            <w:hideMark/>
          </w:tcPr>
          <w:p w14:paraId="1DDFEC1E" w14:textId="77777777"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Average Import Share</w:t>
            </w:r>
          </w:p>
        </w:tc>
        <w:tc>
          <w:tcPr>
            <w:tcW w:w="1170" w:type="dxa"/>
            <w:noWrap/>
            <w:hideMark/>
          </w:tcPr>
          <w:p w14:paraId="32720A40" w14:textId="77777777"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Difference</w:t>
            </w:r>
          </w:p>
        </w:tc>
      </w:tr>
      <w:tr w:rsidR="00D6341A" w:rsidRPr="00D0785F" w14:paraId="5CA88914"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6377594"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PacifiCorp West</w:t>
            </w:r>
          </w:p>
        </w:tc>
        <w:tc>
          <w:tcPr>
            <w:tcW w:w="2345" w:type="dxa"/>
            <w:noWrap/>
            <w:hideMark/>
          </w:tcPr>
          <w:p w14:paraId="18A66EE8" w14:textId="60370C5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w:t>
            </w:r>
            <w:r w:rsidR="00E33DB5">
              <w:rPr>
                <w:rFonts w:ascii="Aptos Narrow" w:eastAsia="Times New Roman" w:hAnsi="Aptos Narrow" w:cs="Times New Roman"/>
                <w:color w:val="000000"/>
              </w:rPr>
              <w:t>0</w:t>
            </w:r>
          </w:p>
        </w:tc>
        <w:tc>
          <w:tcPr>
            <w:tcW w:w="1620" w:type="dxa"/>
            <w:gridSpan w:val="2"/>
            <w:noWrap/>
            <w:hideMark/>
          </w:tcPr>
          <w:p w14:paraId="43F9805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0.46</w:t>
            </w:r>
          </w:p>
        </w:tc>
        <w:tc>
          <w:tcPr>
            <w:tcW w:w="1260" w:type="dxa"/>
            <w:gridSpan w:val="2"/>
            <w:noWrap/>
            <w:hideMark/>
          </w:tcPr>
          <w:p w14:paraId="55BD5D1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r>
      <w:tr w:rsidR="00D6341A" w:rsidRPr="00D0785F" w14:paraId="10749154"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89FA2AD"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Associated Electric Cooperative, Inc.</w:t>
            </w:r>
          </w:p>
        </w:tc>
        <w:tc>
          <w:tcPr>
            <w:tcW w:w="2345" w:type="dxa"/>
            <w:noWrap/>
            <w:hideMark/>
          </w:tcPr>
          <w:p w14:paraId="2F309B98"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0.18</w:t>
            </w:r>
          </w:p>
        </w:tc>
        <w:tc>
          <w:tcPr>
            <w:tcW w:w="1620" w:type="dxa"/>
            <w:gridSpan w:val="2"/>
            <w:noWrap/>
            <w:hideMark/>
          </w:tcPr>
          <w:p w14:paraId="76CDDA67"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c>
          <w:tcPr>
            <w:tcW w:w="1260" w:type="dxa"/>
            <w:gridSpan w:val="2"/>
            <w:noWrap/>
            <w:hideMark/>
          </w:tcPr>
          <w:p w14:paraId="5240867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0.11</w:t>
            </w:r>
          </w:p>
        </w:tc>
      </w:tr>
      <w:tr w:rsidR="00D6341A" w:rsidRPr="00D0785F" w14:paraId="201D8BC5"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2F7F92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Idaho Power Company</w:t>
            </w:r>
          </w:p>
        </w:tc>
        <w:tc>
          <w:tcPr>
            <w:tcW w:w="2345" w:type="dxa"/>
            <w:noWrap/>
            <w:hideMark/>
          </w:tcPr>
          <w:p w14:paraId="5E1E9C3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0.39</w:t>
            </w:r>
          </w:p>
        </w:tc>
        <w:tc>
          <w:tcPr>
            <w:tcW w:w="1620" w:type="dxa"/>
            <w:gridSpan w:val="2"/>
            <w:noWrap/>
            <w:hideMark/>
          </w:tcPr>
          <w:p w14:paraId="575AFF22"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0.29</w:t>
            </w:r>
          </w:p>
        </w:tc>
        <w:tc>
          <w:tcPr>
            <w:tcW w:w="1260" w:type="dxa"/>
            <w:gridSpan w:val="2"/>
            <w:noWrap/>
            <w:hideMark/>
          </w:tcPr>
          <w:p w14:paraId="58FA9471" w14:textId="071C91F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352BC85C"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887BA71"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Arizona Public Service Company</w:t>
            </w:r>
          </w:p>
        </w:tc>
        <w:tc>
          <w:tcPr>
            <w:tcW w:w="2345" w:type="dxa"/>
            <w:noWrap/>
            <w:hideMark/>
          </w:tcPr>
          <w:p w14:paraId="7A084B87"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0.33</w:t>
            </w:r>
          </w:p>
        </w:tc>
        <w:tc>
          <w:tcPr>
            <w:tcW w:w="1620" w:type="dxa"/>
            <w:gridSpan w:val="2"/>
            <w:noWrap/>
            <w:hideMark/>
          </w:tcPr>
          <w:p w14:paraId="2B46690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0.23</w:t>
            </w:r>
          </w:p>
        </w:tc>
        <w:tc>
          <w:tcPr>
            <w:tcW w:w="1260" w:type="dxa"/>
            <w:gridSpan w:val="2"/>
            <w:noWrap/>
            <w:hideMark/>
          </w:tcPr>
          <w:p w14:paraId="47377261" w14:textId="7F94102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447DDD32"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BB23215"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Nevada Power Company</w:t>
            </w:r>
          </w:p>
        </w:tc>
        <w:tc>
          <w:tcPr>
            <w:tcW w:w="2345" w:type="dxa"/>
            <w:noWrap/>
            <w:hideMark/>
          </w:tcPr>
          <w:p w14:paraId="2E38467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620" w:type="dxa"/>
            <w:gridSpan w:val="2"/>
            <w:noWrap/>
            <w:hideMark/>
          </w:tcPr>
          <w:p w14:paraId="3FF4205E"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138A8786" w14:textId="6E3BCC61"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3FA0D68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B9BA5E0"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Tucson Electric Power</w:t>
            </w:r>
          </w:p>
        </w:tc>
        <w:tc>
          <w:tcPr>
            <w:tcW w:w="2345" w:type="dxa"/>
            <w:noWrap/>
            <w:hideMark/>
          </w:tcPr>
          <w:p w14:paraId="0D374CA2"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0.36</w:t>
            </w:r>
          </w:p>
        </w:tc>
        <w:tc>
          <w:tcPr>
            <w:tcW w:w="1620" w:type="dxa"/>
            <w:gridSpan w:val="2"/>
            <w:noWrap/>
            <w:hideMark/>
          </w:tcPr>
          <w:p w14:paraId="1D83968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260" w:type="dxa"/>
            <w:gridSpan w:val="2"/>
            <w:noWrap/>
            <w:hideMark/>
          </w:tcPr>
          <w:p w14:paraId="5C3385CC"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D6341A" w:rsidRPr="00D0785F" w14:paraId="604E7510"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851BBD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Avista Corporation</w:t>
            </w:r>
          </w:p>
        </w:tc>
        <w:tc>
          <w:tcPr>
            <w:tcW w:w="2345" w:type="dxa"/>
            <w:noWrap/>
            <w:hideMark/>
          </w:tcPr>
          <w:p w14:paraId="12A05B6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0.45</w:t>
            </w:r>
          </w:p>
        </w:tc>
        <w:tc>
          <w:tcPr>
            <w:tcW w:w="1620" w:type="dxa"/>
            <w:gridSpan w:val="2"/>
            <w:noWrap/>
            <w:hideMark/>
          </w:tcPr>
          <w:p w14:paraId="2CDE997E"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0.37</w:t>
            </w:r>
          </w:p>
        </w:tc>
        <w:tc>
          <w:tcPr>
            <w:tcW w:w="1260" w:type="dxa"/>
            <w:gridSpan w:val="2"/>
            <w:noWrap/>
            <w:hideMark/>
          </w:tcPr>
          <w:p w14:paraId="72B336E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2C39D9F8"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CEDE0B9"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Service Company of New Mexico</w:t>
            </w:r>
          </w:p>
        </w:tc>
        <w:tc>
          <w:tcPr>
            <w:tcW w:w="2345" w:type="dxa"/>
            <w:noWrap/>
            <w:hideMark/>
          </w:tcPr>
          <w:p w14:paraId="0CD2E0F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c>
          <w:tcPr>
            <w:tcW w:w="1620" w:type="dxa"/>
            <w:gridSpan w:val="2"/>
            <w:noWrap/>
            <w:hideMark/>
          </w:tcPr>
          <w:p w14:paraId="110E2434"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668F8DA5"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7F7F69B1"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26BCF91"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Seattle City Light</w:t>
            </w:r>
          </w:p>
        </w:tc>
        <w:tc>
          <w:tcPr>
            <w:tcW w:w="2345" w:type="dxa"/>
            <w:noWrap/>
            <w:hideMark/>
          </w:tcPr>
          <w:p w14:paraId="3D06CAAA"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0.49</w:t>
            </w:r>
          </w:p>
        </w:tc>
        <w:tc>
          <w:tcPr>
            <w:tcW w:w="1620" w:type="dxa"/>
            <w:gridSpan w:val="2"/>
            <w:noWrap/>
            <w:hideMark/>
          </w:tcPr>
          <w:p w14:paraId="48999F3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0.41</w:t>
            </w:r>
          </w:p>
        </w:tc>
        <w:tc>
          <w:tcPr>
            <w:tcW w:w="1260" w:type="dxa"/>
            <w:gridSpan w:val="2"/>
            <w:noWrap/>
            <w:hideMark/>
          </w:tcPr>
          <w:p w14:paraId="487D06EC"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6313A226"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606A2F6"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Progress East</w:t>
            </w:r>
          </w:p>
        </w:tc>
        <w:tc>
          <w:tcPr>
            <w:tcW w:w="2345" w:type="dxa"/>
            <w:noWrap/>
            <w:hideMark/>
          </w:tcPr>
          <w:p w14:paraId="57A6945A"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c>
          <w:tcPr>
            <w:tcW w:w="1620" w:type="dxa"/>
            <w:gridSpan w:val="2"/>
            <w:noWrap/>
            <w:hideMark/>
          </w:tcPr>
          <w:p w14:paraId="2C962A7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c>
          <w:tcPr>
            <w:tcW w:w="1260" w:type="dxa"/>
            <w:gridSpan w:val="2"/>
            <w:noWrap/>
            <w:hideMark/>
          </w:tcPr>
          <w:p w14:paraId="17E90FE6"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016DFAA4"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340837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PacifiCorp East</w:t>
            </w:r>
          </w:p>
        </w:tc>
        <w:tc>
          <w:tcPr>
            <w:tcW w:w="2345" w:type="dxa"/>
            <w:noWrap/>
            <w:hideMark/>
          </w:tcPr>
          <w:p w14:paraId="5D004924"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c>
          <w:tcPr>
            <w:tcW w:w="1620" w:type="dxa"/>
            <w:gridSpan w:val="2"/>
            <w:noWrap/>
            <w:hideMark/>
          </w:tcPr>
          <w:p w14:paraId="6F02CCE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260" w:type="dxa"/>
            <w:gridSpan w:val="2"/>
            <w:noWrap/>
            <w:hideMark/>
          </w:tcPr>
          <w:p w14:paraId="597BE78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3E63A2D5"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3351BD3"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Tennessee Valley Authority</w:t>
            </w:r>
          </w:p>
        </w:tc>
        <w:tc>
          <w:tcPr>
            <w:tcW w:w="2345" w:type="dxa"/>
            <w:noWrap/>
            <w:hideMark/>
          </w:tcPr>
          <w:p w14:paraId="57795AF9"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65A3E86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260" w:type="dxa"/>
            <w:gridSpan w:val="2"/>
            <w:noWrap/>
            <w:hideMark/>
          </w:tcPr>
          <w:p w14:paraId="5C18CC54"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13482130"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F6AA9F0"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Service Company of Colorado</w:t>
            </w:r>
          </w:p>
        </w:tc>
        <w:tc>
          <w:tcPr>
            <w:tcW w:w="2345" w:type="dxa"/>
            <w:noWrap/>
            <w:hideMark/>
          </w:tcPr>
          <w:p w14:paraId="0A06068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c>
          <w:tcPr>
            <w:tcW w:w="1620" w:type="dxa"/>
            <w:gridSpan w:val="2"/>
            <w:noWrap/>
            <w:hideMark/>
          </w:tcPr>
          <w:p w14:paraId="24350E36"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260" w:type="dxa"/>
            <w:gridSpan w:val="2"/>
            <w:noWrap/>
            <w:hideMark/>
          </w:tcPr>
          <w:p w14:paraId="226EE4B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D6341A" w:rsidRPr="00D0785F" w14:paraId="44E68B01"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12DDB7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Electric Reliability Council of Texas, Inc.</w:t>
            </w:r>
          </w:p>
        </w:tc>
        <w:tc>
          <w:tcPr>
            <w:tcW w:w="2345" w:type="dxa"/>
            <w:noWrap/>
            <w:hideMark/>
          </w:tcPr>
          <w:p w14:paraId="67496ACD"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06931D02" w14:textId="61F7141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54CC83BB"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425FE30C"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B6F78AF"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Florida Power &amp; Light Co.</w:t>
            </w:r>
          </w:p>
        </w:tc>
        <w:tc>
          <w:tcPr>
            <w:tcW w:w="2345" w:type="dxa"/>
            <w:noWrap/>
            <w:hideMark/>
          </w:tcPr>
          <w:p w14:paraId="5E75AAD0"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6326D436" w14:textId="7B4AD40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63A815F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62CA77D"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3962B48" w14:textId="77777777" w:rsidR="00D0785F" w:rsidRPr="00B90C63" w:rsidRDefault="00D0785F" w:rsidP="00D0785F">
            <w:pPr>
              <w:rPr>
                <w:rFonts w:ascii="Aptos Narrow" w:eastAsia="Times New Roman" w:hAnsi="Aptos Narrow" w:cs="Times New Roman"/>
                <w:b w:val="0"/>
                <w:bCs w:val="0"/>
                <w:color w:val="000000"/>
              </w:rPr>
            </w:pPr>
            <w:proofErr w:type="spellStart"/>
            <w:r w:rsidRPr="00B90C63">
              <w:rPr>
                <w:rFonts w:ascii="Aptos Narrow" w:eastAsia="Times New Roman" w:hAnsi="Aptos Narrow" w:cs="Times New Roman"/>
                <w:b w:val="0"/>
                <w:bCs w:val="0"/>
                <w:color w:val="000000"/>
              </w:rPr>
              <w:t>NorthWestern</w:t>
            </w:r>
            <w:proofErr w:type="spellEnd"/>
            <w:r w:rsidRPr="00B90C63">
              <w:rPr>
                <w:rFonts w:ascii="Aptos Narrow" w:eastAsia="Times New Roman" w:hAnsi="Aptos Narrow" w:cs="Times New Roman"/>
                <w:b w:val="0"/>
                <w:bCs w:val="0"/>
                <w:color w:val="000000"/>
              </w:rPr>
              <w:t xml:space="preserve"> Corporation</w:t>
            </w:r>
          </w:p>
        </w:tc>
        <w:tc>
          <w:tcPr>
            <w:tcW w:w="2345" w:type="dxa"/>
            <w:noWrap/>
            <w:hideMark/>
          </w:tcPr>
          <w:p w14:paraId="630766E2"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620" w:type="dxa"/>
            <w:gridSpan w:val="2"/>
            <w:noWrap/>
            <w:hideMark/>
          </w:tcPr>
          <w:p w14:paraId="2E02E48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40054B75"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DBB61CE"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A22340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El Paso Electric Company</w:t>
            </w:r>
          </w:p>
        </w:tc>
        <w:tc>
          <w:tcPr>
            <w:tcW w:w="2345" w:type="dxa"/>
            <w:noWrap/>
            <w:hideMark/>
          </w:tcPr>
          <w:p w14:paraId="2D331E0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0.41</w:t>
            </w:r>
          </w:p>
        </w:tc>
        <w:tc>
          <w:tcPr>
            <w:tcW w:w="1620" w:type="dxa"/>
            <w:gridSpan w:val="2"/>
            <w:noWrap/>
            <w:hideMark/>
          </w:tcPr>
          <w:p w14:paraId="1D12D2F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w:t>
            </w:r>
          </w:p>
        </w:tc>
        <w:tc>
          <w:tcPr>
            <w:tcW w:w="1260" w:type="dxa"/>
            <w:gridSpan w:val="2"/>
            <w:noWrap/>
            <w:hideMark/>
          </w:tcPr>
          <w:p w14:paraId="76336BCC"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4CA827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8A3D682"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Balancing Authority of Northern California</w:t>
            </w:r>
          </w:p>
        </w:tc>
        <w:tc>
          <w:tcPr>
            <w:tcW w:w="2345" w:type="dxa"/>
            <w:noWrap/>
            <w:hideMark/>
          </w:tcPr>
          <w:p w14:paraId="1068F55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0.25</w:t>
            </w:r>
          </w:p>
        </w:tc>
        <w:tc>
          <w:tcPr>
            <w:tcW w:w="1620" w:type="dxa"/>
            <w:gridSpan w:val="2"/>
            <w:noWrap/>
            <w:hideMark/>
          </w:tcPr>
          <w:p w14:paraId="25981831"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0.25</w:t>
            </w:r>
          </w:p>
        </w:tc>
        <w:tc>
          <w:tcPr>
            <w:tcW w:w="1260" w:type="dxa"/>
            <w:gridSpan w:val="2"/>
            <w:noWrap/>
            <w:hideMark/>
          </w:tcPr>
          <w:p w14:paraId="56E4DBA1" w14:textId="28AB28C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500EBC61"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7FAB917"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Bonneville Power Administration</w:t>
            </w:r>
          </w:p>
        </w:tc>
        <w:tc>
          <w:tcPr>
            <w:tcW w:w="2345" w:type="dxa"/>
            <w:noWrap/>
            <w:hideMark/>
          </w:tcPr>
          <w:p w14:paraId="389B55E3" w14:textId="5CB2902B"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620" w:type="dxa"/>
            <w:gridSpan w:val="2"/>
            <w:noWrap/>
            <w:hideMark/>
          </w:tcPr>
          <w:p w14:paraId="3A3AB796" w14:textId="39D96ABF"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79A1D253" w14:textId="74D33F1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40BE238A"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05DA363"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Carolinas</w:t>
            </w:r>
          </w:p>
        </w:tc>
        <w:tc>
          <w:tcPr>
            <w:tcW w:w="2345" w:type="dxa"/>
            <w:noWrap/>
            <w:hideMark/>
          </w:tcPr>
          <w:p w14:paraId="0351F81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7AA840A1"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23C4675D" w14:textId="23671C4E"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65C49676"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9664D4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Midcontinent Independent System Operator, Inc.</w:t>
            </w:r>
          </w:p>
        </w:tc>
        <w:tc>
          <w:tcPr>
            <w:tcW w:w="2345" w:type="dxa"/>
            <w:noWrap/>
            <w:hideMark/>
          </w:tcPr>
          <w:p w14:paraId="44AFAF6D"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22E9D47F"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7F89D530" w14:textId="3EEAB0F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392409BF"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1CD08CE"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PJM Interconnection, LLC</w:t>
            </w:r>
          </w:p>
        </w:tc>
        <w:tc>
          <w:tcPr>
            <w:tcW w:w="2345" w:type="dxa"/>
            <w:noWrap/>
            <w:hideMark/>
          </w:tcPr>
          <w:p w14:paraId="71D79BCD" w14:textId="1946787F"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620" w:type="dxa"/>
            <w:gridSpan w:val="2"/>
            <w:noWrap/>
            <w:hideMark/>
          </w:tcPr>
          <w:p w14:paraId="778106EC" w14:textId="57ED8AAC" w:rsidR="00D0785F" w:rsidRPr="00D0785F" w:rsidRDefault="00884B55"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00D0785F" w:rsidRPr="00D0785F">
              <w:rPr>
                <w:rFonts w:ascii="Aptos Narrow" w:eastAsia="Times New Roman" w:hAnsi="Aptos Narrow" w:cs="Times New Roman"/>
                <w:color w:val="000000"/>
              </w:rPr>
              <w:t>0</w:t>
            </w:r>
          </w:p>
        </w:tc>
        <w:tc>
          <w:tcPr>
            <w:tcW w:w="1260" w:type="dxa"/>
            <w:gridSpan w:val="2"/>
            <w:noWrap/>
            <w:hideMark/>
          </w:tcPr>
          <w:p w14:paraId="2BF38AE4" w14:textId="759FBA73" w:rsidR="00D0785F" w:rsidRPr="00D0785F" w:rsidRDefault="00884B55"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00D0785F" w:rsidRPr="00D0785F">
              <w:rPr>
                <w:rFonts w:ascii="Aptos Narrow" w:eastAsia="Times New Roman" w:hAnsi="Aptos Narrow" w:cs="Times New Roman"/>
                <w:color w:val="000000"/>
              </w:rPr>
              <w:t>0</w:t>
            </w:r>
          </w:p>
        </w:tc>
      </w:tr>
      <w:tr w:rsidR="00884B55" w:rsidRPr="00D0785F" w14:paraId="5942736D"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696B1B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Southern Company Services, Inc. - Trans</w:t>
            </w:r>
          </w:p>
        </w:tc>
        <w:tc>
          <w:tcPr>
            <w:tcW w:w="2345" w:type="dxa"/>
            <w:noWrap/>
            <w:hideMark/>
          </w:tcPr>
          <w:p w14:paraId="4E2C7E5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1BF7A6A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06C1F0E0" w14:textId="73DFDF86"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3447439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5530353"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Salt River Project Agricultural Improvement and Power District</w:t>
            </w:r>
          </w:p>
        </w:tc>
        <w:tc>
          <w:tcPr>
            <w:tcW w:w="2345" w:type="dxa"/>
            <w:noWrap/>
            <w:hideMark/>
          </w:tcPr>
          <w:p w14:paraId="3CB3621E" w14:textId="7688550A"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c>
          <w:tcPr>
            <w:tcW w:w="1620" w:type="dxa"/>
            <w:gridSpan w:val="2"/>
            <w:noWrap/>
            <w:hideMark/>
          </w:tcPr>
          <w:p w14:paraId="48C7E001" w14:textId="39618021"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c>
          <w:tcPr>
            <w:tcW w:w="1260" w:type="dxa"/>
            <w:gridSpan w:val="2"/>
            <w:noWrap/>
            <w:hideMark/>
          </w:tcPr>
          <w:p w14:paraId="36E96EAA" w14:textId="1A3DDEF2"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r>
      <w:tr w:rsidR="00884B55" w:rsidRPr="00D0785F" w14:paraId="5C708B22"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CF94E9A"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Southwest Power Pool</w:t>
            </w:r>
          </w:p>
        </w:tc>
        <w:tc>
          <w:tcPr>
            <w:tcW w:w="2345" w:type="dxa"/>
            <w:noWrap/>
            <w:hideMark/>
          </w:tcPr>
          <w:p w14:paraId="734933BF"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5A53235E"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4280A617" w14:textId="5BE42E93"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4A8BC50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4967BD4"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Tampa Electric Company</w:t>
            </w:r>
          </w:p>
        </w:tc>
        <w:tc>
          <w:tcPr>
            <w:tcW w:w="2345" w:type="dxa"/>
            <w:noWrap/>
            <w:hideMark/>
          </w:tcPr>
          <w:p w14:paraId="7C19641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620" w:type="dxa"/>
            <w:gridSpan w:val="2"/>
            <w:noWrap/>
            <w:hideMark/>
          </w:tcPr>
          <w:p w14:paraId="752255D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260" w:type="dxa"/>
            <w:gridSpan w:val="2"/>
            <w:noWrap/>
            <w:hideMark/>
          </w:tcPr>
          <w:p w14:paraId="4143366D" w14:textId="13290CFB"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5F508A0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F1321D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Western Area Power Administration - Rocky Mountain Region</w:t>
            </w:r>
          </w:p>
        </w:tc>
        <w:tc>
          <w:tcPr>
            <w:tcW w:w="2345" w:type="dxa"/>
            <w:noWrap/>
            <w:hideMark/>
          </w:tcPr>
          <w:p w14:paraId="4C06360F" w14:textId="12DED918"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c>
          <w:tcPr>
            <w:tcW w:w="1620" w:type="dxa"/>
            <w:gridSpan w:val="2"/>
            <w:noWrap/>
            <w:hideMark/>
          </w:tcPr>
          <w:p w14:paraId="2554A828" w14:textId="1A91E009"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c>
          <w:tcPr>
            <w:tcW w:w="1260" w:type="dxa"/>
            <w:gridSpan w:val="2"/>
            <w:noWrap/>
            <w:hideMark/>
          </w:tcPr>
          <w:p w14:paraId="3BC3BDAE" w14:textId="35FCF5A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r>
      <w:tr w:rsidR="00884B55" w:rsidRPr="00D0785F" w14:paraId="53149A02"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FCD571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Louisville Gas and Electric Company and Kentucky Utilities Company</w:t>
            </w:r>
          </w:p>
        </w:tc>
        <w:tc>
          <w:tcPr>
            <w:tcW w:w="2345" w:type="dxa"/>
            <w:noWrap/>
            <w:hideMark/>
          </w:tcPr>
          <w:p w14:paraId="7392C79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620" w:type="dxa"/>
            <w:gridSpan w:val="2"/>
            <w:noWrap/>
            <w:hideMark/>
          </w:tcPr>
          <w:p w14:paraId="60FF3169"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39176F4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55BF8C2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86526CD"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lastRenderedPageBreak/>
              <w:t>Dominion Energy South Carolina, Inc.</w:t>
            </w:r>
          </w:p>
        </w:tc>
        <w:tc>
          <w:tcPr>
            <w:tcW w:w="2345" w:type="dxa"/>
            <w:noWrap/>
            <w:hideMark/>
          </w:tcPr>
          <w:p w14:paraId="3B8E6BC7" w14:textId="7058DA0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C231D6">
              <w:rPr>
                <w:rFonts w:ascii="Aptos Narrow" w:eastAsia="Times New Roman" w:hAnsi="Aptos Narrow" w:cs="Times New Roman"/>
                <w:color w:val="000000"/>
              </w:rPr>
              <w:t>.00</w:t>
            </w:r>
          </w:p>
        </w:tc>
        <w:tc>
          <w:tcPr>
            <w:tcW w:w="1620" w:type="dxa"/>
            <w:gridSpan w:val="2"/>
            <w:noWrap/>
            <w:hideMark/>
          </w:tcPr>
          <w:p w14:paraId="61C97AF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097E84F6"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3F2E2DCE"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071D77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Florida Municipal Power Pool</w:t>
            </w:r>
          </w:p>
        </w:tc>
        <w:tc>
          <w:tcPr>
            <w:tcW w:w="2345" w:type="dxa"/>
            <w:noWrap/>
            <w:hideMark/>
          </w:tcPr>
          <w:p w14:paraId="1A63DBC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c>
          <w:tcPr>
            <w:tcW w:w="1620" w:type="dxa"/>
            <w:gridSpan w:val="2"/>
            <w:noWrap/>
            <w:hideMark/>
          </w:tcPr>
          <w:p w14:paraId="03F247B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c>
          <w:tcPr>
            <w:tcW w:w="1260" w:type="dxa"/>
            <w:gridSpan w:val="2"/>
            <w:noWrap/>
            <w:hideMark/>
          </w:tcPr>
          <w:p w14:paraId="00B51D3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15CDD10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9A0107A"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Florida, Inc.</w:t>
            </w:r>
          </w:p>
        </w:tc>
        <w:tc>
          <w:tcPr>
            <w:tcW w:w="2345" w:type="dxa"/>
            <w:noWrap/>
            <w:hideMark/>
          </w:tcPr>
          <w:p w14:paraId="3CA4F90E"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0.22</w:t>
            </w:r>
          </w:p>
        </w:tc>
        <w:tc>
          <w:tcPr>
            <w:tcW w:w="1620" w:type="dxa"/>
            <w:gridSpan w:val="2"/>
            <w:noWrap/>
            <w:hideMark/>
          </w:tcPr>
          <w:p w14:paraId="1FF354AC"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0.24</w:t>
            </w:r>
          </w:p>
        </w:tc>
        <w:tc>
          <w:tcPr>
            <w:tcW w:w="1260" w:type="dxa"/>
            <w:gridSpan w:val="2"/>
            <w:noWrap/>
            <w:hideMark/>
          </w:tcPr>
          <w:p w14:paraId="55040201"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26BD3D9D"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3D9E71F"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Utility District No. 2 of Grant County, Washington</w:t>
            </w:r>
          </w:p>
        </w:tc>
        <w:tc>
          <w:tcPr>
            <w:tcW w:w="2345" w:type="dxa"/>
            <w:noWrap/>
            <w:hideMark/>
          </w:tcPr>
          <w:p w14:paraId="29844C5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53720C7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c>
          <w:tcPr>
            <w:tcW w:w="1260" w:type="dxa"/>
            <w:gridSpan w:val="2"/>
            <w:noWrap/>
            <w:hideMark/>
          </w:tcPr>
          <w:p w14:paraId="5954D6B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04D1110B"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4F1666F"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Progress West</w:t>
            </w:r>
          </w:p>
        </w:tc>
        <w:tc>
          <w:tcPr>
            <w:tcW w:w="2345" w:type="dxa"/>
            <w:noWrap/>
            <w:hideMark/>
          </w:tcPr>
          <w:p w14:paraId="7BF3853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0.31</w:t>
            </w:r>
          </w:p>
        </w:tc>
        <w:tc>
          <w:tcPr>
            <w:tcW w:w="1620" w:type="dxa"/>
            <w:gridSpan w:val="2"/>
            <w:noWrap/>
            <w:hideMark/>
          </w:tcPr>
          <w:p w14:paraId="484A877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0.33</w:t>
            </w:r>
          </w:p>
        </w:tc>
        <w:tc>
          <w:tcPr>
            <w:tcW w:w="1260" w:type="dxa"/>
            <w:gridSpan w:val="2"/>
            <w:noWrap/>
            <w:hideMark/>
          </w:tcPr>
          <w:p w14:paraId="6E3BBD10"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42B088E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3877AC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Portland General Electric Company</w:t>
            </w:r>
          </w:p>
        </w:tc>
        <w:tc>
          <w:tcPr>
            <w:tcW w:w="2345" w:type="dxa"/>
            <w:noWrap/>
            <w:hideMark/>
          </w:tcPr>
          <w:p w14:paraId="5F7E35CD"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0.69</w:t>
            </w:r>
          </w:p>
        </w:tc>
        <w:tc>
          <w:tcPr>
            <w:tcW w:w="1620" w:type="dxa"/>
            <w:gridSpan w:val="2"/>
            <w:noWrap/>
            <w:hideMark/>
          </w:tcPr>
          <w:p w14:paraId="07E2EFF0"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0.71</w:t>
            </w:r>
          </w:p>
        </w:tc>
        <w:tc>
          <w:tcPr>
            <w:tcW w:w="1260" w:type="dxa"/>
            <w:gridSpan w:val="2"/>
            <w:noWrap/>
            <w:hideMark/>
          </w:tcPr>
          <w:p w14:paraId="281B845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78253B97"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98189A0"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New York Independent System Operator</w:t>
            </w:r>
          </w:p>
        </w:tc>
        <w:tc>
          <w:tcPr>
            <w:tcW w:w="2345" w:type="dxa"/>
            <w:noWrap/>
            <w:hideMark/>
          </w:tcPr>
          <w:p w14:paraId="498961F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c>
          <w:tcPr>
            <w:tcW w:w="1620" w:type="dxa"/>
            <w:gridSpan w:val="2"/>
            <w:noWrap/>
            <w:hideMark/>
          </w:tcPr>
          <w:p w14:paraId="36802C54"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6E31660F"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r>
      <w:tr w:rsidR="00884B55" w:rsidRPr="00D0785F" w14:paraId="13B67F1A"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76C10A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JEA</w:t>
            </w:r>
          </w:p>
        </w:tc>
        <w:tc>
          <w:tcPr>
            <w:tcW w:w="2345" w:type="dxa"/>
            <w:noWrap/>
            <w:hideMark/>
          </w:tcPr>
          <w:p w14:paraId="17C7E02A"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0.24</w:t>
            </w:r>
          </w:p>
        </w:tc>
        <w:tc>
          <w:tcPr>
            <w:tcW w:w="1620" w:type="dxa"/>
            <w:gridSpan w:val="2"/>
            <w:noWrap/>
            <w:hideMark/>
          </w:tcPr>
          <w:p w14:paraId="69EF6AA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260" w:type="dxa"/>
            <w:gridSpan w:val="2"/>
            <w:noWrap/>
            <w:hideMark/>
          </w:tcPr>
          <w:p w14:paraId="20DB2F6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r>
      <w:tr w:rsidR="00884B55" w:rsidRPr="00D0785F" w14:paraId="018B5D9B"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B36C583"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California Independent System Operator</w:t>
            </w:r>
          </w:p>
        </w:tc>
        <w:tc>
          <w:tcPr>
            <w:tcW w:w="2345" w:type="dxa"/>
            <w:noWrap/>
            <w:hideMark/>
          </w:tcPr>
          <w:p w14:paraId="5F440DDA"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0.19</w:t>
            </w:r>
          </w:p>
        </w:tc>
        <w:tc>
          <w:tcPr>
            <w:tcW w:w="1620" w:type="dxa"/>
            <w:gridSpan w:val="2"/>
            <w:noWrap/>
            <w:hideMark/>
          </w:tcPr>
          <w:p w14:paraId="50D4472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0.23</w:t>
            </w:r>
          </w:p>
        </w:tc>
        <w:tc>
          <w:tcPr>
            <w:tcW w:w="1260" w:type="dxa"/>
            <w:gridSpan w:val="2"/>
            <w:noWrap/>
            <w:hideMark/>
          </w:tcPr>
          <w:p w14:paraId="7ABB6129"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242C947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A92B296"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ISO New England</w:t>
            </w:r>
          </w:p>
        </w:tc>
        <w:tc>
          <w:tcPr>
            <w:tcW w:w="2345" w:type="dxa"/>
            <w:noWrap/>
            <w:hideMark/>
          </w:tcPr>
          <w:p w14:paraId="48DA15EF"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0.13</w:t>
            </w:r>
          </w:p>
        </w:tc>
        <w:tc>
          <w:tcPr>
            <w:tcW w:w="1620" w:type="dxa"/>
            <w:gridSpan w:val="2"/>
            <w:noWrap/>
            <w:hideMark/>
          </w:tcPr>
          <w:p w14:paraId="7188574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16891663"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035BCE58"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D48F53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Puget Sound Energy, Inc.</w:t>
            </w:r>
          </w:p>
        </w:tc>
        <w:tc>
          <w:tcPr>
            <w:tcW w:w="2345" w:type="dxa"/>
            <w:noWrap/>
            <w:hideMark/>
          </w:tcPr>
          <w:p w14:paraId="52F44A9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0.59</w:t>
            </w:r>
          </w:p>
        </w:tc>
        <w:tc>
          <w:tcPr>
            <w:tcW w:w="1620" w:type="dxa"/>
            <w:gridSpan w:val="2"/>
            <w:noWrap/>
            <w:hideMark/>
          </w:tcPr>
          <w:p w14:paraId="00DDAC18"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0.63</w:t>
            </w:r>
          </w:p>
        </w:tc>
        <w:tc>
          <w:tcPr>
            <w:tcW w:w="1260" w:type="dxa"/>
            <w:gridSpan w:val="2"/>
            <w:noWrap/>
            <w:hideMark/>
          </w:tcPr>
          <w:p w14:paraId="531FBB28"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32DCBBC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407B89E" w14:textId="77777777" w:rsidR="00884B55" w:rsidRPr="00B90C63" w:rsidRDefault="00884B55" w:rsidP="00884B55">
            <w:pPr>
              <w:rPr>
                <w:rFonts w:ascii="Aptos Narrow" w:eastAsia="Times New Roman" w:hAnsi="Aptos Narrow" w:cs="Times New Roman"/>
                <w:b w:val="0"/>
                <w:bCs w:val="0"/>
                <w:color w:val="000000"/>
              </w:rPr>
            </w:pPr>
            <w:proofErr w:type="spellStart"/>
            <w:r w:rsidRPr="00B90C63">
              <w:rPr>
                <w:rFonts w:ascii="Aptos Narrow" w:eastAsia="Times New Roman" w:hAnsi="Aptos Narrow" w:cs="Times New Roman"/>
                <w:b w:val="0"/>
                <w:bCs w:val="0"/>
                <w:color w:val="000000"/>
              </w:rPr>
              <w:t>PowerSouth</w:t>
            </w:r>
            <w:proofErr w:type="spellEnd"/>
            <w:r w:rsidRPr="00B90C63">
              <w:rPr>
                <w:rFonts w:ascii="Aptos Narrow" w:eastAsia="Times New Roman" w:hAnsi="Aptos Narrow" w:cs="Times New Roman"/>
                <w:b w:val="0"/>
                <w:bCs w:val="0"/>
                <w:color w:val="000000"/>
              </w:rPr>
              <w:t xml:space="preserve"> Energy Cooperative</w:t>
            </w:r>
          </w:p>
        </w:tc>
        <w:tc>
          <w:tcPr>
            <w:tcW w:w="2345" w:type="dxa"/>
            <w:noWrap/>
            <w:hideMark/>
          </w:tcPr>
          <w:p w14:paraId="67427D8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7CD5C4A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2FE6587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r>
      <w:tr w:rsidR="00884B55" w:rsidRPr="00D0785F" w14:paraId="2CCFFAD9"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91B8B84"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 Carolina Public Service Authority</w:t>
            </w:r>
          </w:p>
        </w:tc>
        <w:tc>
          <w:tcPr>
            <w:tcW w:w="2345" w:type="dxa"/>
            <w:noWrap/>
            <w:hideMark/>
          </w:tcPr>
          <w:p w14:paraId="10C42DD5"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620" w:type="dxa"/>
            <w:gridSpan w:val="2"/>
            <w:noWrap/>
            <w:hideMark/>
          </w:tcPr>
          <w:p w14:paraId="511F06EA"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0.34</w:t>
            </w:r>
          </w:p>
        </w:tc>
        <w:tc>
          <w:tcPr>
            <w:tcW w:w="1260" w:type="dxa"/>
            <w:gridSpan w:val="2"/>
            <w:noWrap/>
            <w:hideMark/>
          </w:tcPr>
          <w:p w14:paraId="2E59243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r>
      <w:tr w:rsidR="00884B55" w:rsidRPr="00D0785F" w14:paraId="7FC8BCC8"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1D723A2"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Los Angeles Department of Water and Power</w:t>
            </w:r>
          </w:p>
        </w:tc>
        <w:tc>
          <w:tcPr>
            <w:tcW w:w="2345" w:type="dxa"/>
            <w:noWrap/>
            <w:hideMark/>
          </w:tcPr>
          <w:p w14:paraId="757EDEA8" w14:textId="19229EE9"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E33DB5">
              <w:rPr>
                <w:rFonts w:ascii="Aptos Narrow" w:eastAsia="Times New Roman" w:hAnsi="Aptos Narrow" w:cs="Times New Roman"/>
                <w:color w:val="000000"/>
              </w:rPr>
              <w:t>0</w:t>
            </w:r>
          </w:p>
        </w:tc>
        <w:tc>
          <w:tcPr>
            <w:tcW w:w="1620" w:type="dxa"/>
            <w:gridSpan w:val="2"/>
            <w:noWrap/>
            <w:hideMark/>
          </w:tcPr>
          <w:p w14:paraId="1F30C6F3"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0.19</w:t>
            </w:r>
          </w:p>
        </w:tc>
        <w:tc>
          <w:tcPr>
            <w:tcW w:w="1260" w:type="dxa"/>
            <w:gridSpan w:val="2"/>
            <w:noWrap/>
            <w:hideMark/>
          </w:tcPr>
          <w:p w14:paraId="2D4D0BC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884B55" w:rsidRPr="00D0785F" w14:paraId="1C774E4C"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2FF446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Western Area Power Administration - Desert Southwest Region</w:t>
            </w:r>
          </w:p>
        </w:tc>
        <w:tc>
          <w:tcPr>
            <w:tcW w:w="2345" w:type="dxa"/>
            <w:noWrap/>
            <w:hideMark/>
          </w:tcPr>
          <w:p w14:paraId="25F03E7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0C986E23"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0.15</w:t>
            </w:r>
          </w:p>
        </w:tc>
        <w:tc>
          <w:tcPr>
            <w:tcW w:w="1260" w:type="dxa"/>
            <w:gridSpan w:val="2"/>
            <w:noWrap/>
            <w:hideMark/>
          </w:tcPr>
          <w:p w14:paraId="4EC5FC9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884B55" w:rsidRPr="00D0785F" w14:paraId="1D4FAF0C"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8038A9C"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City of Tacoma, Department of Public Utilities, Light Division</w:t>
            </w:r>
          </w:p>
        </w:tc>
        <w:tc>
          <w:tcPr>
            <w:tcW w:w="2345" w:type="dxa"/>
            <w:noWrap/>
            <w:hideMark/>
          </w:tcPr>
          <w:p w14:paraId="2AE943B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0.43</w:t>
            </w:r>
          </w:p>
        </w:tc>
        <w:tc>
          <w:tcPr>
            <w:tcW w:w="1620" w:type="dxa"/>
            <w:gridSpan w:val="2"/>
            <w:noWrap/>
            <w:hideMark/>
          </w:tcPr>
          <w:p w14:paraId="51D76A1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0.52</w:t>
            </w:r>
          </w:p>
        </w:tc>
        <w:tc>
          <w:tcPr>
            <w:tcW w:w="1260" w:type="dxa"/>
            <w:gridSpan w:val="2"/>
            <w:noWrap/>
            <w:hideMark/>
          </w:tcPr>
          <w:p w14:paraId="500CFCE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bl>
    <w:p w14:paraId="0FDC5DEE" w14:textId="77777777" w:rsidR="005C6530" w:rsidRDefault="005C6530" w:rsidP="00F9434B"/>
    <w:p w14:paraId="7480AF5A" w14:textId="77777777" w:rsidR="003153DB" w:rsidRDefault="003153DB" w:rsidP="00F9434B"/>
    <w:p w14:paraId="3F6A8712" w14:textId="3EDD2BC4" w:rsidR="003153DB" w:rsidRPr="00F9434B" w:rsidRDefault="003153DB" w:rsidP="00F9434B">
      <w:pPr>
        <w:sectPr w:rsidR="003153DB" w:rsidRPr="00F9434B" w:rsidSect="00CD404A">
          <w:pgSz w:w="15840" w:h="12240" w:orient="landscape"/>
          <w:pgMar w:top="1440" w:right="1440" w:bottom="1440" w:left="1440" w:header="720" w:footer="720" w:gutter="0"/>
          <w:pgNumType w:start="1"/>
          <w:cols w:space="720"/>
          <w:docGrid w:linePitch="299"/>
        </w:sectPr>
      </w:pPr>
    </w:p>
    <w:p w14:paraId="55052817" w14:textId="77777777" w:rsidR="00611F5E" w:rsidRDefault="00164B3C">
      <w:pPr>
        <w:pStyle w:val="Heading1"/>
      </w:pPr>
      <w:r>
        <w:lastRenderedPageBreak/>
        <w:t>Bibliography</w:t>
      </w:r>
    </w:p>
    <w:p w14:paraId="6D6DFDB0" w14:textId="77777777" w:rsidR="008F61FA" w:rsidRDefault="00100C02" w:rsidP="008F61FA">
      <w:pPr>
        <w:pStyle w:val="Bibliography"/>
      </w:pPr>
      <w:r>
        <w:fldChar w:fldCharType="begin"/>
      </w:r>
      <w:r>
        <w:instrText xml:space="preserve"> ADDIN ZOTERO_BIBL {"uncited":[],"omitted":[],"custom":[]} CSL_BIBLIOGRAPHY </w:instrText>
      </w:r>
      <w:r>
        <w:fldChar w:fldCharType="separate"/>
      </w:r>
      <w:r w:rsidR="008F61FA">
        <w:t>[1]</w:t>
      </w:r>
      <w:r w:rsidR="008F61FA">
        <w:tab/>
        <w:t>Osorio S, van Ackere A, Larsen ER. Interdependencies in security of electricity supply. Energy 2017;135:598–609. https://doi.org/10.1016/j.energy.2017.06.095.</w:t>
      </w:r>
    </w:p>
    <w:p w14:paraId="2FAA2A45" w14:textId="77777777" w:rsidR="008F61FA" w:rsidRDefault="008F61FA" w:rsidP="008F61FA">
      <w:pPr>
        <w:pStyle w:val="Bibliography"/>
      </w:pPr>
      <w:r>
        <w:t>[2]</w:t>
      </w:r>
      <w:r>
        <w:tab/>
        <w:t>Sovacool BK, Mukherjee I. Conceptualizing and measuring energy security: A synthesized approach. Energy 2011;36:5343–55. https://doi.org/10.1016/j.energy.2011.06.043.</w:t>
      </w:r>
    </w:p>
    <w:p w14:paraId="2E24711C" w14:textId="77777777" w:rsidR="008F61FA" w:rsidRDefault="008F61FA" w:rsidP="008F61FA">
      <w:pPr>
        <w:pStyle w:val="Bibliography"/>
      </w:pPr>
      <w:r>
        <w:t>[3]</w:t>
      </w:r>
      <w:r>
        <w:tab/>
        <w:t>Lilliestam J, Ellenbeck S. Energy security and renewable electricity trade—Will Desertec make Europe vulnerable to the “energy weapon”? Energy Policy 2011;39:3380–91. https://doi.org/10.1016/J.ENPOL.2011.03.035.</w:t>
      </w:r>
    </w:p>
    <w:p w14:paraId="4714030F" w14:textId="77777777" w:rsidR="008F61FA" w:rsidRDefault="008F61FA" w:rsidP="008F61FA">
      <w:pPr>
        <w:pStyle w:val="Bibliography"/>
      </w:pPr>
      <w:r>
        <w:t>[4]</w:t>
      </w:r>
      <w:r>
        <w:tab/>
        <w:t>Ren J, Dong L. Evaluation of electricity supply sustainability and security: Multi-criteria decision analysis approach. Journal of Cleaner Production 2018;172:438–53. https://doi.org/10.1016/J.JCLEPRO.2017.10.167.</w:t>
      </w:r>
    </w:p>
    <w:p w14:paraId="65C61FA7" w14:textId="77777777" w:rsidR="008F61FA" w:rsidRDefault="008F61FA" w:rsidP="008F61FA">
      <w:pPr>
        <w:pStyle w:val="Bibliography"/>
      </w:pPr>
      <w:r>
        <w:t>[5]</w:t>
      </w:r>
      <w:r>
        <w:tab/>
        <w:t>Das A, Halder A, Mazumder R, Saini VK, Parikh J, Parikh KS. Bangladesh power supply scenarios on renewables and electricity import. Energy 2018;155. https://doi.org/10.1016/j.energy.2018.04.169.</w:t>
      </w:r>
    </w:p>
    <w:p w14:paraId="7CB93543" w14:textId="77777777" w:rsidR="008F61FA" w:rsidRDefault="008F61FA" w:rsidP="008F61FA">
      <w:pPr>
        <w:pStyle w:val="Bibliography"/>
      </w:pPr>
      <w:r>
        <w:t>[6]</w:t>
      </w:r>
      <w:r>
        <w:tab/>
        <w:t>Yuan M, Tapia-Ahumada K, Reilly J. The role of cross-border electricity trade in transition to a low-carbon economy in the Northeastern U.S. Energy Policy 2021;154:112261. https://doi.org/10.1016/j.enpol.2021.112261.</w:t>
      </w:r>
    </w:p>
    <w:p w14:paraId="683D453F" w14:textId="77777777" w:rsidR="008F61FA" w:rsidRDefault="008F61FA" w:rsidP="008F61FA">
      <w:pPr>
        <w:pStyle w:val="Bibliography"/>
      </w:pPr>
      <w:r>
        <w:t>[7]</w:t>
      </w:r>
      <w:r>
        <w:tab/>
        <w:t>Bahar H, Sauvage J. Cross-Border Trade in Electricity and the Development of Renewables-Based Electric Power: Lessons from Europe. Paris: OECD; 2013. https://doi.org/10.1787/5k4869cdwnzr-en.</w:t>
      </w:r>
    </w:p>
    <w:p w14:paraId="1196701C" w14:textId="77777777" w:rsidR="008F61FA" w:rsidRDefault="008F61FA" w:rsidP="008F61FA">
      <w:pPr>
        <w:pStyle w:val="Bibliography"/>
      </w:pPr>
      <w:r>
        <w:t>[8]</w:t>
      </w:r>
      <w:r>
        <w:tab/>
        <w:t>Crozier C, Baker K. The effect of renewable electricity generation on the value of cross-border interconnection. Applied Energy 2022;324:119717. https://doi.org/10.1016/j.apenergy.2022.119717.</w:t>
      </w:r>
    </w:p>
    <w:p w14:paraId="53579D11" w14:textId="77777777" w:rsidR="008F61FA" w:rsidRDefault="008F61FA" w:rsidP="008F61FA">
      <w:pPr>
        <w:pStyle w:val="Bibliography"/>
      </w:pPr>
      <w:r>
        <w:t>[9]</w:t>
      </w:r>
      <w:r>
        <w:tab/>
        <w:t>Joskow PL. Lessons Learned From Electricity Market Liberalization. The Energy Journal 2008;29:9–42. https://doi.org/10.5547/ISSN0195-6574-EJ-Vol29-NoSI2-3.</w:t>
      </w:r>
    </w:p>
    <w:p w14:paraId="6331662C" w14:textId="77777777" w:rsidR="008F61FA" w:rsidRDefault="008F61FA" w:rsidP="008F61FA">
      <w:pPr>
        <w:pStyle w:val="Bibliography"/>
      </w:pPr>
      <w:r>
        <w:t>[10]</w:t>
      </w:r>
      <w:r>
        <w:tab/>
        <w:t>Blumsack S. Measuring the Benefits and Costs of Regional Electric Grid Integration. The Energy Law Journal 2007;28.</w:t>
      </w:r>
    </w:p>
    <w:p w14:paraId="79298D62" w14:textId="77777777" w:rsidR="008F61FA" w:rsidRDefault="008F61FA" w:rsidP="008F61FA">
      <w:pPr>
        <w:pStyle w:val="Bibliography"/>
      </w:pPr>
      <w:r>
        <w:t>[11]</w:t>
      </w:r>
      <w:r>
        <w:tab/>
        <w:t>Oseni MO, Pollitt MG. The promotion of regional integration of electricity markets: Lessons for developing countries. Energy Policy 2016;88:628–38. https://doi.org/10.1016/j.enpol.2015.09.007.</w:t>
      </w:r>
    </w:p>
    <w:p w14:paraId="4A21DBEA" w14:textId="77777777" w:rsidR="008F61FA" w:rsidRDefault="008F61FA" w:rsidP="008F61FA">
      <w:pPr>
        <w:pStyle w:val="Bibliography"/>
      </w:pPr>
      <w:r>
        <w:t>[12]</w:t>
      </w:r>
      <w:r>
        <w:tab/>
        <w:t>Pineau P, Lefebvre V. The value of unused interregional transmission: Estimating the opportunity cost for Quebec (Canada). International Journal of Energy Sector Management 2009;3:406–23. https://doi.org/10.1108/17506220911005768.</w:t>
      </w:r>
    </w:p>
    <w:p w14:paraId="0FFE8ED4" w14:textId="77777777" w:rsidR="008F61FA" w:rsidRDefault="008F61FA" w:rsidP="008F61FA">
      <w:pPr>
        <w:pStyle w:val="Bibliography"/>
      </w:pPr>
      <w:r>
        <w:t>[13]</w:t>
      </w:r>
      <w:r>
        <w:tab/>
        <w:t>Moore S. Evaluating the energy security of electricity interdependence: Perspectives from Morocco. Energy Research &amp; Social Science 2017;24:21–9. https://doi.org/10.1016/j.erss.2016.12.008.</w:t>
      </w:r>
    </w:p>
    <w:p w14:paraId="33BA274B" w14:textId="77777777" w:rsidR="008F61FA" w:rsidRDefault="008F61FA" w:rsidP="008F61FA">
      <w:pPr>
        <w:pStyle w:val="Bibliography"/>
      </w:pPr>
      <w:r>
        <w:t>[14]</w:t>
      </w:r>
      <w:r>
        <w:tab/>
        <w:t>Yang M, Shi X, Zhou Y, Xiang J, Zhang R. Deepening regional power connectivity: Beyond the industry-centric perspective. Energy Research &amp; Social Science 2022;90:102614. https://doi.org/10.1016/j.erss.2022.102614.</w:t>
      </w:r>
    </w:p>
    <w:p w14:paraId="07823EA4" w14:textId="77777777" w:rsidR="008F61FA" w:rsidRDefault="008F61FA" w:rsidP="008F61FA">
      <w:pPr>
        <w:pStyle w:val="Bibliography"/>
      </w:pPr>
      <w:r>
        <w:t>[15]</w:t>
      </w:r>
      <w:r>
        <w:tab/>
        <w:t>Abrell J, Rausch S. Cross-country electricity trade, renewable energy and European transmission infrastructure policy. Journal of Environmental Economics and Management 2016;79:87–113. https://doi.org/10.1016/j.jeem.2016.04.001.</w:t>
      </w:r>
    </w:p>
    <w:p w14:paraId="2AA9DD9D" w14:textId="77777777" w:rsidR="008F61FA" w:rsidRDefault="008F61FA" w:rsidP="008F61FA">
      <w:pPr>
        <w:pStyle w:val="Bibliography"/>
      </w:pPr>
      <w:r>
        <w:t>[16]</w:t>
      </w:r>
      <w:r>
        <w:tab/>
        <w:t>Antweiler W. Cross-border trade in electricity. Journal of International Economics 2016;101:42–51. https://doi.org/10.1016/j.jinteco.2016.03.007.</w:t>
      </w:r>
    </w:p>
    <w:p w14:paraId="51A7A72D" w14:textId="77777777" w:rsidR="008F61FA" w:rsidRDefault="008F61FA" w:rsidP="008F61FA">
      <w:pPr>
        <w:pStyle w:val="Bibliography"/>
      </w:pPr>
      <w:r>
        <w:lastRenderedPageBreak/>
        <w:t>[17]</w:t>
      </w:r>
      <w:r>
        <w:tab/>
        <w:t>Dahlke S. Integrating energy markets: Implications of increasing electricity trade on prices and emissions in the Western United States. International Journal of Sustainable Energy Planning and Management 2020;25. https://doi.org/10.5278/ijsepm.3416.</w:t>
      </w:r>
    </w:p>
    <w:p w14:paraId="27C54CB4" w14:textId="77777777" w:rsidR="008F61FA" w:rsidRDefault="008F61FA" w:rsidP="008F61FA">
      <w:pPr>
        <w:pStyle w:val="Bibliography"/>
      </w:pPr>
      <w:r>
        <w:t>[18]</w:t>
      </w:r>
      <w:r>
        <w:tab/>
        <w:t>Glachant J-M. Twenty years to address electricity market and system seams issues in the European Union</w:t>
      </w:r>
      <w:r>
        <w:rPr>
          <w:rFonts w:ascii="Arial" w:hAnsi="Arial" w:cs="Arial"/>
        </w:rPr>
        <w:t> </w:t>
      </w:r>
      <w:r>
        <w:t>: why? why not? 2017.</w:t>
      </w:r>
    </w:p>
    <w:p w14:paraId="571C69AF" w14:textId="77777777" w:rsidR="008F61FA" w:rsidRDefault="008F61FA" w:rsidP="008F61FA">
      <w:pPr>
        <w:pStyle w:val="Bibliography"/>
      </w:pPr>
      <w:r>
        <w:t>[19]</w:t>
      </w:r>
      <w:r>
        <w:tab/>
        <w:t>Kavulla T. Efficient Solutions for Issues in Electricity Seams. R Street Institute; 2019.</w:t>
      </w:r>
    </w:p>
    <w:p w14:paraId="780F45AC" w14:textId="77777777" w:rsidR="008F61FA" w:rsidRDefault="008F61FA" w:rsidP="008F61FA">
      <w:pPr>
        <w:pStyle w:val="Bibliography"/>
      </w:pPr>
      <w:r>
        <w:t>[20]</w:t>
      </w:r>
      <w:r>
        <w:tab/>
        <w:t>Li D. Do Grid Operators Dream of Electric Seams?: Coordinating Interregional Transmission Stakeholders to Improve Energy Deliverability. Geo Wash J Energy &amp; Env’t L 2022;13:82.</w:t>
      </w:r>
    </w:p>
    <w:p w14:paraId="7CF0D549" w14:textId="77777777" w:rsidR="008F61FA" w:rsidRDefault="008F61FA" w:rsidP="008F61FA">
      <w:pPr>
        <w:pStyle w:val="Bibliography"/>
      </w:pPr>
      <w:r>
        <w:t>[21]</w:t>
      </w:r>
      <w:r>
        <w:tab/>
        <w:t>Shannon CE. A mathematical theory of communication. The Bell System Technical Journal 1948;27:379–423. https://doi.org/10.1002/j.1538-7305.1948.tb01338.x.</w:t>
      </w:r>
    </w:p>
    <w:p w14:paraId="3E3350D3" w14:textId="77777777" w:rsidR="008F61FA" w:rsidRDefault="008F61FA" w:rsidP="008F61FA">
      <w:pPr>
        <w:pStyle w:val="Bibliography"/>
      </w:pPr>
      <w:r>
        <w:t>[22]</w:t>
      </w:r>
      <w:r>
        <w:tab/>
        <w:t>Margalef R. Information theory in ecology 1973.</w:t>
      </w:r>
    </w:p>
    <w:p w14:paraId="51B07981" w14:textId="77777777" w:rsidR="008F61FA" w:rsidRDefault="008F61FA" w:rsidP="008F61FA">
      <w:pPr>
        <w:pStyle w:val="Bibliography"/>
      </w:pPr>
      <w:r>
        <w:t>[23]</w:t>
      </w:r>
      <w:r>
        <w:tab/>
        <w:t>Pielou EC. The measurement of diversity in different types of biological collections. Journal of Theoretical Biology 1966;13:131–44. https://doi.org/10.1016/0022-5193(66)90013-0.</w:t>
      </w:r>
    </w:p>
    <w:p w14:paraId="7A32354F" w14:textId="77777777" w:rsidR="008F61FA" w:rsidRDefault="008F61FA" w:rsidP="008F61FA">
      <w:pPr>
        <w:pStyle w:val="Bibliography"/>
      </w:pPr>
      <w:r>
        <w:t>[24]</w:t>
      </w:r>
      <w:r>
        <w:tab/>
        <w:t>Stirling A. On the economics and analysis of diversity. Science Policy Research Unit (SPRU), Electronic Working Papers Series, Paper 1998;28:1–156.</w:t>
      </w:r>
    </w:p>
    <w:p w14:paraId="733403AB" w14:textId="77777777" w:rsidR="008F61FA" w:rsidRDefault="008F61FA" w:rsidP="008F61FA">
      <w:pPr>
        <w:pStyle w:val="Bibliography"/>
      </w:pPr>
      <w:r>
        <w:t>[25]</w:t>
      </w:r>
      <w:r>
        <w:tab/>
        <w:t>Peet RK. The Measurement of Species Diversity. Annual Review of Ecology, Evolution, and Systematics 1974;5:285–307. https://doi.org/10.1146/annurev.es.05.110174.001441.</w:t>
      </w:r>
    </w:p>
    <w:p w14:paraId="2D7DAD96" w14:textId="77777777" w:rsidR="008F61FA" w:rsidRDefault="008F61FA" w:rsidP="008F61FA">
      <w:pPr>
        <w:pStyle w:val="Bibliography"/>
      </w:pPr>
      <w:r>
        <w:t>[26]</w:t>
      </w:r>
      <w:r>
        <w:tab/>
        <w:t>Hill MO. Diversity and Evenness: A Unifying Notation and Its Consequences. Ecology 1973;54:427–32. https://doi.org/10.2307/1934352.</w:t>
      </w:r>
    </w:p>
    <w:p w14:paraId="49790DB6" w14:textId="77777777" w:rsidR="008F61FA" w:rsidRDefault="008F61FA" w:rsidP="008F61FA">
      <w:pPr>
        <w:pStyle w:val="Bibliography"/>
      </w:pPr>
      <w:r>
        <w:t>[27]</w:t>
      </w:r>
      <w:r>
        <w:tab/>
        <w:t>Jun E, Kim W, Chang SH. The analysis of security cost for different energy sources. Applied Energy 2009;86:1894–901. https://doi.org/10.1016/j.apenergy.2008.11.028.</w:t>
      </w:r>
    </w:p>
    <w:p w14:paraId="440FDE20" w14:textId="77777777" w:rsidR="008F61FA" w:rsidRDefault="008F61FA" w:rsidP="008F61FA">
      <w:pPr>
        <w:pStyle w:val="Bibliography"/>
      </w:pPr>
      <w:r>
        <w:t>[28]</w:t>
      </w:r>
      <w:r>
        <w:tab/>
        <w:t>Kruyt B, van Vuuren DP, de Vries HJM, Groenenberg H. Indicators for energy security. Energy Policy 2009;37:2166–81. https://doi.org/10.1016/j.enpol.2009.02.006.</w:t>
      </w:r>
    </w:p>
    <w:p w14:paraId="2FC957C1" w14:textId="77777777" w:rsidR="008F61FA" w:rsidRDefault="008F61FA" w:rsidP="008F61FA">
      <w:pPr>
        <w:pStyle w:val="Bibliography"/>
      </w:pPr>
      <w:r>
        <w:t>[29]</w:t>
      </w:r>
      <w:r>
        <w:tab/>
        <w:t>Chuang MC, Ma HW. Energy security and improvements in the function of diversity indices—Taiwan energy supply structure case study. Renewable and Sustainable Energy Reviews 2013;24:9–20. https://doi.org/10.1016/j.rser.2013.03.021.</w:t>
      </w:r>
    </w:p>
    <w:p w14:paraId="5A3850B1" w14:textId="77777777" w:rsidR="008F61FA" w:rsidRDefault="008F61FA" w:rsidP="008F61FA">
      <w:pPr>
        <w:pStyle w:val="Bibliography"/>
      </w:pPr>
      <w:r>
        <w:t>[30]</w:t>
      </w:r>
      <w:r>
        <w:tab/>
        <w:t>Martchamadol J, Kumar S. An aggregated energy security performance indicator. Applied Energy 2013;103:653–70. https://doi.org/10.1016/j.apenergy.2012.10.027.</w:t>
      </w:r>
    </w:p>
    <w:p w14:paraId="3D7C7E60" w14:textId="77777777" w:rsidR="008F61FA" w:rsidRDefault="008F61FA" w:rsidP="008F61FA">
      <w:pPr>
        <w:pStyle w:val="Bibliography"/>
      </w:pPr>
      <w:r>
        <w:t>[31]</w:t>
      </w:r>
      <w:r>
        <w:tab/>
        <w:t>Jewell J, Cherp A, Riahi K. Energy security under de-carbonization scenarios: An assessment framework and evaluation under different technology and policy choices. Energy Policy 2014;65:743–60. https://doi.org/10.1016/j.enpol.2013.10.051.</w:t>
      </w:r>
    </w:p>
    <w:p w14:paraId="6C090E2D" w14:textId="77777777" w:rsidR="008F61FA" w:rsidRDefault="008F61FA" w:rsidP="008F61FA">
      <w:pPr>
        <w:pStyle w:val="Bibliography"/>
      </w:pPr>
      <w:r>
        <w:t>[32]</w:t>
      </w:r>
      <w:r>
        <w:tab/>
        <w:t>Ranjan A, Hughes L. Energy security and the diversity of energy flows in an energy system. Energy 2014;73:137–44. https://doi.org/10.1016/j.energy.2014.05.108.</w:t>
      </w:r>
    </w:p>
    <w:p w14:paraId="3271C45E" w14:textId="77777777" w:rsidR="008F61FA" w:rsidRDefault="008F61FA" w:rsidP="008F61FA">
      <w:pPr>
        <w:pStyle w:val="Bibliography"/>
      </w:pPr>
      <w:r>
        <w:t>[33]</w:t>
      </w:r>
      <w:r>
        <w:tab/>
        <w:t>Ren J, Sovacool BK. Quantifying, measuring, and strategizing energy security: Determining the most meaningful dimensions and metrics. Energy 2014;76:838–49. https://doi.org/10.1016/j.energy.2014.08.083.</w:t>
      </w:r>
    </w:p>
    <w:p w14:paraId="518712E7" w14:textId="77777777" w:rsidR="008F61FA" w:rsidRDefault="008F61FA" w:rsidP="008F61FA">
      <w:pPr>
        <w:pStyle w:val="Bibliography"/>
      </w:pPr>
      <w:r>
        <w:t>[34]</w:t>
      </w:r>
      <w:r>
        <w:tab/>
        <w:t>Ang BW, Choong WL, Ng TS. Energy security: Definitions, dimensions and indexes. Renewable and Sustainable Energy Reviews 2015;42:1077–93. https://doi.org/10.1016/j.rser.2014.10.064.</w:t>
      </w:r>
    </w:p>
    <w:p w14:paraId="45ED1011" w14:textId="77777777" w:rsidR="008F61FA" w:rsidRDefault="008F61FA" w:rsidP="008F61FA">
      <w:pPr>
        <w:pStyle w:val="Bibliography"/>
      </w:pPr>
      <w:r>
        <w:t>[35]</w:t>
      </w:r>
      <w:r>
        <w:tab/>
        <w:t>Erahman QF, Purwanto WW, Sudibandriyo M, Hidayatno A. An assessment of Indonesia’s energy security index and comparison with seventy countries. Energy 2016;111:364–76. https://doi.org/10.1016/j.energy.2016.05.100.</w:t>
      </w:r>
    </w:p>
    <w:p w14:paraId="328E4873" w14:textId="77777777" w:rsidR="008F61FA" w:rsidRDefault="008F61FA" w:rsidP="008F61FA">
      <w:pPr>
        <w:pStyle w:val="Bibliography"/>
      </w:pPr>
      <w:r>
        <w:t>[36]</w:t>
      </w:r>
      <w:r>
        <w:tab/>
        <w:t>Zhang L, Yu J, Sovacool BK, Ren J. Measuring energy security performance within China: Toward an inter-provincial prospective. Energy 2017;125:825–36. https://doi.org/10.1016/j.energy.2016.12.030.</w:t>
      </w:r>
    </w:p>
    <w:p w14:paraId="177E2950" w14:textId="77777777" w:rsidR="008F61FA" w:rsidRDefault="008F61FA" w:rsidP="008F61FA">
      <w:pPr>
        <w:pStyle w:val="Bibliography"/>
      </w:pPr>
      <w:r>
        <w:t>[37]</w:t>
      </w:r>
      <w:r>
        <w:tab/>
        <w:t>Matsumoto K, Doumpos M, Andriosopoulos K. Historical energy security performance in EU countries. Renewable and Sustainable Energy Reviews 2018;82:1737–48. https://doi.org/10.1016/j.rser.2017.06.058.</w:t>
      </w:r>
    </w:p>
    <w:p w14:paraId="5E03AB1E" w14:textId="77777777" w:rsidR="008F61FA" w:rsidRDefault="008F61FA" w:rsidP="008F61FA">
      <w:pPr>
        <w:pStyle w:val="Bibliography"/>
      </w:pPr>
      <w:r>
        <w:lastRenderedPageBreak/>
        <w:t>[38]</w:t>
      </w:r>
      <w:r>
        <w:tab/>
        <w:t>Song Y, Zhang M, Sun R. Using a new aggregated indicator to evaluate China’s energy security. Energy Policy 2019;132:167–74. https://doi.org/10.1016/j.enpol.2019.05.036.</w:t>
      </w:r>
    </w:p>
    <w:p w14:paraId="4DC87B8F" w14:textId="77777777" w:rsidR="008F61FA" w:rsidRDefault="008F61FA" w:rsidP="008F61FA">
      <w:pPr>
        <w:pStyle w:val="Bibliography"/>
      </w:pPr>
      <w:r>
        <w:t>[39]</w:t>
      </w:r>
      <w:r>
        <w:tab/>
        <w:t>Wang D, Tian S, Fang L, Xu Y. A functional index model for dynamically evaluating China’s energy security. Energy Policy 2020;147:111706. https://doi.org/10.1016/j.enpol.2020.111706.</w:t>
      </w:r>
    </w:p>
    <w:p w14:paraId="1F38F8BD" w14:textId="77777777" w:rsidR="008F61FA" w:rsidRDefault="008F61FA" w:rsidP="008F61FA">
      <w:pPr>
        <w:pStyle w:val="Bibliography"/>
      </w:pPr>
      <w:r>
        <w:t>[40]</w:t>
      </w:r>
      <w:r>
        <w:tab/>
        <w:t>Lin B, Raza MY. Analysis of energy security indicators and CO2 emissions. A case from a developing economy. Energy 2020;200:117575. https://doi.org/10.1016/j.energy.2020.117575.</w:t>
      </w:r>
    </w:p>
    <w:p w14:paraId="67AB31B1" w14:textId="77777777" w:rsidR="008F61FA" w:rsidRDefault="008F61FA" w:rsidP="008F61FA">
      <w:pPr>
        <w:pStyle w:val="Bibliography"/>
      </w:pPr>
      <w:r>
        <w:t>[41]</w:t>
      </w:r>
      <w:r>
        <w:tab/>
        <w:t>De Rosa M, Gainsford K, Pallonetto F, Finn DP. Diversification, concentration and renewability of the energy supply in the European Union. Energy 2022;253:124097. https://doi.org/10.1016/j.energy.2022.124097.</w:t>
      </w:r>
    </w:p>
    <w:p w14:paraId="2D9E34A2" w14:textId="77777777" w:rsidR="008F61FA" w:rsidRDefault="008F61FA" w:rsidP="008F61FA">
      <w:pPr>
        <w:pStyle w:val="Bibliography"/>
      </w:pPr>
      <w:r>
        <w:t>[42]</w:t>
      </w:r>
      <w:r>
        <w:tab/>
        <w:t>Stirling A. Diversity and ignorance in electricity supply investment: Addressing the solution rather than the problem. Energy Policy 1994;22:195–216. https://doi.org/10.1016/0301-4215(94)90159-7.</w:t>
      </w:r>
    </w:p>
    <w:p w14:paraId="295602D2" w14:textId="77777777" w:rsidR="008F61FA" w:rsidRDefault="008F61FA" w:rsidP="008F61FA">
      <w:pPr>
        <w:pStyle w:val="Bibliography"/>
      </w:pPr>
      <w:r>
        <w:t>[43]</w:t>
      </w:r>
      <w:r>
        <w:tab/>
        <w:t>Grubb M, Butler L, Twomey P. Diversity and security in UK electricity generation: The influence of low-carbon objectives. Energy Policy 2006;34:4050–62. https://doi.org/10.1016/J.ENPOL.2005.09.004.</w:t>
      </w:r>
    </w:p>
    <w:p w14:paraId="63B6EF34" w14:textId="77777777" w:rsidR="008F61FA" w:rsidRDefault="008F61FA" w:rsidP="008F61FA">
      <w:pPr>
        <w:pStyle w:val="Bibliography"/>
      </w:pPr>
      <w:r>
        <w:t>[44]</w:t>
      </w:r>
      <w:r>
        <w:tab/>
        <w:t>Chalvatzis KJ, Rubel K. Electricity portfolio innovation for energy security: The case of carbon constrained China. Technological Forecasting and Social Change 2015;100:267–76. https://doi.org/10.1016/J.TECHFORE.2015.07.012.</w:t>
      </w:r>
    </w:p>
    <w:p w14:paraId="7C039194" w14:textId="77777777" w:rsidR="008F61FA" w:rsidRDefault="008F61FA" w:rsidP="008F61FA">
      <w:pPr>
        <w:pStyle w:val="Bibliography"/>
      </w:pPr>
      <w:r>
        <w:t>[45]</w:t>
      </w:r>
      <w:r>
        <w:tab/>
        <w:t>Cox E. Assessing long-term energy security: The case of electricity in the United Kingdom. Renewable and Sustainable Energy Reviews 2018;82:2287–99. https://doi.org/10.1016/J.RSER.2017.08.084.</w:t>
      </w:r>
    </w:p>
    <w:p w14:paraId="2FF4C5FD" w14:textId="77777777" w:rsidR="008F61FA" w:rsidRDefault="008F61FA" w:rsidP="008F61FA">
      <w:pPr>
        <w:pStyle w:val="Bibliography"/>
      </w:pPr>
      <w:r>
        <w:t>[46]</w:t>
      </w:r>
      <w:r>
        <w:tab/>
        <w:t>Dilek S, Konak A. Resource Diversification in Turkey’s Electricity Generation. Journal of Original Studies 2022. https://doi.org/10.47243/jos.3.2.03.</w:t>
      </w:r>
    </w:p>
    <w:p w14:paraId="5C5C520D" w14:textId="77777777" w:rsidR="008F61FA" w:rsidRDefault="008F61FA" w:rsidP="008F61FA">
      <w:pPr>
        <w:pStyle w:val="Bibliography"/>
      </w:pPr>
      <w:r>
        <w:t>[47]</w:t>
      </w:r>
      <w:r>
        <w:tab/>
        <w:t>Geospatial Management Office, U.S. Department of Homeland Security. Homeland Infrastructure Foundation LEvel Database - Control Areas 2022.</w:t>
      </w:r>
    </w:p>
    <w:p w14:paraId="5CC4A013" w14:textId="77777777" w:rsidR="008F61FA" w:rsidRDefault="008F61FA" w:rsidP="008F61FA">
      <w:pPr>
        <w:pStyle w:val="Bibliography"/>
      </w:pPr>
      <w:r>
        <w:t>[48]</w:t>
      </w:r>
      <w:r>
        <w:tab/>
        <w:t>U.S. Energy Information Administration. Hourly Electric Grid Monitor. Https://WwwEiaGov/Electricity/Gridmonitor/ n.d.</w:t>
      </w:r>
    </w:p>
    <w:p w14:paraId="7E3DF38E" w14:textId="77777777" w:rsidR="008F61FA" w:rsidRDefault="008F61FA" w:rsidP="008F61FA">
      <w:pPr>
        <w:pStyle w:val="Bibliography"/>
      </w:pPr>
      <w:r>
        <w:t>[49]</w:t>
      </w:r>
      <w:r>
        <w:tab/>
        <w:t>Mclellan M, Opatrny C. Maintaining A Balance: Innovation in Power System Balancing Authorities. Washington Journal of Environmental Law &amp; Policy 2011.</w:t>
      </w:r>
    </w:p>
    <w:p w14:paraId="29B59C0D" w14:textId="77777777" w:rsidR="008F61FA" w:rsidRDefault="008F61FA" w:rsidP="008F61FA">
      <w:pPr>
        <w:pStyle w:val="Bibliography"/>
      </w:pPr>
      <w:r>
        <w:t>[50]</w:t>
      </w:r>
      <w:r>
        <w:tab/>
        <w:t>Shaker H, Zareipour H, Wood D. Impacts of large-scale wind and solar power integration on California</w:t>
      </w:r>
      <w:r>
        <w:rPr>
          <w:rFonts w:ascii="Arial" w:hAnsi="Arial" w:cs="Arial"/>
        </w:rPr>
        <w:t>׳</w:t>
      </w:r>
      <w:r>
        <w:t>s net electrical load. Renewable and Sustainable Energy Reviews 2016;58:761–74. https://doi.org/10.1016/j.rser.2015.12.287.</w:t>
      </w:r>
    </w:p>
    <w:p w14:paraId="3730762A" w14:textId="77777777" w:rsidR="008F61FA" w:rsidRDefault="008F61FA" w:rsidP="008F61FA">
      <w:pPr>
        <w:pStyle w:val="Bibliography"/>
      </w:pPr>
      <w:r>
        <w:t>[51]</w:t>
      </w:r>
      <w:r>
        <w:tab/>
        <w:t>Littlechild S, Kiesling L. Hayek and the Texas blackout. Electricity Journal 2021;34. https://doi.org/10.1016/j.tej.2021.106969.</w:t>
      </w:r>
    </w:p>
    <w:p w14:paraId="5932021F" w14:textId="77777777" w:rsidR="008F61FA" w:rsidRDefault="008F61FA" w:rsidP="008F61FA">
      <w:pPr>
        <w:pStyle w:val="Bibliography"/>
      </w:pPr>
      <w:r>
        <w:t>[52]</w:t>
      </w:r>
      <w:r>
        <w:tab/>
        <w:t>Popik T, Humphreys R. The 2021 Texas Blackouts: Causes, Consequences, and Cures. Journal of Critical Infrastructure Policy 2021;2:47–73. https://doi.org/10.18278/jcip.2.1.6.</w:t>
      </w:r>
    </w:p>
    <w:p w14:paraId="6E88496F" w14:textId="77777777" w:rsidR="008F61FA" w:rsidRDefault="008F61FA" w:rsidP="008F61FA">
      <w:pPr>
        <w:pStyle w:val="Bibliography"/>
      </w:pPr>
      <w:r>
        <w:t>[53]</w:t>
      </w:r>
      <w:r>
        <w:tab/>
        <w:t>Levin T, Botterud A, Mann WN, Kwon J, Zhou Z. Extreme weather and electricity markets: Key lessons from the February 2021 Texas crisis. Joule 2022;6:1–7. https://doi.org/10.1016/j.joule.2021.12.015.</w:t>
      </w:r>
    </w:p>
    <w:p w14:paraId="1C2665F3" w14:textId="02DCF564" w:rsidR="00100C02" w:rsidRDefault="00100C02" w:rsidP="00100C02">
      <w:r>
        <w:fldChar w:fldCharType="end"/>
      </w:r>
    </w:p>
    <w:sectPr w:rsidR="00100C02" w:rsidSect="00CD404A">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C7033" w14:textId="77777777" w:rsidR="00F47ADA" w:rsidRDefault="00F47ADA">
      <w:pPr>
        <w:spacing w:after="0" w:line="240" w:lineRule="auto"/>
      </w:pPr>
      <w:r>
        <w:separator/>
      </w:r>
    </w:p>
  </w:endnote>
  <w:endnote w:type="continuationSeparator" w:id="0">
    <w:p w14:paraId="4D6BF80E" w14:textId="77777777" w:rsidR="00F47ADA" w:rsidRDefault="00F47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1FFDEAF4-02D3-4550-A496-8D004DB4E116}"/>
  </w:font>
  <w:font w:name="Aptos">
    <w:charset w:val="00"/>
    <w:family w:val="swiss"/>
    <w:pitch w:val="variable"/>
    <w:sig w:usb0="20000287" w:usb1="00000003" w:usb2="00000000" w:usb3="00000000" w:csb0="0000019F" w:csb1="00000000"/>
    <w:embedRegular r:id="rId2" w:fontKey="{CB2A159C-6AC9-4292-BABE-CAF543ADB100}"/>
    <w:embedBold r:id="rId3" w:fontKey="{43756A0F-8D2B-43EC-AE34-ABD6F0D145BC}"/>
    <w:embedItalic r:id="rId4" w:fontKey="{699422B3-75C1-4514-BF36-71559969DC42}"/>
  </w:font>
  <w:font w:name="Aptos Display">
    <w:charset w:val="00"/>
    <w:family w:val="swiss"/>
    <w:pitch w:val="variable"/>
    <w:sig w:usb0="20000287" w:usb1="00000003" w:usb2="00000000" w:usb3="00000000" w:csb0="0000019F" w:csb1="00000000"/>
    <w:embedRegular r:id="rId5" w:fontKey="{00A8CCB6-5B33-4B2B-9515-68F9F25F1C18}"/>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3B690825-2C52-49D0-A3E5-1EC233A442DF}"/>
    <w:embedItalic r:id="rId7" w:fontKey="{B0798C65-0A44-43AE-AFC0-E1EAD4BB9837}"/>
  </w:font>
  <w:font w:name="Aptos Narrow">
    <w:charset w:val="00"/>
    <w:family w:val="swiss"/>
    <w:pitch w:val="variable"/>
    <w:sig w:usb0="20000287" w:usb1="00000003" w:usb2="00000000" w:usb3="00000000" w:csb0="0000019F" w:csb1="00000000"/>
    <w:embedRegular r:id="rId8" w:fontKey="{3A0221C8-9833-42A5-9663-D2E3CC6C4886}"/>
    <w:embedBold r:id="rId9" w:fontKey="{62EBAE9F-2B29-43EA-B495-A78C5F92416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980A4" w14:textId="77777777" w:rsidR="00F47ADA" w:rsidRDefault="00F47ADA">
      <w:pPr>
        <w:spacing w:after="0" w:line="240" w:lineRule="auto"/>
      </w:pPr>
      <w:r>
        <w:separator/>
      </w:r>
    </w:p>
  </w:footnote>
  <w:footnote w:type="continuationSeparator" w:id="0">
    <w:p w14:paraId="25ACF7AF" w14:textId="77777777" w:rsidR="00F47ADA" w:rsidRDefault="00F47ADA">
      <w:pPr>
        <w:spacing w:after="0" w:line="240" w:lineRule="auto"/>
      </w:pPr>
      <w:r>
        <w:continuationSeparator/>
      </w:r>
    </w:p>
  </w:footnote>
  <w:footnote w:id="1">
    <w:p w14:paraId="75CEE4DD" w14:textId="63A767DC" w:rsidR="00CC2ECB" w:rsidRDefault="00CC2ECB">
      <w:pPr>
        <w:pStyle w:val="FootnoteText"/>
      </w:pPr>
      <w:r>
        <w:rPr>
          <w:rStyle w:val="FootnoteReference"/>
        </w:rPr>
        <w:footnoteRef/>
      </w:r>
      <w:r>
        <w:t xml:space="preserve"> The correlation coefficient between the </w:t>
      </w:r>
      <w:r w:rsidR="00977380">
        <w:t xml:space="preserve">import </w:t>
      </w:r>
      <w:r>
        <w:t xml:space="preserve">diversity metric and </w:t>
      </w:r>
      <w:r w:rsidR="00977380">
        <w:t xml:space="preserve">balancing authority </w:t>
      </w:r>
      <w:r>
        <w:t xml:space="preserve">average electricity demand </w:t>
      </w:r>
      <w:r w:rsidR="00977380">
        <w:t xml:space="preserve">across the sample </w:t>
      </w:r>
      <w:r>
        <w:t>period is 0.30</w:t>
      </w:r>
      <w:r w:rsidR="00D47D73">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C25E5"/>
    <w:multiLevelType w:val="hybridMultilevel"/>
    <w:tmpl w:val="DEBC4B96"/>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 w15:restartNumberingAfterBreak="0">
    <w:nsid w:val="117279CF"/>
    <w:multiLevelType w:val="multilevel"/>
    <w:tmpl w:val="799E4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6A6D03"/>
    <w:multiLevelType w:val="hybridMultilevel"/>
    <w:tmpl w:val="883CD06E"/>
    <w:lvl w:ilvl="0" w:tplc="D744F9C4">
      <w:start w:val="1"/>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540D2"/>
    <w:multiLevelType w:val="hybridMultilevel"/>
    <w:tmpl w:val="F2181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14010"/>
    <w:multiLevelType w:val="multilevel"/>
    <w:tmpl w:val="DFCC1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22765C"/>
    <w:multiLevelType w:val="hybridMultilevel"/>
    <w:tmpl w:val="D1B0E3F4"/>
    <w:lvl w:ilvl="0" w:tplc="2898C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C71AA"/>
    <w:multiLevelType w:val="hybridMultilevel"/>
    <w:tmpl w:val="96E2E506"/>
    <w:lvl w:ilvl="0" w:tplc="44E0B58E">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D3C68"/>
    <w:multiLevelType w:val="hybridMultilevel"/>
    <w:tmpl w:val="47866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907DC"/>
    <w:multiLevelType w:val="multilevel"/>
    <w:tmpl w:val="54DAA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C2913D8"/>
    <w:multiLevelType w:val="multilevel"/>
    <w:tmpl w:val="E9A03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2200F91"/>
    <w:multiLevelType w:val="hybridMultilevel"/>
    <w:tmpl w:val="E1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694938">
    <w:abstractNumId w:val="4"/>
  </w:num>
  <w:num w:numId="2" w16cid:durableId="205027588">
    <w:abstractNumId w:val="1"/>
  </w:num>
  <w:num w:numId="3" w16cid:durableId="989599762">
    <w:abstractNumId w:val="9"/>
  </w:num>
  <w:num w:numId="4" w16cid:durableId="833421845">
    <w:abstractNumId w:val="8"/>
  </w:num>
  <w:num w:numId="5" w16cid:durableId="1195802485">
    <w:abstractNumId w:val="0"/>
  </w:num>
  <w:num w:numId="6" w16cid:durableId="1298491011">
    <w:abstractNumId w:val="10"/>
  </w:num>
  <w:num w:numId="7" w16cid:durableId="1515457187">
    <w:abstractNumId w:val="7"/>
  </w:num>
  <w:num w:numId="8" w16cid:durableId="826240177">
    <w:abstractNumId w:val="5"/>
  </w:num>
  <w:num w:numId="9" w16cid:durableId="466750371">
    <w:abstractNumId w:val="3"/>
  </w:num>
  <w:num w:numId="10" w16cid:durableId="1602227224">
    <w:abstractNumId w:val="6"/>
  </w:num>
  <w:num w:numId="11" w16cid:durableId="26417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F5E"/>
    <w:rsid w:val="00005AB6"/>
    <w:rsid w:val="000061B1"/>
    <w:rsid w:val="000062B5"/>
    <w:rsid w:val="00010318"/>
    <w:rsid w:val="00011306"/>
    <w:rsid w:val="000126B1"/>
    <w:rsid w:val="00012874"/>
    <w:rsid w:val="00012C55"/>
    <w:rsid w:val="00014F09"/>
    <w:rsid w:val="000219A8"/>
    <w:rsid w:val="000229B4"/>
    <w:rsid w:val="0002776C"/>
    <w:rsid w:val="00031FF4"/>
    <w:rsid w:val="00032C4B"/>
    <w:rsid w:val="00034B04"/>
    <w:rsid w:val="00050906"/>
    <w:rsid w:val="00054FE2"/>
    <w:rsid w:val="00055BEF"/>
    <w:rsid w:val="0006054A"/>
    <w:rsid w:val="00066B07"/>
    <w:rsid w:val="000701D3"/>
    <w:rsid w:val="00071EE9"/>
    <w:rsid w:val="0007205D"/>
    <w:rsid w:val="000722C6"/>
    <w:rsid w:val="00076028"/>
    <w:rsid w:val="000806CB"/>
    <w:rsid w:val="00082542"/>
    <w:rsid w:val="00082A64"/>
    <w:rsid w:val="00083E2B"/>
    <w:rsid w:val="00085A0C"/>
    <w:rsid w:val="00086274"/>
    <w:rsid w:val="00086A6F"/>
    <w:rsid w:val="00086BC8"/>
    <w:rsid w:val="00086E56"/>
    <w:rsid w:val="00091887"/>
    <w:rsid w:val="00093D08"/>
    <w:rsid w:val="00094BDF"/>
    <w:rsid w:val="00095D4D"/>
    <w:rsid w:val="000A0545"/>
    <w:rsid w:val="000A193A"/>
    <w:rsid w:val="000A76DD"/>
    <w:rsid w:val="000B32BB"/>
    <w:rsid w:val="000B56B7"/>
    <w:rsid w:val="000B7CEB"/>
    <w:rsid w:val="000C5237"/>
    <w:rsid w:val="000D0D91"/>
    <w:rsid w:val="000D5038"/>
    <w:rsid w:val="000E09B6"/>
    <w:rsid w:val="000E1CDB"/>
    <w:rsid w:val="000E7334"/>
    <w:rsid w:val="000F217F"/>
    <w:rsid w:val="000F353B"/>
    <w:rsid w:val="000F3A8A"/>
    <w:rsid w:val="000F3DF6"/>
    <w:rsid w:val="000F45AD"/>
    <w:rsid w:val="000F5131"/>
    <w:rsid w:val="000F685F"/>
    <w:rsid w:val="000F706B"/>
    <w:rsid w:val="00100C02"/>
    <w:rsid w:val="00103B8C"/>
    <w:rsid w:val="00105F06"/>
    <w:rsid w:val="00107CC6"/>
    <w:rsid w:val="001124C2"/>
    <w:rsid w:val="00113D37"/>
    <w:rsid w:val="00115BC2"/>
    <w:rsid w:val="001202B9"/>
    <w:rsid w:val="00120921"/>
    <w:rsid w:val="00122546"/>
    <w:rsid w:val="00125268"/>
    <w:rsid w:val="00127348"/>
    <w:rsid w:val="0012780B"/>
    <w:rsid w:val="001318AE"/>
    <w:rsid w:val="00133A64"/>
    <w:rsid w:val="00133BDB"/>
    <w:rsid w:val="00135B87"/>
    <w:rsid w:val="0014445F"/>
    <w:rsid w:val="00144D78"/>
    <w:rsid w:val="001501E9"/>
    <w:rsid w:val="001555CD"/>
    <w:rsid w:val="00156369"/>
    <w:rsid w:val="00160244"/>
    <w:rsid w:val="001608BA"/>
    <w:rsid w:val="00160AB1"/>
    <w:rsid w:val="00162840"/>
    <w:rsid w:val="00164034"/>
    <w:rsid w:val="00164476"/>
    <w:rsid w:val="00164B3C"/>
    <w:rsid w:val="00171960"/>
    <w:rsid w:val="001759DF"/>
    <w:rsid w:val="001803CB"/>
    <w:rsid w:val="0018286A"/>
    <w:rsid w:val="00182959"/>
    <w:rsid w:val="001864B4"/>
    <w:rsid w:val="0018650A"/>
    <w:rsid w:val="0018723C"/>
    <w:rsid w:val="0019066D"/>
    <w:rsid w:val="00194CBD"/>
    <w:rsid w:val="00195F74"/>
    <w:rsid w:val="001A50A4"/>
    <w:rsid w:val="001A53F8"/>
    <w:rsid w:val="001A669F"/>
    <w:rsid w:val="001B1FED"/>
    <w:rsid w:val="001B35E7"/>
    <w:rsid w:val="001B38FE"/>
    <w:rsid w:val="001B5630"/>
    <w:rsid w:val="001B7B13"/>
    <w:rsid w:val="001C09DB"/>
    <w:rsid w:val="001C0E7D"/>
    <w:rsid w:val="001C163D"/>
    <w:rsid w:val="001C19CE"/>
    <w:rsid w:val="001C33DF"/>
    <w:rsid w:val="001C5275"/>
    <w:rsid w:val="001C5925"/>
    <w:rsid w:val="001D3D6C"/>
    <w:rsid w:val="001D6167"/>
    <w:rsid w:val="001D6C5D"/>
    <w:rsid w:val="001E144A"/>
    <w:rsid w:val="001E17CD"/>
    <w:rsid w:val="001E2818"/>
    <w:rsid w:val="001E3D51"/>
    <w:rsid w:val="001E741B"/>
    <w:rsid w:val="001F0A1A"/>
    <w:rsid w:val="00202E79"/>
    <w:rsid w:val="00204068"/>
    <w:rsid w:val="00210769"/>
    <w:rsid w:val="0021255C"/>
    <w:rsid w:val="002141E6"/>
    <w:rsid w:val="00214F9F"/>
    <w:rsid w:val="00216106"/>
    <w:rsid w:val="00217F7D"/>
    <w:rsid w:val="00220966"/>
    <w:rsid w:val="0022103C"/>
    <w:rsid w:val="00221E91"/>
    <w:rsid w:val="00222046"/>
    <w:rsid w:val="002240D6"/>
    <w:rsid w:val="00226BBD"/>
    <w:rsid w:val="00227326"/>
    <w:rsid w:val="00231C46"/>
    <w:rsid w:val="0023626F"/>
    <w:rsid w:val="0024195F"/>
    <w:rsid w:val="00252937"/>
    <w:rsid w:val="0025701D"/>
    <w:rsid w:val="0025774C"/>
    <w:rsid w:val="00260939"/>
    <w:rsid w:val="00262EBC"/>
    <w:rsid w:val="002638EF"/>
    <w:rsid w:val="00263D9B"/>
    <w:rsid w:val="00263DD6"/>
    <w:rsid w:val="00264BAF"/>
    <w:rsid w:val="00283A0A"/>
    <w:rsid w:val="00287BDE"/>
    <w:rsid w:val="00291921"/>
    <w:rsid w:val="0029326B"/>
    <w:rsid w:val="00294DE9"/>
    <w:rsid w:val="00295051"/>
    <w:rsid w:val="0029577E"/>
    <w:rsid w:val="00295CB3"/>
    <w:rsid w:val="00295DAD"/>
    <w:rsid w:val="00297A9D"/>
    <w:rsid w:val="002A1BB3"/>
    <w:rsid w:val="002A2006"/>
    <w:rsid w:val="002A6E3C"/>
    <w:rsid w:val="002B0AC5"/>
    <w:rsid w:val="002B701B"/>
    <w:rsid w:val="002B77BF"/>
    <w:rsid w:val="002C2978"/>
    <w:rsid w:val="002D2DBE"/>
    <w:rsid w:val="002D3FF5"/>
    <w:rsid w:val="002D4BEA"/>
    <w:rsid w:val="002D4C90"/>
    <w:rsid w:val="002D53E1"/>
    <w:rsid w:val="002D748E"/>
    <w:rsid w:val="002E0B05"/>
    <w:rsid w:val="002E1398"/>
    <w:rsid w:val="002E498C"/>
    <w:rsid w:val="002F0100"/>
    <w:rsid w:val="002F4913"/>
    <w:rsid w:val="002F7F93"/>
    <w:rsid w:val="003023F3"/>
    <w:rsid w:val="00302E6C"/>
    <w:rsid w:val="0031483A"/>
    <w:rsid w:val="003153DB"/>
    <w:rsid w:val="00323D57"/>
    <w:rsid w:val="00325EAB"/>
    <w:rsid w:val="003268C0"/>
    <w:rsid w:val="003279EF"/>
    <w:rsid w:val="0033366F"/>
    <w:rsid w:val="00337F47"/>
    <w:rsid w:val="00341DA7"/>
    <w:rsid w:val="00344AA4"/>
    <w:rsid w:val="003469F7"/>
    <w:rsid w:val="00351FEA"/>
    <w:rsid w:val="003531E5"/>
    <w:rsid w:val="00356A74"/>
    <w:rsid w:val="003570FE"/>
    <w:rsid w:val="003578CE"/>
    <w:rsid w:val="00357C73"/>
    <w:rsid w:val="0036057F"/>
    <w:rsid w:val="00360A83"/>
    <w:rsid w:val="003654FF"/>
    <w:rsid w:val="00366E02"/>
    <w:rsid w:val="00371B26"/>
    <w:rsid w:val="003745DF"/>
    <w:rsid w:val="00380A24"/>
    <w:rsid w:val="00381A17"/>
    <w:rsid w:val="00381D54"/>
    <w:rsid w:val="0038353F"/>
    <w:rsid w:val="00384058"/>
    <w:rsid w:val="00390822"/>
    <w:rsid w:val="00395CCB"/>
    <w:rsid w:val="00395F1B"/>
    <w:rsid w:val="003A26FB"/>
    <w:rsid w:val="003A5894"/>
    <w:rsid w:val="003A6A5B"/>
    <w:rsid w:val="003B1BD9"/>
    <w:rsid w:val="003B20BA"/>
    <w:rsid w:val="003B3400"/>
    <w:rsid w:val="003B44D1"/>
    <w:rsid w:val="003B483A"/>
    <w:rsid w:val="003B6D57"/>
    <w:rsid w:val="003B6EC3"/>
    <w:rsid w:val="003B706B"/>
    <w:rsid w:val="003C0D21"/>
    <w:rsid w:val="003C1DBD"/>
    <w:rsid w:val="003C37DF"/>
    <w:rsid w:val="003C395D"/>
    <w:rsid w:val="003C489D"/>
    <w:rsid w:val="003D7A4D"/>
    <w:rsid w:val="003E26E0"/>
    <w:rsid w:val="003E678E"/>
    <w:rsid w:val="003F5630"/>
    <w:rsid w:val="003F5689"/>
    <w:rsid w:val="003F5C29"/>
    <w:rsid w:val="003F69A5"/>
    <w:rsid w:val="003F792F"/>
    <w:rsid w:val="00400032"/>
    <w:rsid w:val="00402F1D"/>
    <w:rsid w:val="00404EEB"/>
    <w:rsid w:val="004079F2"/>
    <w:rsid w:val="00407EA8"/>
    <w:rsid w:val="0041185E"/>
    <w:rsid w:val="00412DB2"/>
    <w:rsid w:val="00414CD4"/>
    <w:rsid w:val="00415CDD"/>
    <w:rsid w:val="00420FA9"/>
    <w:rsid w:val="00423564"/>
    <w:rsid w:val="00423B94"/>
    <w:rsid w:val="0042466D"/>
    <w:rsid w:val="004311B5"/>
    <w:rsid w:val="0043152C"/>
    <w:rsid w:val="00433099"/>
    <w:rsid w:val="00436345"/>
    <w:rsid w:val="004468CA"/>
    <w:rsid w:val="00452925"/>
    <w:rsid w:val="00453D62"/>
    <w:rsid w:val="00454DBD"/>
    <w:rsid w:val="00462C44"/>
    <w:rsid w:val="00464C19"/>
    <w:rsid w:val="00466BE8"/>
    <w:rsid w:val="00471B15"/>
    <w:rsid w:val="00475B91"/>
    <w:rsid w:val="004847F0"/>
    <w:rsid w:val="00484A83"/>
    <w:rsid w:val="004907D2"/>
    <w:rsid w:val="00495E1C"/>
    <w:rsid w:val="004A7ACA"/>
    <w:rsid w:val="004B0614"/>
    <w:rsid w:val="004B2D7E"/>
    <w:rsid w:val="004C058C"/>
    <w:rsid w:val="004C104C"/>
    <w:rsid w:val="004C6C11"/>
    <w:rsid w:val="004D091C"/>
    <w:rsid w:val="004D2760"/>
    <w:rsid w:val="004D40FC"/>
    <w:rsid w:val="004D6B45"/>
    <w:rsid w:val="004D703A"/>
    <w:rsid w:val="004E03FB"/>
    <w:rsid w:val="004E16E1"/>
    <w:rsid w:val="004E3F60"/>
    <w:rsid w:val="004E5689"/>
    <w:rsid w:val="004E66CA"/>
    <w:rsid w:val="004E75EE"/>
    <w:rsid w:val="004F4B5A"/>
    <w:rsid w:val="004F550E"/>
    <w:rsid w:val="004F627A"/>
    <w:rsid w:val="00505955"/>
    <w:rsid w:val="005062F4"/>
    <w:rsid w:val="00507F3F"/>
    <w:rsid w:val="0051123D"/>
    <w:rsid w:val="00512DB1"/>
    <w:rsid w:val="00514ED1"/>
    <w:rsid w:val="005162D9"/>
    <w:rsid w:val="00517304"/>
    <w:rsid w:val="00517E85"/>
    <w:rsid w:val="0052104B"/>
    <w:rsid w:val="00523BCB"/>
    <w:rsid w:val="0052536A"/>
    <w:rsid w:val="0052736C"/>
    <w:rsid w:val="005276FF"/>
    <w:rsid w:val="00533CB7"/>
    <w:rsid w:val="0053694A"/>
    <w:rsid w:val="005400ED"/>
    <w:rsid w:val="00542C0B"/>
    <w:rsid w:val="005472CA"/>
    <w:rsid w:val="0054792B"/>
    <w:rsid w:val="005516EF"/>
    <w:rsid w:val="0055291A"/>
    <w:rsid w:val="00562D10"/>
    <w:rsid w:val="00564466"/>
    <w:rsid w:val="005656C6"/>
    <w:rsid w:val="00566684"/>
    <w:rsid w:val="0056732B"/>
    <w:rsid w:val="005674E5"/>
    <w:rsid w:val="00567ABD"/>
    <w:rsid w:val="00572759"/>
    <w:rsid w:val="00572BFD"/>
    <w:rsid w:val="00572FF6"/>
    <w:rsid w:val="00574B2E"/>
    <w:rsid w:val="00575D5D"/>
    <w:rsid w:val="00576746"/>
    <w:rsid w:val="00581951"/>
    <w:rsid w:val="00584732"/>
    <w:rsid w:val="0059049D"/>
    <w:rsid w:val="005911C1"/>
    <w:rsid w:val="00596E5F"/>
    <w:rsid w:val="005977FE"/>
    <w:rsid w:val="005A1303"/>
    <w:rsid w:val="005B0452"/>
    <w:rsid w:val="005B3AF6"/>
    <w:rsid w:val="005B4A77"/>
    <w:rsid w:val="005B51B0"/>
    <w:rsid w:val="005B700E"/>
    <w:rsid w:val="005B712A"/>
    <w:rsid w:val="005C3501"/>
    <w:rsid w:val="005C3B3D"/>
    <w:rsid w:val="005C4C08"/>
    <w:rsid w:val="005C6530"/>
    <w:rsid w:val="005D0CB8"/>
    <w:rsid w:val="005D401F"/>
    <w:rsid w:val="005D4C80"/>
    <w:rsid w:val="005E3036"/>
    <w:rsid w:val="005E3093"/>
    <w:rsid w:val="005E444D"/>
    <w:rsid w:val="005F0494"/>
    <w:rsid w:val="005F0A52"/>
    <w:rsid w:val="005F124F"/>
    <w:rsid w:val="005F24C5"/>
    <w:rsid w:val="005F3832"/>
    <w:rsid w:val="005F64E0"/>
    <w:rsid w:val="005F65E9"/>
    <w:rsid w:val="005F67C3"/>
    <w:rsid w:val="005F67C7"/>
    <w:rsid w:val="005F7955"/>
    <w:rsid w:val="00607A65"/>
    <w:rsid w:val="00611F5E"/>
    <w:rsid w:val="00612085"/>
    <w:rsid w:val="00613BBB"/>
    <w:rsid w:val="006144D9"/>
    <w:rsid w:val="00617B43"/>
    <w:rsid w:val="00621CC7"/>
    <w:rsid w:val="0062268B"/>
    <w:rsid w:val="00624E76"/>
    <w:rsid w:val="00625747"/>
    <w:rsid w:val="00625F61"/>
    <w:rsid w:val="00626E57"/>
    <w:rsid w:val="00630ADB"/>
    <w:rsid w:val="006313B0"/>
    <w:rsid w:val="00631F54"/>
    <w:rsid w:val="006334C7"/>
    <w:rsid w:val="00635078"/>
    <w:rsid w:val="0064266F"/>
    <w:rsid w:val="00651F29"/>
    <w:rsid w:val="00654660"/>
    <w:rsid w:val="00654CDB"/>
    <w:rsid w:val="00660673"/>
    <w:rsid w:val="00671D70"/>
    <w:rsid w:val="00672EC5"/>
    <w:rsid w:val="006768EF"/>
    <w:rsid w:val="00680ED5"/>
    <w:rsid w:val="00685116"/>
    <w:rsid w:val="00692699"/>
    <w:rsid w:val="00693726"/>
    <w:rsid w:val="006952FC"/>
    <w:rsid w:val="006A1794"/>
    <w:rsid w:val="006B1207"/>
    <w:rsid w:val="006B2BBA"/>
    <w:rsid w:val="006B315E"/>
    <w:rsid w:val="006B3434"/>
    <w:rsid w:val="006B5336"/>
    <w:rsid w:val="006B6426"/>
    <w:rsid w:val="006B7189"/>
    <w:rsid w:val="006C0F8C"/>
    <w:rsid w:val="006C358B"/>
    <w:rsid w:val="006C61CC"/>
    <w:rsid w:val="006C6EAC"/>
    <w:rsid w:val="006C7898"/>
    <w:rsid w:val="006C7F6A"/>
    <w:rsid w:val="006D19CB"/>
    <w:rsid w:val="006D1CFC"/>
    <w:rsid w:val="006D2B99"/>
    <w:rsid w:val="006D3286"/>
    <w:rsid w:val="006D4547"/>
    <w:rsid w:val="006E07AA"/>
    <w:rsid w:val="006E2AF8"/>
    <w:rsid w:val="006E4668"/>
    <w:rsid w:val="006E53D7"/>
    <w:rsid w:val="006F083C"/>
    <w:rsid w:val="006F38CC"/>
    <w:rsid w:val="006F42C9"/>
    <w:rsid w:val="006F6074"/>
    <w:rsid w:val="007037C5"/>
    <w:rsid w:val="0071263E"/>
    <w:rsid w:val="00713E20"/>
    <w:rsid w:val="00715F0B"/>
    <w:rsid w:val="007163D9"/>
    <w:rsid w:val="00716829"/>
    <w:rsid w:val="00716D0D"/>
    <w:rsid w:val="007171E7"/>
    <w:rsid w:val="00722D14"/>
    <w:rsid w:val="00730B9D"/>
    <w:rsid w:val="00735AC7"/>
    <w:rsid w:val="0073700B"/>
    <w:rsid w:val="00737C2F"/>
    <w:rsid w:val="007417CD"/>
    <w:rsid w:val="00745963"/>
    <w:rsid w:val="00746827"/>
    <w:rsid w:val="007504DB"/>
    <w:rsid w:val="00750B40"/>
    <w:rsid w:val="00752271"/>
    <w:rsid w:val="00753760"/>
    <w:rsid w:val="00753A6F"/>
    <w:rsid w:val="00760CEF"/>
    <w:rsid w:val="00765728"/>
    <w:rsid w:val="00766113"/>
    <w:rsid w:val="00766BAF"/>
    <w:rsid w:val="0077196C"/>
    <w:rsid w:val="00777C04"/>
    <w:rsid w:val="0078182C"/>
    <w:rsid w:val="007829EA"/>
    <w:rsid w:val="00791645"/>
    <w:rsid w:val="00793074"/>
    <w:rsid w:val="0079338A"/>
    <w:rsid w:val="007937F8"/>
    <w:rsid w:val="00796EEB"/>
    <w:rsid w:val="00797A52"/>
    <w:rsid w:val="007A43E0"/>
    <w:rsid w:val="007B2DBD"/>
    <w:rsid w:val="007B47BA"/>
    <w:rsid w:val="007B55FA"/>
    <w:rsid w:val="007B5645"/>
    <w:rsid w:val="007C0434"/>
    <w:rsid w:val="007C410A"/>
    <w:rsid w:val="007D1134"/>
    <w:rsid w:val="007E10CE"/>
    <w:rsid w:val="007E3CD9"/>
    <w:rsid w:val="007E6D96"/>
    <w:rsid w:val="007E78D2"/>
    <w:rsid w:val="007F231C"/>
    <w:rsid w:val="007F5E77"/>
    <w:rsid w:val="008008C3"/>
    <w:rsid w:val="00800CEF"/>
    <w:rsid w:val="0080207B"/>
    <w:rsid w:val="0080490D"/>
    <w:rsid w:val="0080747C"/>
    <w:rsid w:val="008105BF"/>
    <w:rsid w:val="00811077"/>
    <w:rsid w:val="008124B0"/>
    <w:rsid w:val="00816E51"/>
    <w:rsid w:val="0083091C"/>
    <w:rsid w:val="0083126B"/>
    <w:rsid w:val="00834EBC"/>
    <w:rsid w:val="00835405"/>
    <w:rsid w:val="008367E5"/>
    <w:rsid w:val="00840B1A"/>
    <w:rsid w:val="008415BE"/>
    <w:rsid w:val="008419BC"/>
    <w:rsid w:val="00842A43"/>
    <w:rsid w:val="00842BF6"/>
    <w:rsid w:val="00844012"/>
    <w:rsid w:val="00846617"/>
    <w:rsid w:val="00850184"/>
    <w:rsid w:val="00850D6C"/>
    <w:rsid w:val="00856351"/>
    <w:rsid w:val="008616C3"/>
    <w:rsid w:val="008628DB"/>
    <w:rsid w:val="00867A8D"/>
    <w:rsid w:val="00870A37"/>
    <w:rsid w:val="00870F50"/>
    <w:rsid w:val="00874B37"/>
    <w:rsid w:val="00876E47"/>
    <w:rsid w:val="00877904"/>
    <w:rsid w:val="00877A5A"/>
    <w:rsid w:val="008800BF"/>
    <w:rsid w:val="008803D5"/>
    <w:rsid w:val="00884B55"/>
    <w:rsid w:val="00885A02"/>
    <w:rsid w:val="00886E8A"/>
    <w:rsid w:val="008979D4"/>
    <w:rsid w:val="008A028B"/>
    <w:rsid w:val="008A3776"/>
    <w:rsid w:val="008A4D62"/>
    <w:rsid w:val="008A72F2"/>
    <w:rsid w:val="008B0DBE"/>
    <w:rsid w:val="008B1FE1"/>
    <w:rsid w:val="008B648B"/>
    <w:rsid w:val="008C0086"/>
    <w:rsid w:val="008C4692"/>
    <w:rsid w:val="008D03E6"/>
    <w:rsid w:val="008D0D66"/>
    <w:rsid w:val="008D6774"/>
    <w:rsid w:val="008E0700"/>
    <w:rsid w:val="008E08F4"/>
    <w:rsid w:val="008E23E5"/>
    <w:rsid w:val="008E26A8"/>
    <w:rsid w:val="008E2D17"/>
    <w:rsid w:val="008E5BBD"/>
    <w:rsid w:val="008E5C0B"/>
    <w:rsid w:val="008F3B00"/>
    <w:rsid w:val="008F59E7"/>
    <w:rsid w:val="008F61FA"/>
    <w:rsid w:val="008F7616"/>
    <w:rsid w:val="00901DE4"/>
    <w:rsid w:val="009021B3"/>
    <w:rsid w:val="00905972"/>
    <w:rsid w:val="0091017E"/>
    <w:rsid w:val="00910705"/>
    <w:rsid w:val="00913962"/>
    <w:rsid w:val="00914256"/>
    <w:rsid w:val="00917797"/>
    <w:rsid w:val="00917E04"/>
    <w:rsid w:val="00931BAB"/>
    <w:rsid w:val="00932A8E"/>
    <w:rsid w:val="009344FA"/>
    <w:rsid w:val="00935056"/>
    <w:rsid w:val="00936AE0"/>
    <w:rsid w:val="00937990"/>
    <w:rsid w:val="00941331"/>
    <w:rsid w:val="00952760"/>
    <w:rsid w:val="00953654"/>
    <w:rsid w:val="009555AA"/>
    <w:rsid w:val="00955682"/>
    <w:rsid w:val="009612F2"/>
    <w:rsid w:val="00961744"/>
    <w:rsid w:val="009620F7"/>
    <w:rsid w:val="00963D6E"/>
    <w:rsid w:val="00964E82"/>
    <w:rsid w:val="00965BA5"/>
    <w:rsid w:val="009672C5"/>
    <w:rsid w:val="0097297C"/>
    <w:rsid w:val="00977380"/>
    <w:rsid w:val="009843E8"/>
    <w:rsid w:val="00985532"/>
    <w:rsid w:val="00987871"/>
    <w:rsid w:val="0099116B"/>
    <w:rsid w:val="0099141B"/>
    <w:rsid w:val="00992636"/>
    <w:rsid w:val="00993509"/>
    <w:rsid w:val="009960EE"/>
    <w:rsid w:val="009A0C3A"/>
    <w:rsid w:val="009A335D"/>
    <w:rsid w:val="009A7C78"/>
    <w:rsid w:val="009B198D"/>
    <w:rsid w:val="009B29EE"/>
    <w:rsid w:val="009B35B3"/>
    <w:rsid w:val="009C0BE6"/>
    <w:rsid w:val="009C631A"/>
    <w:rsid w:val="009C6901"/>
    <w:rsid w:val="009D0451"/>
    <w:rsid w:val="009D3D18"/>
    <w:rsid w:val="009D42C8"/>
    <w:rsid w:val="009D7400"/>
    <w:rsid w:val="009D79C2"/>
    <w:rsid w:val="009F1A6E"/>
    <w:rsid w:val="009F2643"/>
    <w:rsid w:val="009F69DF"/>
    <w:rsid w:val="00A0005F"/>
    <w:rsid w:val="00A00FE4"/>
    <w:rsid w:val="00A012F0"/>
    <w:rsid w:val="00A02411"/>
    <w:rsid w:val="00A03800"/>
    <w:rsid w:val="00A06EE6"/>
    <w:rsid w:val="00A06FE0"/>
    <w:rsid w:val="00A07D49"/>
    <w:rsid w:val="00A1091A"/>
    <w:rsid w:val="00A136FC"/>
    <w:rsid w:val="00A147B5"/>
    <w:rsid w:val="00A21ADD"/>
    <w:rsid w:val="00A21D7C"/>
    <w:rsid w:val="00A330CF"/>
    <w:rsid w:val="00A33168"/>
    <w:rsid w:val="00A37422"/>
    <w:rsid w:val="00A41099"/>
    <w:rsid w:val="00A423C3"/>
    <w:rsid w:val="00A50358"/>
    <w:rsid w:val="00A524F7"/>
    <w:rsid w:val="00A6044A"/>
    <w:rsid w:val="00A60ECB"/>
    <w:rsid w:val="00A637DF"/>
    <w:rsid w:val="00A6568E"/>
    <w:rsid w:val="00A658CC"/>
    <w:rsid w:val="00A679F1"/>
    <w:rsid w:val="00A701D0"/>
    <w:rsid w:val="00A708A0"/>
    <w:rsid w:val="00A745B1"/>
    <w:rsid w:val="00A756AD"/>
    <w:rsid w:val="00A7667F"/>
    <w:rsid w:val="00A808A6"/>
    <w:rsid w:val="00A82305"/>
    <w:rsid w:val="00A8344D"/>
    <w:rsid w:val="00A857B2"/>
    <w:rsid w:val="00A85888"/>
    <w:rsid w:val="00A85FAE"/>
    <w:rsid w:val="00A863BF"/>
    <w:rsid w:val="00A869F2"/>
    <w:rsid w:val="00A87C09"/>
    <w:rsid w:val="00AA6441"/>
    <w:rsid w:val="00AB2C1A"/>
    <w:rsid w:val="00AB4A3A"/>
    <w:rsid w:val="00AB58B5"/>
    <w:rsid w:val="00AB635D"/>
    <w:rsid w:val="00AC14B3"/>
    <w:rsid w:val="00AD0771"/>
    <w:rsid w:val="00AD3BF3"/>
    <w:rsid w:val="00AD41F9"/>
    <w:rsid w:val="00AD51B2"/>
    <w:rsid w:val="00AE0B6D"/>
    <w:rsid w:val="00AE18AB"/>
    <w:rsid w:val="00AE5985"/>
    <w:rsid w:val="00AE6529"/>
    <w:rsid w:val="00AF3017"/>
    <w:rsid w:val="00B103BF"/>
    <w:rsid w:val="00B106C2"/>
    <w:rsid w:val="00B11319"/>
    <w:rsid w:val="00B119D8"/>
    <w:rsid w:val="00B12680"/>
    <w:rsid w:val="00B13ECD"/>
    <w:rsid w:val="00B16EFA"/>
    <w:rsid w:val="00B27818"/>
    <w:rsid w:val="00B31C71"/>
    <w:rsid w:val="00B358C2"/>
    <w:rsid w:val="00B40CDF"/>
    <w:rsid w:val="00B46EC0"/>
    <w:rsid w:val="00B508C6"/>
    <w:rsid w:val="00B51E4D"/>
    <w:rsid w:val="00B544CF"/>
    <w:rsid w:val="00B56AD5"/>
    <w:rsid w:val="00B570DE"/>
    <w:rsid w:val="00B57AB9"/>
    <w:rsid w:val="00B61A6D"/>
    <w:rsid w:val="00B665A2"/>
    <w:rsid w:val="00B733F9"/>
    <w:rsid w:val="00B7346A"/>
    <w:rsid w:val="00B74918"/>
    <w:rsid w:val="00B84C54"/>
    <w:rsid w:val="00B90C63"/>
    <w:rsid w:val="00B9163C"/>
    <w:rsid w:val="00B92C25"/>
    <w:rsid w:val="00B9585C"/>
    <w:rsid w:val="00B97F68"/>
    <w:rsid w:val="00BA11E9"/>
    <w:rsid w:val="00BA3941"/>
    <w:rsid w:val="00BB015D"/>
    <w:rsid w:val="00BB1DE2"/>
    <w:rsid w:val="00BB4357"/>
    <w:rsid w:val="00BB5631"/>
    <w:rsid w:val="00BB6EE3"/>
    <w:rsid w:val="00BD174B"/>
    <w:rsid w:val="00BD1A23"/>
    <w:rsid w:val="00BD2E66"/>
    <w:rsid w:val="00BE05F2"/>
    <w:rsid w:val="00BE3817"/>
    <w:rsid w:val="00BE43A6"/>
    <w:rsid w:val="00BF09EB"/>
    <w:rsid w:val="00BF0C31"/>
    <w:rsid w:val="00BF0F6B"/>
    <w:rsid w:val="00BF0F9A"/>
    <w:rsid w:val="00BF1009"/>
    <w:rsid w:val="00BF3761"/>
    <w:rsid w:val="00BF5F8C"/>
    <w:rsid w:val="00C0132E"/>
    <w:rsid w:val="00C0215A"/>
    <w:rsid w:val="00C03E8F"/>
    <w:rsid w:val="00C0483D"/>
    <w:rsid w:val="00C07AE8"/>
    <w:rsid w:val="00C13917"/>
    <w:rsid w:val="00C142BC"/>
    <w:rsid w:val="00C15A3C"/>
    <w:rsid w:val="00C15C80"/>
    <w:rsid w:val="00C15D05"/>
    <w:rsid w:val="00C17FD7"/>
    <w:rsid w:val="00C21640"/>
    <w:rsid w:val="00C22B21"/>
    <w:rsid w:val="00C231D6"/>
    <w:rsid w:val="00C2499C"/>
    <w:rsid w:val="00C2595F"/>
    <w:rsid w:val="00C26664"/>
    <w:rsid w:val="00C3235B"/>
    <w:rsid w:val="00C32C83"/>
    <w:rsid w:val="00C34A4B"/>
    <w:rsid w:val="00C35F28"/>
    <w:rsid w:val="00C4042C"/>
    <w:rsid w:val="00C46ABF"/>
    <w:rsid w:val="00C46E1B"/>
    <w:rsid w:val="00C56709"/>
    <w:rsid w:val="00C57053"/>
    <w:rsid w:val="00C6062E"/>
    <w:rsid w:val="00C62334"/>
    <w:rsid w:val="00C62D00"/>
    <w:rsid w:val="00C62DF2"/>
    <w:rsid w:val="00C667B4"/>
    <w:rsid w:val="00C72692"/>
    <w:rsid w:val="00C762B3"/>
    <w:rsid w:val="00C77D64"/>
    <w:rsid w:val="00C806C8"/>
    <w:rsid w:val="00C80DA4"/>
    <w:rsid w:val="00C829D0"/>
    <w:rsid w:val="00C8406A"/>
    <w:rsid w:val="00C860C1"/>
    <w:rsid w:val="00C909BA"/>
    <w:rsid w:val="00C90A4B"/>
    <w:rsid w:val="00C952DD"/>
    <w:rsid w:val="00C968DF"/>
    <w:rsid w:val="00C96A6C"/>
    <w:rsid w:val="00C97318"/>
    <w:rsid w:val="00CA45EC"/>
    <w:rsid w:val="00CB1CD4"/>
    <w:rsid w:val="00CB3CFD"/>
    <w:rsid w:val="00CB6C5F"/>
    <w:rsid w:val="00CB7410"/>
    <w:rsid w:val="00CC2639"/>
    <w:rsid w:val="00CC2ECB"/>
    <w:rsid w:val="00CC60FF"/>
    <w:rsid w:val="00CD08CF"/>
    <w:rsid w:val="00CD2F9C"/>
    <w:rsid w:val="00CD3992"/>
    <w:rsid w:val="00CD404A"/>
    <w:rsid w:val="00CD652D"/>
    <w:rsid w:val="00CD6FC1"/>
    <w:rsid w:val="00CD7F31"/>
    <w:rsid w:val="00CE4648"/>
    <w:rsid w:val="00CF0537"/>
    <w:rsid w:val="00CF44B2"/>
    <w:rsid w:val="00CF78DA"/>
    <w:rsid w:val="00D06CEB"/>
    <w:rsid w:val="00D07350"/>
    <w:rsid w:val="00D0785F"/>
    <w:rsid w:val="00D10034"/>
    <w:rsid w:val="00D11CD6"/>
    <w:rsid w:val="00D12440"/>
    <w:rsid w:val="00D12B5B"/>
    <w:rsid w:val="00D12EDC"/>
    <w:rsid w:val="00D135E4"/>
    <w:rsid w:val="00D13C42"/>
    <w:rsid w:val="00D14A0E"/>
    <w:rsid w:val="00D16FB2"/>
    <w:rsid w:val="00D20A08"/>
    <w:rsid w:val="00D34A00"/>
    <w:rsid w:val="00D35E53"/>
    <w:rsid w:val="00D3693E"/>
    <w:rsid w:val="00D4167D"/>
    <w:rsid w:val="00D426C8"/>
    <w:rsid w:val="00D42C36"/>
    <w:rsid w:val="00D46226"/>
    <w:rsid w:val="00D47CDE"/>
    <w:rsid w:val="00D47D73"/>
    <w:rsid w:val="00D511A2"/>
    <w:rsid w:val="00D561C5"/>
    <w:rsid w:val="00D5627C"/>
    <w:rsid w:val="00D62751"/>
    <w:rsid w:val="00D62B6A"/>
    <w:rsid w:val="00D62C81"/>
    <w:rsid w:val="00D630F4"/>
    <w:rsid w:val="00D6341A"/>
    <w:rsid w:val="00D677B0"/>
    <w:rsid w:val="00D67994"/>
    <w:rsid w:val="00D72422"/>
    <w:rsid w:val="00D7424B"/>
    <w:rsid w:val="00D76650"/>
    <w:rsid w:val="00D82F84"/>
    <w:rsid w:val="00D8436A"/>
    <w:rsid w:val="00D86079"/>
    <w:rsid w:val="00D93E2B"/>
    <w:rsid w:val="00D94679"/>
    <w:rsid w:val="00D95139"/>
    <w:rsid w:val="00D95658"/>
    <w:rsid w:val="00DA21D0"/>
    <w:rsid w:val="00DA21EE"/>
    <w:rsid w:val="00DA459E"/>
    <w:rsid w:val="00DA63D1"/>
    <w:rsid w:val="00DB0FD3"/>
    <w:rsid w:val="00DB165F"/>
    <w:rsid w:val="00DC1074"/>
    <w:rsid w:val="00DC1672"/>
    <w:rsid w:val="00DC2665"/>
    <w:rsid w:val="00DC383A"/>
    <w:rsid w:val="00DC562C"/>
    <w:rsid w:val="00DC6488"/>
    <w:rsid w:val="00DC67E9"/>
    <w:rsid w:val="00DD4861"/>
    <w:rsid w:val="00DD5D80"/>
    <w:rsid w:val="00DD6380"/>
    <w:rsid w:val="00DD6F1C"/>
    <w:rsid w:val="00DE138E"/>
    <w:rsid w:val="00DE1664"/>
    <w:rsid w:val="00DE4C7D"/>
    <w:rsid w:val="00DE5112"/>
    <w:rsid w:val="00DE5547"/>
    <w:rsid w:val="00DE7B7E"/>
    <w:rsid w:val="00DF4630"/>
    <w:rsid w:val="00DF533E"/>
    <w:rsid w:val="00E0008F"/>
    <w:rsid w:val="00E00C85"/>
    <w:rsid w:val="00E05440"/>
    <w:rsid w:val="00E100CA"/>
    <w:rsid w:val="00E14019"/>
    <w:rsid w:val="00E1458F"/>
    <w:rsid w:val="00E1682C"/>
    <w:rsid w:val="00E17A34"/>
    <w:rsid w:val="00E24843"/>
    <w:rsid w:val="00E25254"/>
    <w:rsid w:val="00E33DB5"/>
    <w:rsid w:val="00E363E7"/>
    <w:rsid w:val="00E41246"/>
    <w:rsid w:val="00E41D5D"/>
    <w:rsid w:val="00E458E8"/>
    <w:rsid w:val="00E4785A"/>
    <w:rsid w:val="00E60149"/>
    <w:rsid w:val="00E624B2"/>
    <w:rsid w:val="00E63411"/>
    <w:rsid w:val="00E65E41"/>
    <w:rsid w:val="00E71F50"/>
    <w:rsid w:val="00E72091"/>
    <w:rsid w:val="00E74F5D"/>
    <w:rsid w:val="00E83829"/>
    <w:rsid w:val="00E83E06"/>
    <w:rsid w:val="00E86DB6"/>
    <w:rsid w:val="00E874CB"/>
    <w:rsid w:val="00E908AB"/>
    <w:rsid w:val="00E93479"/>
    <w:rsid w:val="00E94F0E"/>
    <w:rsid w:val="00EA011F"/>
    <w:rsid w:val="00EA0A10"/>
    <w:rsid w:val="00EA3233"/>
    <w:rsid w:val="00EA5CE9"/>
    <w:rsid w:val="00EB0B61"/>
    <w:rsid w:val="00EB4E2A"/>
    <w:rsid w:val="00EB58F9"/>
    <w:rsid w:val="00EB5E04"/>
    <w:rsid w:val="00EB6CC7"/>
    <w:rsid w:val="00EC2225"/>
    <w:rsid w:val="00EC44B2"/>
    <w:rsid w:val="00EC4DCC"/>
    <w:rsid w:val="00EC5F6E"/>
    <w:rsid w:val="00EC76EC"/>
    <w:rsid w:val="00ED1310"/>
    <w:rsid w:val="00ED2401"/>
    <w:rsid w:val="00EE01E7"/>
    <w:rsid w:val="00EE0533"/>
    <w:rsid w:val="00EE1FBB"/>
    <w:rsid w:val="00EE4097"/>
    <w:rsid w:val="00EF463C"/>
    <w:rsid w:val="00EF5ECC"/>
    <w:rsid w:val="00EF76E0"/>
    <w:rsid w:val="00F02149"/>
    <w:rsid w:val="00F02157"/>
    <w:rsid w:val="00F04F9D"/>
    <w:rsid w:val="00F07AA4"/>
    <w:rsid w:val="00F108C6"/>
    <w:rsid w:val="00F11473"/>
    <w:rsid w:val="00F11EFC"/>
    <w:rsid w:val="00F130E3"/>
    <w:rsid w:val="00F14B52"/>
    <w:rsid w:val="00F15862"/>
    <w:rsid w:val="00F17ABA"/>
    <w:rsid w:val="00F25179"/>
    <w:rsid w:val="00F2530F"/>
    <w:rsid w:val="00F30ED0"/>
    <w:rsid w:val="00F33438"/>
    <w:rsid w:val="00F370F2"/>
    <w:rsid w:val="00F42BDF"/>
    <w:rsid w:val="00F42CE5"/>
    <w:rsid w:val="00F47ADA"/>
    <w:rsid w:val="00F51B15"/>
    <w:rsid w:val="00F531DE"/>
    <w:rsid w:val="00F53522"/>
    <w:rsid w:val="00F53A65"/>
    <w:rsid w:val="00F54EE0"/>
    <w:rsid w:val="00F573A4"/>
    <w:rsid w:val="00F5744F"/>
    <w:rsid w:val="00F621A4"/>
    <w:rsid w:val="00F64471"/>
    <w:rsid w:val="00F71A08"/>
    <w:rsid w:val="00F72FB0"/>
    <w:rsid w:val="00F7351F"/>
    <w:rsid w:val="00F756FD"/>
    <w:rsid w:val="00F76057"/>
    <w:rsid w:val="00F761ED"/>
    <w:rsid w:val="00F76E2E"/>
    <w:rsid w:val="00F77F3E"/>
    <w:rsid w:val="00F87103"/>
    <w:rsid w:val="00F87278"/>
    <w:rsid w:val="00F93EE0"/>
    <w:rsid w:val="00F9434B"/>
    <w:rsid w:val="00F9451B"/>
    <w:rsid w:val="00F949D1"/>
    <w:rsid w:val="00FA1139"/>
    <w:rsid w:val="00FA6790"/>
    <w:rsid w:val="00FA78D1"/>
    <w:rsid w:val="00FB01E8"/>
    <w:rsid w:val="00FB46C5"/>
    <w:rsid w:val="00FB4AAC"/>
    <w:rsid w:val="00FB4C92"/>
    <w:rsid w:val="00FB5981"/>
    <w:rsid w:val="00FC385C"/>
    <w:rsid w:val="00FD3DD8"/>
    <w:rsid w:val="00FD50A4"/>
    <w:rsid w:val="00FE0A38"/>
    <w:rsid w:val="00FE22F8"/>
    <w:rsid w:val="00FE42CF"/>
    <w:rsid w:val="00FE489C"/>
    <w:rsid w:val="00FF3C7C"/>
    <w:rsid w:val="00FF57E9"/>
    <w:rsid w:val="00FF5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D743"/>
  <w15:docId w15:val="{C84F5FD2-94BB-496D-9466-D5366DB2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59"/>
  </w:style>
  <w:style w:type="paragraph" w:styleId="Heading1">
    <w:name w:val="heading 1"/>
    <w:basedOn w:val="Normal"/>
    <w:next w:val="Normal"/>
    <w:link w:val="Heading1Char"/>
    <w:uiPriority w:val="9"/>
    <w:qFormat/>
    <w:rsid w:val="0094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F9E"/>
    <w:rPr>
      <w:rFonts w:eastAsiaTheme="majorEastAsia" w:cstheme="majorBidi"/>
      <w:color w:val="272727" w:themeColor="text1" w:themeTint="D8"/>
    </w:rPr>
  </w:style>
  <w:style w:type="character" w:customStyle="1" w:styleId="TitleChar">
    <w:name w:val="Title Char"/>
    <w:basedOn w:val="DefaultParagraphFont"/>
    <w:link w:val="Title"/>
    <w:uiPriority w:val="10"/>
    <w:rsid w:val="0094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4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F9E"/>
    <w:pPr>
      <w:spacing w:before="160"/>
      <w:jc w:val="center"/>
    </w:pPr>
    <w:rPr>
      <w:i/>
      <w:iCs/>
      <w:color w:val="404040" w:themeColor="text1" w:themeTint="BF"/>
    </w:rPr>
  </w:style>
  <w:style w:type="character" w:customStyle="1" w:styleId="QuoteChar">
    <w:name w:val="Quote Char"/>
    <w:basedOn w:val="DefaultParagraphFont"/>
    <w:link w:val="Quote"/>
    <w:uiPriority w:val="29"/>
    <w:rsid w:val="00944F9E"/>
    <w:rPr>
      <w:i/>
      <w:iCs/>
      <w:color w:val="404040" w:themeColor="text1" w:themeTint="BF"/>
    </w:rPr>
  </w:style>
  <w:style w:type="paragraph" w:styleId="ListParagraph">
    <w:name w:val="List Paragraph"/>
    <w:basedOn w:val="Normal"/>
    <w:uiPriority w:val="34"/>
    <w:qFormat/>
    <w:rsid w:val="00944F9E"/>
    <w:pPr>
      <w:ind w:left="720"/>
      <w:contextualSpacing/>
    </w:pPr>
  </w:style>
  <w:style w:type="character" w:styleId="IntenseEmphasis">
    <w:name w:val="Intense Emphasis"/>
    <w:basedOn w:val="DefaultParagraphFont"/>
    <w:uiPriority w:val="21"/>
    <w:qFormat/>
    <w:rsid w:val="00944F9E"/>
    <w:rPr>
      <w:i/>
      <w:iCs/>
      <w:color w:val="0F4761" w:themeColor="accent1" w:themeShade="BF"/>
    </w:rPr>
  </w:style>
  <w:style w:type="paragraph" w:styleId="IntenseQuote">
    <w:name w:val="Intense Quote"/>
    <w:basedOn w:val="Normal"/>
    <w:next w:val="Normal"/>
    <w:link w:val="IntenseQuoteChar"/>
    <w:uiPriority w:val="30"/>
    <w:qFormat/>
    <w:rsid w:val="0094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F9E"/>
    <w:rPr>
      <w:i/>
      <w:iCs/>
      <w:color w:val="0F4761" w:themeColor="accent1" w:themeShade="BF"/>
    </w:rPr>
  </w:style>
  <w:style w:type="character" w:styleId="IntenseReference">
    <w:name w:val="Intense Reference"/>
    <w:basedOn w:val="DefaultParagraphFont"/>
    <w:uiPriority w:val="32"/>
    <w:qFormat/>
    <w:rsid w:val="00944F9E"/>
    <w:rPr>
      <w:b/>
      <w:bCs/>
      <w:smallCaps/>
      <w:color w:val="0F4761" w:themeColor="accent1" w:themeShade="BF"/>
      <w:spacing w:val="5"/>
    </w:rPr>
  </w:style>
  <w:style w:type="character" w:styleId="Hyperlink">
    <w:name w:val="Hyperlink"/>
    <w:basedOn w:val="DefaultParagraphFont"/>
    <w:uiPriority w:val="99"/>
    <w:unhideWhenUsed/>
    <w:rsid w:val="00E14BEE"/>
    <w:rPr>
      <w:color w:val="0000FF"/>
      <w:u w:val="single"/>
    </w:rPr>
  </w:style>
  <w:style w:type="character" w:styleId="PlaceholderText">
    <w:name w:val="Placeholder Text"/>
    <w:basedOn w:val="DefaultParagraphFont"/>
    <w:uiPriority w:val="99"/>
    <w:semiHidden/>
    <w:rsid w:val="005B779D"/>
    <w:rPr>
      <w:color w:val="666666"/>
    </w:rPr>
  </w:style>
  <w:style w:type="character" w:styleId="FollowedHyperlink">
    <w:name w:val="FollowedHyperlink"/>
    <w:basedOn w:val="DefaultParagraphFont"/>
    <w:uiPriority w:val="99"/>
    <w:semiHidden/>
    <w:unhideWhenUsed/>
    <w:rsid w:val="00CA6F7E"/>
    <w:rPr>
      <w:color w:val="96607D" w:themeColor="followedHyperlink"/>
      <w:u w:val="single"/>
    </w:rPr>
  </w:style>
  <w:style w:type="table" w:styleId="TableGrid">
    <w:name w:val="Table Grid"/>
    <w:basedOn w:val="TableNormal"/>
    <w:uiPriority w:val="39"/>
    <w:rsid w:val="00A35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1D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1D66"/>
    <w:rPr>
      <w:sz w:val="20"/>
      <w:szCs w:val="20"/>
    </w:rPr>
  </w:style>
  <w:style w:type="character" w:styleId="FootnoteReference">
    <w:name w:val="footnote reference"/>
    <w:basedOn w:val="DefaultParagraphFont"/>
    <w:uiPriority w:val="99"/>
    <w:semiHidden/>
    <w:unhideWhenUsed/>
    <w:rsid w:val="003D1D66"/>
    <w:rPr>
      <w:vertAlign w:val="superscript"/>
    </w:rPr>
  </w:style>
  <w:style w:type="paragraph" w:styleId="Caption">
    <w:name w:val="caption"/>
    <w:basedOn w:val="Normal"/>
    <w:next w:val="Normal"/>
    <w:uiPriority w:val="35"/>
    <w:unhideWhenUsed/>
    <w:qFormat/>
    <w:rsid w:val="00B53759"/>
    <w:pPr>
      <w:spacing w:after="200" w:line="240" w:lineRule="auto"/>
    </w:pPr>
    <w:rPr>
      <w:i/>
      <w:iCs/>
      <w:color w:val="0E2841" w:themeColor="text2"/>
      <w:sz w:val="18"/>
      <w:szCs w:val="18"/>
    </w:rPr>
  </w:style>
  <w:style w:type="table" w:styleId="GridTable4-Accent1">
    <w:name w:val="Grid Table 4 Accent 1"/>
    <w:basedOn w:val="TableNormal"/>
    <w:uiPriority w:val="49"/>
    <w:rsid w:val="00C62BE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C62BE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C62BE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156082"/>
      </w:tcPr>
    </w:tblStylePr>
    <w:tblStylePr w:type="lastRow">
      <w:rPr>
        <w:b/>
      </w:rPr>
      <w:tblPr/>
      <w:tcPr>
        <w:tcBorders>
          <w:top w:val="single" w:sz="4" w:space="0" w:color="156082"/>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156082"/>
          <w:left w:val="nil"/>
        </w:tcBorders>
      </w:tcPr>
    </w:tblStylePr>
    <w:tblStylePr w:type="swCell">
      <w:tblPr/>
      <w:tcPr>
        <w:tcBorders>
          <w:top w:val="single" w:sz="4" w:space="0" w:color="156082"/>
          <w:right w:val="nil"/>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Bibliography">
    <w:name w:val="Bibliography"/>
    <w:basedOn w:val="Normal"/>
    <w:next w:val="Normal"/>
    <w:uiPriority w:val="37"/>
    <w:unhideWhenUsed/>
    <w:rsid w:val="00CB6C5F"/>
    <w:pPr>
      <w:tabs>
        <w:tab w:val="left" w:pos="384"/>
      </w:tabs>
      <w:spacing w:after="0" w:line="240" w:lineRule="auto"/>
      <w:ind w:left="384" w:hanging="384"/>
    </w:pPr>
  </w:style>
  <w:style w:type="paragraph" w:styleId="EndnoteText">
    <w:name w:val="endnote text"/>
    <w:basedOn w:val="Normal"/>
    <w:link w:val="EndnoteTextChar"/>
    <w:uiPriority w:val="99"/>
    <w:semiHidden/>
    <w:unhideWhenUsed/>
    <w:rsid w:val="00060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054A"/>
    <w:rPr>
      <w:sz w:val="20"/>
      <w:szCs w:val="20"/>
    </w:rPr>
  </w:style>
  <w:style w:type="character" w:styleId="EndnoteReference">
    <w:name w:val="endnote reference"/>
    <w:basedOn w:val="DefaultParagraphFont"/>
    <w:uiPriority w:val="99"/>
    <w:semiHidden/>
    <w:unhideWhenUsed/>
    <w:rsid w:val="0006054A"/>
    <w:rPr>
      <w:vertAlign w:val="superscript"/>
    </w:rPr>
  </w:style>
  <w:style w:type="paragraph" w:styleId="Revision">
    <w:name w:val="Revision"/>
    <w:hidden/>
    <w:uiPriority w:val="99"/>
    <w:semiHidden/>
    <w:rsid w:val="00011306"/>
    <w:pPr>
      <w:spacing w:after="0" w:line="240" w:lineRule="auto"/>
    </w:pPr>
  </w:style>
  <w:style w:type="character" w:styleId="CommentReference">
    <w:name w:val="annotation reference"/>
    <w:basedOn w:val="DefaultParagraphFont"/>
    <w:uiPriority w:val="99"/>
    <w:semiHidden/>
    <w:unhideWhenUsed/>
    <w:rsid w:val="00877904"/>
    <w:rPr>
      <w:sz w:val="16"/>
      <w:szCs w:val="16"/>
    </w:rPr>
  </w:style>
  <w:style w:type="paragraph" w:styleId="CommentText">
    <w:name w:val="annotation text"/>
    <w:basedOn w:val="Normal"/>
    <w:link w:val="CommentTextChar"/>
    <w:uiPriority w:val="99"/>
    <w:unhideWhenUsed/>
    <w:rsid w:val="00877904"/>
    <w:pPr>
      <w:spacing w:line="240" w:lineRule="auto"/>
    </w:pPr>
    <w:rPr>
      <w:sz w:val="20"/>
      <w:szCs w:val="20"/>
    </w:rPr>
  </w:style>
  <w:style w:type="character" w:customStyle="1" w:styleId="CommentTextChar">
    <w:name w:val="Comment Text Char"/>
    <w:basedOn w:val="DefaultParagraphFont"/>
    <w:link w:val="CommentText"/>
    <w:uiPriority w:val="99"/>
    <w:rsid w:val="00877904"/>
    <w:rPr>
      <w:sz w:val="20"/>
      <w:szCs w:val="20"/>
    </w:rPr>
  </w:style>
  <w:style w:type="paragraph" w:styleId="CommentSubject">
    <w:name w:val="annotation subject"/>
    <w:basedOn w:val="CommentText"/>
    <w:next w:val="CommentText"/>
    <w:link w:val="CommentSubjectChar"/>
    <w:uiPriority w:val="99"/>
    <w:semiHidden/>
    <w:unhideWhenUsed/>
    <w:rsid w:val="00877904"/>
    <w:rPr>
      <w:b/>
      <w:bCs/>
    </w:rPr>
  </w:style>
  <w:style w:type="character" w:customStyle="1" w:styleId="CommentSubjectChar">
    <w:name w:val="Comment Subject Char"/>
    <w:basedOn w:val="CommentTextChar"/>
    <w:link w:val="CommentSubject"/>
    <w:uiPriority w:val="99"/>
    <w:semiHidden/>
    <w:rsid w:val="00877904"/>
    <w:rPr>
      <w:b/>
      <w:bCs/>
      <w:sz w:val="20"/>
      <w:szCs w:val="20"/>
    </w:rPr>
  </w:style>
  <w:style w:type="table" w:styleId="GridTable4-Accent5">
    <w:name w:val="Grid Table 4 Accent 5"/>
    <w:basedOn w:val="TableNormal"/>
    <w:uiPriority w:val="49"/>
    <w:rsid w:val="00F5744F"/>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Header">
    <w:name w:val="header"/>
    <w:basedOn w:val="Normal"/>
    <w:link w:val="HeaderChar"/>
    <w:uiPriority w:val="99"/>
    <w:unhideWhenUsed/>
    <w:rsid w:val="00182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959"/>
  </w:style>
  <w:style w:type="paragraph" w:styleId="Footer">
    <w:name w:val="footer"/>
    <w:basedOn w:val="Normal"/>
    <w:link w:val="FooterChar"/>
    <w:uiPriority w:val="99"/>
    <w:unhideWhenUsed/>
    <w:rsid w:val="00182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959"/>
  </w:style>
  <w:style w:type="character" w:styleId="UnresolvedMention">
    <w:name w:val="Unresolved Mention"/>
    <w:basedOn w:val="DefaultParagraphFont"/>
    <w:uiPriority w:val="99"/>
    <w:semiHidden/>
    <w:unhideWhenUsed/>
    <w:rsid w:val="00846617"/>
    <w:rPr>
      <w:color w:val="605E5C"/>
      <w:shd w:val="clear" w:color="auto" w:fill="E1DFDD"/>
    </w:rPr>
  </w:style>
  <w:style w:type="character" w:customStyle="1" w:styleId="title-text">
    <w:name w:val="title-text"/>
    <w:basedOn w:val="DefaultParagraphFont"/>
    <w:rsid w:val="00884B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5514">
      <w:bodyDiv w:val="1"/>
      <w:marLeft w:val="0"/>
      <w:marRight w:val="0"/>
      <w:marTop w:val="0"/>
      <w:marBottom w:val="0"/>
      <w:divBdr>
        <w:top w:val="none" w:sz="0" w:space="0" w:color="auto"/>
        <w:left w:val="none" w:sz="0" w:space="0" w:color="auto"/>
        <w:bottom w:val="none" w:sz="0" w:space="0" w:color="auto"/>
        <w:right w:val="none" w:sz="0" w:space="0" w:color="auto"/>
      </w:divBdr>
    </w:div>
    <w:div w:id="148790867">
      <w:bodyDiv w:val="1"/>
      <w:marLeft w:val="0"/>
      <w:marRight w:val="0"/>
      <w:marTop w:val="0"/>
      <w:marBottom w:val="0"/>
      <w:divBdr>
        <w:top w:val="none" w:sz="0" w:space="0" w:color="auto"/>
        <w:left w:val="none" w:sz="0" w:space="0" w:color="auto"/>
        <w:bottom w:val="none" w:sz="0" w:space="0" w:color="auto"/>
        <w:right w:val="none" w:sz="0" w:space="0" w:color="auto"/>
      </w:divBdr>
    </w:div>
    <w:div w:id="188642295">
      <w:bodyDiv w:val="1"/>
      <w:marLeft w:val="0"/>
      <w:marRight w:val="0"/>
      <w:marTop w:val="0"/>
      <w:marBottom w:val="0"/>
      <w:divBdr>
        <w:top w:val="none" w:sz="0" w:space="0" w:color="auto"/>
        <w:left w:val="none" w:sz="0" w:space="0" w:color="auto"/>
        <w:bottom w:val="none" w:sz="0" w:space="0" w:color="auto"/>
        <w:right w:val="none" w:sz="0" w:space="0" w:color="auto"/>
      </w:divBdr>
    </w:div>
    <w:div w:id="226304240">
      <w:bodyDiv w:val="1"/>
      <w:marLeft w:val="0"/>
      <w:marRight w:val="0"/>
      <w:marTop w:val="0"/>
      <w:marBottom w:val="0"/>
      <w:divBdr>
        <w:top w:val="none" w:sz="0" w:space="0" w:color="auto"/>
        <w:left w:val="none" w:sz="0" w:space="0" w:color="auto"/>
        <w:bottom w:val="none" w:sz="0" w:space="0" w:color="auto"/>
        <w:right w:val="none" w:sz="0" w:space="0" w:color="auto"/>
      </w:divBdr>
    </w:div>
    <w:div w:id="508302017">
      <w:bodyDiv w:val="1"/>
      <w:marLeft w:val="0"/>
      <w:marRight w:val="0"/>
      <w:marTop w:val="0"/>
      <w:marBottom w:val="0"/>
      <w:divBdr>
        <w:top w:val="none" w:sz="0" w:space="0" w:color="auto"/>
        <w:left w:val="none" w:sz="0" w:space="0" w:color="auto"/>
        <w:bottom w:val="none" w:sz="0" w:space="0" w:color="auto"/>
        <w:right w:val="none" w:sz="0" w:space="0" w:color="auto"/>
      </w:divBdr>
    </w:div>
    <w:div w:id="666641535">
      <w:bodyDiv w:val="1"/>
      <w:marLeft w:val="0"/>
      <w:marRight w:val="0"/>
      <w:marTop w:val="0"/>
      <w:marBottom w:val="0"/>
      <w:divBdr>
        <w:top w:val="none" w:sz="0" w:space="0" w:color="auto"/>
        <w:left w:val="none" w:sz="0" w:space="0" w:color="auto"/>
        <w:bottom w:val="none" w:sz="0" w:space="0" w:color="auto"/>
        <w:right w:val="none" w:sz="0" w:space="0" w:color="auto"/>
      </w:divBdr>
      <w:divsChild>
        <w:div w:id="1385984262">
          <w:marLeft w:val="0"/>
          <w:marRight w:val="0"/>
          <w:marTop w:val="0"/>
          <w:marBottom w:val="0"/>
          <w:divBdr>
            <w:top w:val="none" w:sz="0" w:space="0" w:color="auto"/>
            <w:left w:val="none" w:sz="0" w:space="0" w:color="auto"/>
            <w:bottom w:val="none" w:sz="0" w:space="0" w:color="auto"/>
            <w:right w:val="none" w:sz="0" w:space="0" w:color="auto"/>
          </w:divBdr>
          <w:divsChild>
            <w:div w:id="1521775643">
              <w:marLeft w:val="0"/>
              <w:marRight w:val="0"/>
              <w:marTop w:val="0"/>
              <w:marBottom w:val="0"/>
              <w:divBdr>
                <w:top w:val="none" w:sz="0" w:space="0" w:color="auto"/>
                <w:left w:val="none" w:sz="0" w:space="0" w:color="auto"/>
                <w:bottom w:val="none" w:sz="0" w:space="0" w:color="auto"/>
                <w:right w:val="none" w:sz="0" w:space="0" w:color="auto"/>
              </w:divBdr>
              <w:divsChild>
                <w:div w:id="700010865">
                  <w:marLeft w:val="0"/>
                  <w:marRight w:val="0"/>
                  <w:marTop w:val="0"/>
                  <w:marBottom w:val="0"/>
                  <w:divBdr>
                    <w:top w:val="none" w:sz="0" w:space="0" w:color="auto"/>
                    <w:left w:val="none" w:sz="0" w:space="0" w:color="auto"/>
                    <w:bottom w:val="none" w:sz="0" w:space="0" w:color="auto"/>
                    <w:right w:val="none" w:sz="0" w:space="0" w:color="auto"/>
                  </w:divBdr>
                  <w:divsChild>
                    <w:div w:id="271976736">
                      <w:marLeft w:val="0"/>
                      <w:marRight w:val="0"/>
                      <w:marTop w:val="0"/>
                      <w:marBottom w:val="0"/>
                      <w:divBdr>
                        <w:top w:val="none" w:sz="0" w:space="0" w:color="auto"/>
                        <w:left w:val="none" w:sz="0" w:space="0" w:color="auto"/>
                        <w:bottom w:val="none" w:sz="0" w:space="0" w:color="auto"/>
                        <w:right w:val="none" w:sz="0" w:space="0" w:color="auto"/>
                      </w:divBdr>
                      <w:divsChild>
                        <w:div w:id="357316309">
                          <w:marLeft w:val="0"/>
                          <w:marRight w:val="0"/>
                          <w:marTop w:val="0"/>
                          <w:marBottom w:val="0"/>
                          <w:divBdr>
                            <w:top w:val="none" w:sz="0" w:space="0" w:color="auto"/>
                            <w:left w:val="none" w:sz="0" w:space="0" w:color="auto"/>
                            <w:bottom w:val="none" w:sz="0" w:space="0" w:color="auto"/>
                            <w:right w:val="none" w:sz="0" w:space="0" w:color="auto"/>
                          </w:divBdr>
                          <w:divsChild>
                            <w:div w:id="14630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10989">
                  <w:marLeft w:val="0"/>
                  <w:marRight w:val="0"/>
                  <w:marTop w:val="0"/>
                  <w:marBottom w:val="0"/>
                  <w:divBdr>
                    <w:top w:val="none" w:sz="0" w:space="0" w:color="auto"/>
                    <w:left w:val="none" w:sz="0" w:space="0" w:color="auto"/>
                    <w:bottom w:val="none" w:sz="0" w:space="0" w:color="auto"/>
                    <w:right w:val="none" w:sz="0" w:space="0" w:color="auto"/>
                  </w:divBdr>
                  <w:divsChild>
                    <w:div w:id="2059818235">
                      <w:marLeft w:val="0"/>
                      <w:marRight w:val="0"/>
                      <w:marTop w:val="0"/>
                      <w:marBottom w:val="0"/>
                      <w:divBdr>
                        <w:top w:val="none" w:sz="0" w:space="0" w:color="auto"/>
                        <w:left w:val="none" w:sz="0" w:space="0" w:color="auto"/>
                        <w:bottom w:val="none" w:sz="0" w:space="0" w:color="auto"/>
                        <w:right w:val="none" w:sz="0" w:space="0" w:color="auto"/>
                      </w:divBdr>
                      <w:divsChild>
                        <w:div w:id="942147701">
                          <w:marLeft w:val="0"/>
                          <w:marRight w:val="0"/>
                          <w:marTop w:val="0"/>
                          <w:marBottom w:val="0"/>
                          <w:divBdr>
                            <w:top w:val="none" w:sz="0" w:space="0" w:color="auto"/>
                            <w:left w:val="none" w:sz="0" w:space="0" w:color="auto"/>
                            <w:bottom w:val="none" w:sz="0" w:space="0" w:color="auto"/>
                            <w:right w:val="none" w:sz="0" w:space="0" w:color="auto"/>
                          </w:divBdr>
                          <w:divsChild>
                            <w:div w:id="20930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595988">
      <w:bodyDiv w:val="1"/>
      <w:marLeft w:val="0"/>
      <w:marRight w:val="0"/>
      <w:marTop w:val="0"/>
      <w:marBottom w:val="0"/>
      <w:divBdr>
        <w:top w:val="none" w:sz="0" w:space="0" w:color="auto"/>
        <w:left w:val="none" w:sz="0" w:space="0" w:color="auto"/>
        <w:bottom w:val="none" w:sz="0" w:space="0" w:color="auto"/>
        <w:right w:val="none" w:sz="0" w:space="0" w:color="auto"/>
      </w:divBdr>
    </w:div>
    <w:div w:id="771047855">
      <w:bodyDiv w:val="1"/>
      <w:marLeft w:val="0"/>
      <w:marRight w:val="0"/>
      <w:marTop w:val="0"/>
      <w:marBottom w:val="0"/>
      <w:divBdr>
        <w:top w:val="none" w:sz="0" w:space="0" w:color="auto"/>
        <w:left w:val="none" w:sz="0" w:space="0" w:color="auto"/>
        <w:bottom w:val="none" w:sz="0" w:space="0" w:color="auto"/>
        <w:right w:val="none" w:sz="0" w:space="0" w:color="auto"/>
      </w:divBdr>
    </w:div>
    <w:div w:id="799423495">
      <w:bodyDiv w:val="1"/>
      <w:marLeft w:val="0"/>
      <w:marRight w:val="0"/>
      <w:marTop w:val="0"/>
      <w:marBottom w:val="0"/>
      <w:divBdr>
        <w:top w:val="none" w:sz="0" w:space="0" w:color="auto"/>
        <w:left w:val="none" w:sz="0" w:space="0" w:color="auto"/>
        <w:bottom w:val="none" w:sz="0" w:space="0" w:color="auto"/>
        <w:right w:val="none" w:sz="0" w:space="0" w:color="auto"/>
      </w:divBdr>
    </w:div>
    <w:div w:id="921334562">
      <w:bodyDiv w:val="1"/>
      <w:marLeft w:val="0"/>
      <w:marRight w:val="0"/>
      <w:marTop w:val="0"/>
      <w:marBottom w:val="0"/>
      <w:divBdr>
        <w:top w:val="none" w:sz="0" w:space="0" w:color="auto"/>
        <w:left w:val="none" w:sz="0" w:space="0" w:color="auto"/>
        <w:bottom w:val="none" w:sz="0" w:space="0" w:color="auto"/>
        <w:right w:val="none" w:sz="0" w:space="0" w:color="auto"/>
      </w:divBdr>
    </w:div>
    <w:div w:id="981807489">
      <w:bodyDiv w:val="1"/>
      <w:marLeft w:val="0"/>
      <w:marRight w:val="0"/>
      <w:marTop w:val="0"/>
      <w:marBottom w:val="0"/>
      <w:divBdr>
        <w:top w:val="none" w:sz="0" w:space="0" w:color="auto"/>
        <w:left w:val="none" w:sz="0" w:space="0" w:color="auto"/>
        <w:bottom w:val="none" w:sz="0" w:space="0" w:color="auto"/>
        <w:right w:val="none" w:sz="0" w:space="0" w:color="auto"/>
      </w:divBdr>
    </w:div>
    <w:div w:id="1023048080">
      <w:bodyDiv w:val="1"/>
      <w:marLeft w:val="0"/>
      <w:marRight w:val="0"/>
      <w:marTop w:val="0"/>
      <w:marBottom w:val="0"/>
      <w:divBdr>
        <w:top w:val="none" w:sz="0" w:space="0" w:color="auto"/>
        <w:left w:val="none" w:sz="0" w:space="0" w:color="auto"/>
        <w:bottom w:val="none" w:sz="0" w:space="0" w:color="auto"/>
        <w:right w:val="none" w:sz="0" w:space="0" w:color="auto"/>
      </w:divBdr>
    </w:div>
    <w:div w:id="1558857258">
      <w:bodyDiv w:val="1"/>
      <w:marLeft w:val="0"/>
      <w:marRight w:val="0"/>
      <w:marTop w:val="0"/>
      <w:marBottom w:val="0"/>
      <w:divBdr>
        <w:top w:val="none" w:sz="0" w:space="0" w:color="auto"/>
        <w:left w:val="none" w:sz="0" w:space="0" w:color="auto"/>
        <w:bottom w:val="none" w:sz="0" w:space="0" w:color="auto"/>
        <w:right w:val="none" w:sz="0" w:space="0" w:color="auto"/>
      </w:divBdr>
    </w:div>
    <w:div w:id="1624846385">
      <w:bodyDiv w:val="1"/>
      <w:marLeft w:val="0"/>
      <w:marRight w:val="0"/>
      <w:marTop w:val="0"/>
      <w:marBottom w:val="0"/>
      <w:divBdr>
        <w:top w:val="none" w:sz="0" w:space="0" w:color="auto"/>
        <w:left w:val="none" w:sz="0" w:space="0" w:color="auto"/>
        <w:bottom w:val="none" w:sz="0" w:space="0" w:color="auto"/>
        <w:right w:val="none" w:sz="0" w:space="0" w:color="auto"/>
      </w:divBdr>
    </w:div>
    <w:div w:id="1641690026">
      <w:bodyDiv w:val="1"/>
      <w:marLeft w:val="0"/>
      <w:marRight w:val="0"/>
      <w:marTop w:val="0"/>
      <w:marBottom w:val="0"/>
      <w:divBdr>
        <w:top w:val="none" w:sz="0" w:space="0" w:color="auto"/>
        <w:left w:val="none" w:sz="0" w:space="0" w:color="auto"/>
        <w:bottom w:val="none" w:sz="0" w:space="0" w:color="auto"/>
        <w:right w:val="none" w:sz="0" w:space="0" w:color="auto"/>
      </w:divBdr>
    </w:div>
    <w:div w:id="1738935323">
      <w:bodyDiv w:val="1"/>
      <w:marLeft w:val="0"/>
      <w:marRight w:val="0"/>
      <w:marTop w:val="0"/>
      <w:marBottom w:val="0"/>
      <w:divBdr>
        <w:top w:val="none" w:sz="0" w:space="0" w:color="auto"/>
        <w:left w:val="none" w:sz="0" w:space="0" w:color="auto"/>
        <w:bottom w:val="none" w:sz="0" w:space="0" w:color="auto"/>
        <w:right w:val="none" w:sz="0" w:space="0" w:color="auto"/>
      </w:divBdr>
      <w:divsChild>
        <w:div w:id="1286933114">
          <w:marLeft w:val="0"/>
          <w:marRight w:val="0"/>
          <w:marTop w:val="0"/>
          <w:marBottom w:val="0"/>
          <w:divBdr>
            <w:top w:val="none" w:sz="0" w:space="0" w:color="auto"/>
            <w:left w:val="none" w:sz="0" w:space="0" w:color="auto"/>
            <w:bottom w:val="none" w:sz="0" w:space="0" w:color="auto"/>
            <w:right w:val="none" w:sz="0" w:space="0" w:color="auto"/>
          </w:divBdr>
          <w:divsChild>
            <w:div w:id="195124890">
              <w:marLeft w:val="0"/>
              <w:marRight w:val="0"/>
              <w:marTop w:val="0"/>
              <w:marBottom w:val="0"/>
              <w:divBdr>
                <w:top w:val="none" w:sz="0" w:space="0" w:color="auto"/>
                <w:left w:val="none" w:sz="0" w:space="0" w:color="auto"/>
                <w:bottom w:val="none" w:sz="0" w:space="0" w:color="auto"/>
                <w:right w:val="none" w:sz="0" w:space="0" w:color="auto"/>
              </w:divBdr>
              <w:divsChild>
                <w:div w:id="1643654212">
                  <w:marLeft w:val="0"/>
                  <w:marRight w:val="0"/>
                  <w:marTop w:val="0"/>
                  <w:marBottom w:val="0"/>
                  <w:divBdr>
                    <w:top w:val="none" w:sz="0" w:space="0" w:color="auto"/>
                    <w:left w:val="none" w:sz="0" w:space="0" w:color="auto"/>
                    <w:bottom w:val="none" w:sz="0" w:space="0" w:color="auto"/>
                    <w:right w:val="none" w:sz="0" w:space="0" w:color="auto"/>
                  </w:divBdr>
                  <w:divsChild>
                    <w:div w:id="1485513246">
                      <w:marLeft w:val="0"/>
                      <w:marRight w:val="0"/>
                      <w:marTop w:val="0"/>
                      <w:marBottom w:val="0"/>
                      <w:divBdr>
                        <w:top w:val="none" w:sz="0" w:space="0" w:color="auto"/>
                        <w:left w:val="none" w:sz="0" w:space="0" w:color="auto"/>
                        <w:bottom w:val="none" w:sz="0" w:space="0" w:color="auto"/>
                        <w:right w:val="none" w:sz="0" w:space="0" w:color="auto"/>
                      </w:divBdr>
                      <w:divsChild>
                        <w:div w:id="1631747587">
                          <w:marLeft w:val="0"/>
                          <w:marRight w:val="0"/>
                          <w:marTop w:val="0"/>
                          <w:marBottom w:val="0"/>
                          <w:divBdr>
                            <w:top w:val="none" w:sz="0" w:space="0" w:color="auto"/>
                            <w:left w:val="none" w:sz="0" w:space="0" w:color="auto"/>
                            <w:bottom w:val="none" w:sz="0" w:space="0" w:color="auto"/>
                            <w:right w:val="none" w:sz="0" w:space="0" w:color="auto"/>
                          </w:divBdr>
                          <w:divsChild>
                            <w:div w:id="6515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1416">
                  <w:marLeft w:val="0"/>
                  <w:marRight w:val="0"/>
                  <w:marTop w:val="0"/>
                  <w:marBottom w:val="0"/>
                  <w:divBdr>
                    <w:top w:val="none" w:sz="0" w:space="0" w:color="auto"/>
                    <w:left w:val="none" w:sz="0" w:space="0" w:color="auto"/>
                    <w:bottom w:val="none" w:sz="0" w:space="0" w:color="auto"/>
                    <w:right w:val="none" w:sz="0" w:space="0" w:color="auto"/>
                  </w:divBdr>
                  <w:divsChild>
                    <w:div w:id="1408108321">
                      <w:marLeft w:val="0"/>
                      <w:marRight w:val="0"/>
                      <w:marTop w:val="0"/>
                      <w:marBottom w:val="0"/>
                      <w:divBdr>
                        <w:top w:val="none" w:sz="0" w:space="0" w:color="auto"/>
                        <w:left w:val="none" w:sz="0" w:space="0" w:color="auto"/>
                        <w:bottom w:val="none" w:sz="0" w:space="0" w:color="auto"/>
                        <w:right w:val="none" w:sz="0" w:space="0" w:color="auto"/>
                      </w:divBdr>
                      <w:divsChild>
                        <w:div w:id="978850546">
                          <w:marLeft w:val="0"/>
                          <w:marRight w:val="0"/>
                          <w:marTop w:val="0"/>
                          <w:marBottom w:val="0"/>
                          <w:divBdr>
                            <w:top w:val="none" w:sz="0" w:space="0" w:color="auto"/>
                            <w:left w:val="none" w:sz="0" w:space="0" w:color="auto"/>
                            <w:bottom w:val="none" w:sz="0" w:space="0" w:color="auto"/>
                            <w:right w:val="none" w:sz="0" w:space="0" w:color="auto"/>
                          </w:divBdr>
                          <w:divsChild>
                            <w:div w:id="785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89893">
      <w:bodyDiv w:val="1"/>
      <w:marLeft w:val="0"/>
      <w:marRight w:val="0"/>
      <w:marTop w:val="0"/>
      <w:marBottom w:val="0"/>
      <w:divBdr>
        <w:top w:val="none" w:sz="0" w:space="0" w:color="auto"/>
        <w:left w:val="none" w:sz="0" w:space="0" w:color="auto"/>
        <w:bottom w:val="none" w:sz="0" w:space="0" w:color="auto"/>
        <w:right w:val="none" w:sz="0" w:space="0" w:color="auto"/>
      </w:divBdr>
    </w:div>
    <w:div w:id="2014868561">
      <w:bodyDiv w:val="1"/>
      <w:marLeft w:val="0"/>
      <w:marRight w:val="0"/>
      <w:marTop w:val="0"/>
      <w:marBottom w:val="0"/>
      <w:divBdr>
        <w:top w:val="none" w:sz="0" w:space="0" w:color="auto"/>
        <w:left w:val="none" w:sz="0" w:space="0" w:color="auto"/>
        <w:bottom w:val="none" w:sz="0" w:space="0" w:color="auto"/>
        <w:right w:val="none" w:sz="0" w:space="0" w:color="auto"/>
      </w:divBdr>
    </w:div>
    <w:div w:id="2063819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www.nerc.com/pa/Stand/Glossary%20of%20Terms/Glossary_of_Terms.pdf"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f12689ea643b87bc/2024_electricity_trade_paper/data/imports%20high%20net%20loads%20diff%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740729115966212E-2"/>
          <c:y val="3.7497070541363954E-2"/>
          <c:w val="0.8531581732526069"/>
          <c:h val="0.79225072844333644"/>
        </c:manualLayout>
      </c:layout>
      <c:barChart>
        <c:barDir val="bar"/>
        <c:grouping val="clustered"/>
        <c:varyColors val="0"/>
        <c:ser>
          <c:idx val="0"/>
          <c:order val="0"/>
          <c:spPr>
            <a:solidFill>
              <a:schemeClr val="accent1"/>
            </a:solidFill>
            <a:ln>
              <a:noFill/>
            </a:ln>
            <a:effectLst/>
          </c:spPr>
          <c:invertIfNegative val="0"/>
          <c:val>
            <c:numRef>
              <c:f>'[imports high net loads diff chart.xlsx]Sheet1'!$A$1:$A$46</c:f>
              <c:numCache>
                <c:formatCode>General</c:formatCode>
                <c:ptCount val="46"/>
                <c:pt idx="0">
                  <c:v>-9.3029925985211009E-2</c:v>
                </c:pt>
                <c:pt idx="1">
                  <c:v>-9.0441947824400959E-2</c:v>
                </c:pt>
                <c:pt idx="2">
                  <c:v>-8.7558919415611197E-2</c:v>
                </c:pt>
                <c:pt idx="3">
                  <c:v>-6.8084611651578031E-2</c:v>
                </c:pt>
                <c:pt idx="4">
                  <c:v>-4.8165272084470745E-2</c:v>
                </c:pt>
                <c:pt idx="5">
                  <c:v>-4.500389055267201E-2</c:v>
                </c:pt>
                <c:pt idx="6">
                  <c:v>-4.0065557966371013E-2</c:v>
                </c:pt>
                <c:pt idx="7">
                  <c:v>-3.8997804140042003E-2</c:v>
                </c:pt>
                <c:pt idx="8">
                  <c:v>-2.7496468845527977E-2</c:v>
                </c:pt>
                <c:pt idx="9">
                  <c:v>-2.7373185495583013E-2</c:v>
                </c:pt>
                <c:pt idx="10">
                  <c:v>-2.2131290823931005E-2</c:v>
                </c:pt>
                <c:pt idx="11">
                  <c:v>-1.9082834829216022E-2</c:v>
                </c:pt>
                <c:pt idx="12">
                  <c:v>-1.5694833929185997E-2</c:v>
                </c:pt>
                <c:pt idx="13">
                  <c:v>-1.1113185109222301E-2</c:v>
                </c:pt>
                <c:pt idx="14">
                  <c:v>-1.0105844587596099E-2</c:v>
                </c:pt>
                <c:pt idx="15">
                  <c:v>-8.534988572644106E-3</c:v>
                </c:pt>
                <c:pt idx="16">
                  <c:v>-7.4730627201880229E-3</c:v>
                </c:pt>
                <c:pt idx="17">
                  <c:v>-7.2144178256198024E-3</c:v>
                </c:pt>
                <c:pt idx="18">
                  <c:v>-6.8143841699245195E-3</c:v>
                </c:pt>
                <c:pt idx="19">
                  <c:v>-6.1294136205333203E-3</c:v>
                </c:pt>
                <c:pt idx="20">
                  <c:v>-3.7280141302831605E-3</c:v>
                </c:pt>
                <c:pt idx="21">
                  <c:v>-4.5310648461817024E-4</c:v>
                </c:pt>
                <c:pt idx="22">
                  <c:v>0</c:v>
                </c:pt>
                <c:pt idx="23">
                  <c:v>8.4600076650470472E-5</c:v>
                </c:pt>
                <c:pt idx="24">
                  <c:v>3.9979125419556004E-4</c:v>
                </c:pt>
                <c:pt idx="25">
                  <c:v>2.0263092739873268E-3</c:v>
                </c:pt>
                <c:pt idx="26">
                  <c:v>3.8647259521840116E-3</c:v>
                </c:pt>
                <c:pt idx="27">
                  <c:v>5.6020787323675702E-3</c:v>
                </c:pt>
                <c:pt idx="28">
                  <c:v>6.4715594873323984E-3</c:v>
                </c:pt>
                <c:pt idx="29">
                  <c:v>9.0007505900170197E-3</c:v>
                </c:pt>
                <c:pt idx="30">
                  <c:v>1.2799576994782801E-2</c:v>
                </c:pt>
                <c:pt idx="31">
                  <c:v>1.6946347792240996E-2</c:v>
                </c:pt>
                <c:pt idx="32">
                  <c:v>3.6977239875204196E-2</c:v>
                </c:pt>
                <c:pt idx="33">
                  <c:v>4.00982794396346E-2</c:v>
                </c:pt>
                <c:pt idx="34">
                  <c:v>4.1402820052267399E-2</c:v>
                </c:pt>
                <c:pt idx="35">
                  <c:v>7.9176096468485085E-2</c:v>
                </c:pt>
                <c:pt idx="36">
                  <c:v>8.1730463264193032E-2</c:v>
                </c:pt>
                <c:pt idx="37">
                  <c:v>8.2873063601802022E-2</c:v>
                </c:pt>
                <c:pt idx="38">
                  <c:v>9.0103125216822011E-2</c:v>
                </c:pt>
                <c:pt idx="39">
                  <c:v>9.6423023916013983E-2</c:v>
                </c:pt>
                <c:pt idx="40">
                  <c:v>9.9250388901354986E-2</c:v>
                </c:pt>
                <c:pt idx="41">
                  <c:v>0.10204662942904399</c:v>
                </c:pt>
                <c:pt idx="42">
                  <c:v>0.11046059019960329</c:v>
                </c:pt>
                <c:pt idx="43">
                  <c:v>0.14216534944320397</c:v>
                </c:pt>
              </c:numCache>
            </c:numRef>
          </c:val>
          <c:extLst>
            <c:ext xmlns:c16="http://schemas.microsoft.com/office/drawing/2014/chart" uri="{C3380CC4-5D6E-409C-BE32-E72D297353CC}">
              <c16:uniqueId val="{00000000-B992-446F-8978-C8D67179563D}"/>
            </c:ext>
          </c:extLst>
        </c:ser>
        <c:dLbls>
          <c:showLegendKey val="0"/>
          <c:showVal val="0"/>
          <c:showCatName val="0"/>
          <c:showSerName val="0"/>
          <c:showPercent val="0"/>
          <c:showBubbleSize val="0"/>
        </c:dLbls>
        <c:gapWidth val="99"/>
        <c:axId val="1881208527"/>
        <c:axId val="1881209007"/>
      </c:barChart>
      <c:catAx>
        <c:axId val="1881208527"/>
        <c:scaling>
          <c:orientation val="minMax"/>
        </c:scaling>
        <c:delete val="1"/>
        <c:axPos val="l"/>
        <c:numFmt formatCode="General" sourceLinked="1"/>
        <c:majorTickMark val="none"/>
        <c:minorTickMark val="none"/>
        <c:tickLblPos val="nextTo"/>
        <c:crossAx val="1881209007"/>
        <c:crosses val="autoZero"/>
        <c:auto val="1"/>
        <c:lblAlgn val="ctr"/>
        <c:lblOffset val="100"/>
        <c:noMultiLvlLbl val="0"/>
      </c:catAx>
      <c:valAx>
        <c:axId val="1881209007"/>
        <c:scaling>
          <c:orientation val="minMax"/>
          <c:max val="0.15000000000000002"/>
          <c:min val="-0.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Difference in Import Share</a:t>
                </a:r>
              </a:p>
            </c:rich>
          </c:tx>
          <c:layout>
            <c:manualLayout>
              <c:xMode val="edge"/>
              <c:yMode val="edge"/>
              <c:x val="0.26889559082411058"/>
              <c:y val="0.9052962766811402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8120852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8B69-7801-407A-946A-67BCBB8D6897}">
  <we:reference id="wa104382081" version="1.55.1.0" store="en-US" storeType="OMEX"/>
  <we:alternateReferences>
    <we:reference id="wa104382081" version="1.55.1.0" store="" storeType="OMEX"/>
  </we:alternateReferences>
  <we:properties>
    <we:property name="MENDELEY_CITATIONS" value="[{&quot;citationID&quot;:&quot;MENDELEY_CITATION_55b44e44-65e6-4d62-8b09-3208cc49b594&quot;,&quot;properties&quot;:{&quot;noteIndex&quot;:0},&quot;isEdited&quot;:false,&quot;manualOverride&quot;:{&quot;isManuallyOverridden&quot;:false,&quot;citeprocText&quot;:&quot;[1]&quot;,&quot;manualOverrideText&quot;:&quot;&quot;},&quot;citationTag&quot;:&quot;MENDELEY_CITATION_v3_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&quot;,&quot;citationItems&quot;:[{&quot;id&quot;:&quot;e9055982-bc99-3749-9bb3-50f9349428c2&quot;,&quot;itemData&quot;:{&quot;type&quot;:&quot;article-journal&quot;,&quot;id&quot;:&quot;e9055982-bc99-3749-9bb3-50f9349428c2&quot;,&quot;title&quot;:&quot;The Measurement of Species Diversity Robert K. Peet Annual Review of Ecology and Systematics , Vol. 5. (1974), pp. 285-307.&quot;,&quot;author&quot;:[{&quot;family&quot;:&quot;Peet, Robert&quot;,&quot;given&quot;:&quot;K.&quot;,&quot;parse-names&quot;:false,&quot;dropping-particle&quot;:&quot;&quot;,&quot;non-dropping-particle&quot;:&quot;&quot;}],&quot;container-title&quot;:&quot;Annual Review of Ecology and Systematics&quot;,&quot;container-title-short&quot;:&quot;Annu Rev Ecol Syst&quot;,&quot;issued&quot;:{&quot;date-parts&quot;:[[1974]]},&quot;abstract&quot;:&quot;Inspired significantly by the provocative papers of MacArthur (34, 35, 38) and Hutchinson (22), ecologists over the past twenty years have devoted considerable energy to the explanation of patterns of diversity in ecologic systems. Despite considerable interest, however, no generally accepted definition of diversity has emerged. \&quot;Diversity per se does not exist,\&quot; was the contention of Hurlbert (20), who suggested abandoning the term because of the multiplicity of meanings and interpre- tations attached to it. MacArthur (37) also considered the term had outlived its usefulness, and Eberhardt (10), Austin (2), and McIntosh (40) all complained of the lack of a definition. Eberhardt considered that diversity \&quot;mostly suggests a consider- able confusion of concepts, definitions, models, and measures (or indices).\&quot; If diver- sity is to continue toplay a productive role in ecological investigations, agreement is needed on the definitions of the many constituent concepts included in its current application. At the community level of synthesis many phenomena are complex and open to multiple interpretation. Consequently, many authors have suggested diversity in- dices appropriate for their own studies, no one of which can be considered a priori correct for general application (12, 19, 20, 32, 40). Diversity, in essence, has always been defined by the indices used to measure it, and this has not fostered the sort of uniformity which allows the clear statement of ideas and hypotheses. Progress in ecology, as in all science, depends upon precise and unambiguous definition of terms and concepts (2, 40, 44). The present contribution attempts to define in a precise, but still generalized manner, what is or should be meant by the many terms sur- rounding the concept-cluster diversity. Guidelines are also suggested for the applica- tion of the many available diversity indice&quot;,&quot;volume&quot;:&quot;5&quot;},&quot;isTemporary&quot;:false}]}]"/>
    <we:property name="MENDELEY_CITATIONS_LOCALE_CODE" value="&quot;en-US&quot;"/>
    <we:property name="MENDELEY_CITATIONS_STYLE" value="{&quot;id&quot;:&quot;https://www.zotero.org/styles/applied-energy&quot;,&quot;title&quot;:&quot;Applied Ener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hDruxJsXGVkKJL8Dq1P4ggrhw==">CgMxLjAyCGguZ2pkZ3hzOAByITFNWUZVT25PVE9iMzE5VTZGN3N4bVo5a1JIQ0xOUnVuWg==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4D33B7-20AD-4F9B-AEBE-EB4F6ACA2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11526</TotalTime>
  <Pages>24</Pages>
  <Words>21500</Words>
  <Characters>122554</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Dahlke, Steven</dc:creator>
  <cp:lastModifiedBy>Steven Dahlke</cp:lastModifiedBy>
  <cp:revision>825</cp:revision>
  <dcterms:created xsi:type="dcterms:W3CDTF">2024-04-17T11:41:00Z</dcterms:created>
  <dcterms:modified xsi:type="dcterms:W3CDTF">2024-11-28T05:33:00Z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id="x7MRWXIR"/&gt;&lt;style id="http://www.zotero.org/styles/applied-energy" hasBibliography="1" bibliographyStyleHasBeenSet="1"/&gt;&lt;prefs&gt;&lt;pref name="fieldType" value="Field"/&gt;&lt;/prefs&gt;&lt;/data&gt;</vt:lpwstr>
  </property>
</Properties>
</file>