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6AA597" w14:textId="79C8046F" w:rsidR="00FD50A4" w:rsidRDefault="00FD50A4" w:rsidP="003B483A">
      <w:pPr>
        <w:pStyle w:val="Title"/>
        <w:rPr>
          <w:b/>
          <w:bCs/>
          <w:sz w:val="52"/>
          <w:szCs w:val="52"/>
        </w:rPr>
      </w:pPr>
      <w:r w:rsidRPr="001B3248">
        <w:rPr>
          <w:b/>
          <w:bCs/>
          <w:sz w:val="52"/>
          <w:szCs w:val="52"/>
        </w:rPr>
        <w:t>Balancing the Grid:</w:t>
      </w:r>
      <w:r w:rsidR="008A72F2" w:rsidRPr="001B3248">
        <w:rPr>
          <w:b/>
          <w:bCs/>
          <w:sz w:val="52"/>
          <w:szCs w:val="52"/>
        </w:rPr>
        <w:t xml:space="preserve"> Metrics for Import Reliance and Diversity in Electricity Systems</w:t>
      </w:r>
    </w:p>
    <w:p w14:paraId="3FED7B18" w14:textId="61878367" w:rsidR="001B3248" w:rsidRDefault="001B3248" w:rsidP="001B3248">
      <w:r>
        <w:t>Steven Dahlke</w:t>
      </w:r>
    </w:p>
    <w:p w14:paraId="064F931F" w14:textId="78844EDF" w:rsidR="001B3248" w:rsidRPr="001B3248" w:rsidRDefault="000B2937" w:rsidP="001B3248">
      <w:proofErr w:type="gramStart"/>
      <w:r>
        <w:t>December,</w:t>
      </w:r>
      <w:proofErr w:type="gramEnd"/>
      <w:r>
        <w:t xml:space="preserve"> 2024</w:t>
      </w:r>
    </w:p>
    <w:p w14:paraId="646D5679" w14:textId="3EDAF5EA" w:rsidR="00E100CA" w:rsidRDefault="00014F09" w:rsidP="00014F09">
      <w:pPr>
        <w:pStyle w:val="Heading1"/>
      </w:pPr>
      <w:r>
        <w:t>Abstract</w:t>
      </w:r>
    </w:p>
    <w:p w14:paraId="6364BDC7" w14:textId="6B29693A" w:rsidR="00014F09" w:rsidRPr="00014F09" w:rsidRDefault="004E5689" w:rsidP="00D677B0">
      <w:r w:rsidRPr="004E5689">
        <w:t xml:space="preserve">This study evaluates electricity import reliance and diversity across U.S. balancing authorities, providing novel insights into grid reliability and risk management. Using formal metrics, including a diversity index and </w:t>
      </w:r>
      <w:r w:rsidR="00D82F84">
        <w:t xml:space="preserve">import </w:t>
      </w:r>
      <w:r w:rsidRPr="004E5689">
        <w:t xml:space="preserve">reliance calculations, the analysis quantifies the extent and variability of electricity imports across regions. Key findings reveal that larger </w:t>
      </w:r>
      <w:r w:rsidR="00D82F84">
        <w:t xml:space="preserve">balancing authorities </w:t>
      </w:r>
      <w:r w:rsidRPr="004E5689">
        <w:t xml:space="preserve">with broader trading relationships tend to exhibit higher diversity and lower reliance on imports, suggesting robust local supply. Conversely, for highly import-reliant </w:t>
      </w:r>
      <w:r w:rsidR="00766BAF">
        <w:t>balancing authorities</w:t>
      </w:r>
      <w:r w:rsidRPr="004E5689">
        <w:t>, maintaining a diverse portfolio of suppliers is critical for ensuring reliability. Importantly, this research highlights that while diversity and reliance metrics are valuable comparative tools, t</w:t>
      </w:r>
      <w:r>
        <w:t>he national data</w:t>
      </w:r>
      <w:r w:rsidR="0019066D">
        <w:t xml:space="preserve"> applied in this analysis </w:t>
      </w:r>
      <w:r w:rsidRPr="004E5689">
        <w:t>do</w:t>
      </w:r>
      <w:r w:rsidR="0019066D">
        <w:t>es</w:t>
      </w:r>
      <w:r w:rsidRPr="004E5689">
        <w:t xml:space="preserve"> not account for </w:t>
      </w:r>
      <w:r w:rsidR="0019066D">
        <w:t>local complexities that are important for reliability</w:t>
      </w:r>
      <w:r w:rsidR="006C6EAC">
        <w:t xml:space="preserve">, and additional engineering and socio-economic analysis is required to assess </w:t>
      </w:r>
      <w:r w:rsidR="004B2D7E">
        <w:t>individual systems</w:t>
      </w:r>
      <w:r w:rsidR="006C6EAC">
        <w:t xml:space="preserve"> in more detail</w:t>
      </w:r>
      <w:r w:rsidR="0019066D">
        <w:t xml:space="preserve">. This </w:t>
      </w:r>
      <w:r w:rsidRPr="004E5689">
        <w:t xml:space="preserve">study is the first </w:t>
      </w:r>
      <w:r w:rsidR="0019066D">
        <w:t xml:space="preserve">in the literature </w:t>
      </w:r>
      <w:r w:rsidRPr="004E5689">
        <w:t xml:space="preserve">to apply a formal diversity index to assess electricity import patterns among U.S. </w:t>
      </w:r>
      <w:r w:rsidR="0019066D">
        <w:t>balancing authorities</w:t>
      </w:r>
      <w:r w:rsidRPr="004E5689">
        <w:t>, offering a unique framework for understanding interconnections and informing future reliability planning.</w:t>
      </w:r>
    </w:p>
    <w:p w14:paraId="170E86FF" w14:textId="77777777" w:rsidR="00611F5E" w:rsidRDefault="00164B3C">
      <w:pPr>
        <w:pStyle w:val="Heading1"/>
      </w:pPr>
      <w:r>
        <w:t>Introduction</w:t>
      </w:r>
    </w:p>
    <w:p w14:paraId="0BEF9A92" w14:textId="22D89F42" w:rsidR="00A147B5" w:rsidRPr="00A147B5" w:rsidRDefault="00A147B5" w:rsidP="00A147B5">
      <w:r w:rsidRPr="00A147B5">
        <w:t>In recent years, the electricity sector has faced unprecedented challenges, making reliability a more critical and complex concern than ever before. Traditional planning and operational paradigms</w:t>
      </w:r>
      <w:r w:rsidR="00B17963">
        <w:t xml:space="preserve"> </w:t>
      </w:r>
      <w:r w:rsidR="00094E7D">
        <w:t xml:space="preserve">are </w:t>
      </w:r>
      <w:r w:rsidRPr="00A147B5">
        <w:t>increasingly strained by transformative changes in supply, demand, and external risks. Key drivers include the rapid integration of variable renewable energy sources such as wind and solar, the retirement of conventional generation resources, accelerating electrification across various sectors, and the growing prevalence of extreme weather events. Together, these trends demand innovative approaches to ensure that electricity systems can reliably serve demand across all conditions, especially during periods of stress.</w:t>
      </w:r>
    </w:p>
    <w:p w14:paraId="3AF01991" w14:textId="64263669" w:rsidR="008F0FDD" w:rsidRDefault="00A147B5" w:rsidP="00A147B5">
      <w:r w:rsidRPr="00A147B5">
        <w:t>A central focus of contemporary research is developing planning strategies that ensure adequate resources are available year-round and under extreme conditions. However, one area that remains understudied is the role of electricity imports in maintaining reliability.</w:t>
      </w:r>
      <w:r w:rsidR="00050E48">
        <w:t xml:space="preserve"> </w:t>
      </w:r>
    </w:p>
    <w:p w14:paraId="020990B6" w14:textId="155A40B3" w:rsidR="00A147B5" w:rsidRDefault="00A147B5" w:rsidP="00A147B5">
      <w:r w:rsidRPr="00A147B5">
        <w:t>Imports, defined as electricity supplied from outside a system's immediate jurisdiction, can play a vital role during periods of high demand or low supply. Yet, they also present significant uncertainties compared to local resources. Import availability depends on excess capacity in neighboring systems, and these resources are generally outside the direct control of the importing entity, introducing complexities into reliability assessments and planning efforts.</w:t>
      </w:r>
    </w:p>
    <w:p w14:paraId="5529755D" w14:textId="2ABED84B" w:rsidR="002E1C3A" w:rsidRPr="00A147B5" w:rsidRDefault="002E1C3A" w:rsidP="00A147B5">
      <w:r>
        <w:lastRenderedPageBreak/>
        <w:t xml:space="preserve">Capacity planning across the industry can be improved by better considering the contribution of interconnections to neighboring regions and reliance on imports for local system adequacy </w:t>
      </w:r>
      <w:r>
        <w:fldChar w:fldCharType="begin"/>
      </w:r>
      <w:r w:rsidR="00E025DD">
        <w:instrText xml:space="preserve"> ADDIN ZOTERO_ITEM CSL_CITATION {"citationID":"rcUM9DJP","properties":{"formattedCitation":"[1,2]","plainCitation":"[1,2]","noteIndex":0},"citationItems":[{"id":504,"uris":["http://zotero.org/users/9332412/items/L5PIFLFS"],"itemData":{"id":504,"type":"article-journal","abstract":"In the energy trilemma of reliability, sustainability and affordability, politicians treat reliability as over-riding. The EU assumes the energy-only Target Electricity Model will deliver reliability but the UK argues that a capacity remuneration mechanism is needed. This paper argues that capacity auctions tend to over-procure capacity, exacerbating the missing money problem they were designed to address. The bias is further exacerbated by failing to address some of the missing market problems also neglected in the debate. It examines the case for, criticisms of, and outcome of the first GB capacity auction and problems of trading between different capacity markets.","container-title":"Energy Policy","DOI":"10.1016/j.enpol.2015.10.028","note":"publisher: Elsevier Ltd","page":"401-410","title":"Missing money and missing markets: Reliability, capacity auctions and interconnectors","volume":"94","author":[{"family":"Newbery","given":"David"}],"issued":{"date-parts":[["2016"]]}}},{"id":494,"uris":["http://zotero.org/users/9332412/items/B588UDFR"],"itemData":{"id":494,"type":"article-journal","abstract":"The UK Government has carefully designed a Capacity Mechanism to deliver reliable electricity. This paper criticises the determination of the amount to procure, and argues that the amount set for the first auction was excessive, particularly (but not exclusively) in ignoring the contribution from interconnectors. Too little attention was given to either the political economy or the option value aspects. Procuring too little raises fears of 'the lights going out', but over-procurement increases consumer costs; undermines renewables by transferring capped finance to fossil generators; and impedes the Single Market including by weakening the business case for interconnectors. Making more use of the demand-side and potentially available 'latent' capacity lowers risk and increases options allowing more capacity procurement to be deferred. Capacity markets are intended to address problems of 'missing money' in terms of energy-only market incentives to invest; but over-procurement risks exacerbating the underlying problem, whereas addressing market failures and missing markets, and properly accounting for interconnectors, reduces the underlying problem.","container-title":"Economics of Energy and Environmental Policy","DOI":"10.5547/2160-5890.4.2.DNEW","issue":"2","note":"publisher: International Association for Energy Economics","page":"65-81","title":"Security of supply, the role of interconnectors and option values: Insights from the GB capacity auction","volume":"4","author":[{"family":"Newbery","given":"David"},{"family":"Grubb","given":"Michael"}],"issued":{"date-parts":[["2015"]]}}}],"schema":"https://github.com/citation-style-language/schema/raw/master/csl-citation.json"} </w:instrText>
      </w:r>
      <w:r>
        <w:fldChar w:fldCharType="separate"/>
      </w:r>
      <w:r w:rsidR="00E025DD" w:rsidRPr="00E025DD">
        <w:t>[1,2]</w:t>
      </w:r>
      <w:r>
        <w:fldChar w:fldCharType="end"/>
      </w:r>
      <w:r>
        <w:t xml:space="preserve">. Multiple studies conclude that national- or state-level coordination from policymakers is needed to address sub-optimal outcomes that tend to occur when individual operators are left to plan for resources in isolation without considering the role of </w:t>
      </w:r>
      <w:r w:rsidR="00AE3FC3">
        <w:t xml:space="preserve">complementary regional </w:t>
      </w:r>
      <w:r>
        <w:t>trade</w:t>
      </w:r>
      <w:r w:rsidR="00AE3FC3">
        <w:t xml:space="preserve"> and interconnection </w:t>
      </w:r>
      <w:r w:rsidR="00AE3FC3">
        <w:fldChar w:fldCharType="begin"/>
      </w:r>
      <w:r w:rsidR="006903A2">
        <w:instrText xml:space="preserve"> ADDIN ZOTERO_ITEM CSL_CITATION {"citationID":"ASUiY2HO","properties":{"unsorted":true,"formattedCitation":"[3\\uc0\\u8211{}7]","plainCitation":"[3–7]","noteIndex":0},"citationItems":[{"id":508,"uris":["http://zotero.org/users/9332412/items/7DFUXWBR"],"itemData":{"id":508,"type":"article-journal","abstract":"In this paper we ask the question: why has capacity adequacy become a worry in developed countries in general, and Europe in particular, in recent years, and how serious is this problem? While the liberalisation process and the fast move to variable renewable energy sources play a role in this process, they are not the only causes. We discuss the extent to which regulators and policy makers are able to influence the evolution of the market and also consider the role of and challenges created by regional markets and cross-boarder integration. We conclude that policy makers can go into one of two directions. The first option is to ignore cross-border trading in their planning. While this would create security of supply for individual countries, it would come at the cost of very significant investment subsidies. The alternative is to rely on cross-border trade, an option which requires not only close cooperation and coordination, but also significant trust between the jurisdictions and institutions involved, to ensure sufficient capacity. The choice between these options is a political decision, to be made at the national and supranational levels, not by regulators, and even less by market participants.","container-title":"The Electricity Journal","DOI":"10.1016/J.TEJ.2023.107236","issue":"1","note":"publisher: Elsevier","page":"107236-107236","title":"Importing from? Capacity adequacy in a European context","volume":"36","author":[{"family":"Larsen","given":"Erik"},{"family":"Ackere","given":"Ann","non-dropping-particle":"van"}],"issued":{"date-parts":[["2023",1]]}}},{"id":493,"uris":["http://zotero.org/users/9332412/items/KIIN7ESN"],"itemData":{"id":493,"type":"article-journal","abstract":"This paper studies the consistency between two contradictory policies in the electricity industry. On the one hand, electricity systems are increasingly interconnected. On the other hand, reliability standards, whose value was typically set when countries were hardly interconnected, are still enforced at the national level. We show that enforcing autarky reliability standards may still reach the welfare optimum in the presence of interconnections, but only under two conditions. First, installed generation capacities should be determined jointly, while considering the whole power system. Second, reliability calculations should fully internalize external adequacy benefits occurring in neighboring systems. We run a numerical application for a set of European countries and find that existing interconnections may lead to generation adequacy benefits of around one billion euros per year, by enabling a 18.9 GW decrease in generation capacity. In our case study, regional coordination is found to be more important than fully internalizing external reliability benefits in adequacy simulations.","container-title":"Energy Policy","DOI":"10.1016/j.enpol.2022.113131","note":"publisher: Elsevier Ltd","title":"Reliability standards and generation adequacy assessments for interconnected electricity systems","volume":"168","author":[{"family":"Astier","given":"Nicolas"},{"family":"Ovaere","given":"Marten"}],"issued":{"date-parts":[["2022",9]]}}},{"id":501,"uris":["http://zotero.org/users/9332412/items/2P9M8JSC"],"itemData":{"id":501,"type":"paper-conference","DOI":"10.1109/PESGM40551.2019.8973865","event-title":"2019 IEEE Power &amp; Energy Society General Meeting (PESGM)","title":"Capacity Value of Interconnection Between Two Systems","author":[{"family":"Tindemans","given":"Simon H"},{"family":"Woolf","given":"Matthew"},{"family":"Strbac","given":"Goran"}],"issued":{"date-parts":[["2019"]]}}},{"id":500,"uris":["http://zotero.org/users/9332412/items/J4VYGMPI"],"itemData":{"id":500,"type":"article-journal","abstract":"Based upon probabilistic reliability metrics, we develop an optimization model to determine the efficient amount and location of firm generation capacity to achieve reliability targets in multi-regional electricity systems. A particular focus lies on the representation and contribution of transmission capacities as well as variable renewable resources. Calibrating our model with a comprehensive dataset for Europe, we find that there are substantial benefits from regional cooperation. The amount of firm generation capacity to meet a perfectly reliably system could be reduced by 36.2 GW (i.e., 6.4%) compared to an isolated regional approach, which translates to savings of 14.5 bn EUR. Interconnectors contribute in both directions, with capacity values up to their technical maximum of close to 200%, while wind power contributions are in the range of 3.8-29.5%. Furthermore, we find that specific reliability targets heavily impact the efficient amount and distribution of reliable capacity as well as the contribution of individual technologies.","container-title":"The Energy Journal","DOI":"10.5547/01956574.39.5.shag","issue":"5","page":"183-204","title":"Reliability in Multi-regional Power Systems: Capacity Adequacy and the Role of Interconnectors","volume":"39","author":[{"family":"Hagspiel","given":"Simeon"},{"family":"Knaut","given":"Andreas"},{"family":"Peter","given":"Jakob"}],"issued":{"date-parts":[["2018"]]}}},{"id":492,"uris":["http://zotero.org/users/9332412/items/RPZEVS9P"],"itemData":{"id":492,"type":"article-journal","abstract":"The power system capacity adequacy has public good features that cannot be entirely solved by electricity markets. Regulatory intervention is then necessary and established methods have been used to assess adequacy and help regulators to fix this market failure. In regional electricity markets, transmission interconnections play an important role in contributing to adequacy. However, the adequacy problem and related policy are typically considered at a national level. This paper presents a simple model to study how the interconnection capacity interacts with generation adequacy. First results indicate that increasing interconnection capacity between systems improves adequacy up to a certain level; further increases do not procure additional adequacy improvements. Furthermore, besides adequacy improvement, increasing transmission capacity under asymmetric adequacy criteria or national system characteristics could create several concerns about externalities. These results imply that regional coordination of national adequacy policies is essential to internalise adequacy of cross-border effects. © 2009.","container-title":"Energy Policy","DOI":"10.1016/J.ENPOL.2009.08.060","issue":"12","note":"publisher: Elsevier","page":"5612-5622","title":"Generation adequacy and transmission interconnection in regional electricity markets","volume":"37","author":[{"family":"Cepeda","given":"Mauricio"},{"family":"Saguan","given":"Marcelo"},{"family":"Finon","given":"Dominique"},{"family":"Pignon","given":"Virginie"}],"issued":{"date-parts":[["2009",12]]}}}],"schema":"https://github.com/citation-style-language/schema/raw/master/csl-citation.json"} </w:instrText>
      </w:r>
      <w:r w:rsidR="00AE3FC3">
        <w:fldChar w:fldCharType="separate"/>
      </w:r>
      <w:r w:rsidR="00D535FA" w:rsidRPr="00D535FA">
        <w:rPr>
          <w:rFonts w:cs="Times New Roman"/>
        </w:rPr>
        <w:t>[3–7]</w:t>
      </w:r>
      <w:r w:rsidR="00AE3FC3">
        <w:fldChar w:fldCharType="end"/>
      </w:r>
      <w:r>
        <w:t>.</w:t>
      </w:r>
    </w:p>
    <w:p w14:paraId="44013609" w14:textId="0F7A106D" w:rsidR="00A147B5" w:rsidRPr="00A147B5" w:rsidRDefault="00A147B5" w:rsidP="00A147B5">
      <w:r w:rsidRPr="00A147B5">
        <w:t xml:space="preserve">This study explores </w:t>
      </w:r>
      <w:r w:rsidR="003F12E9">
        <w:t>two</w:t>
      </w:r>
      <w:r w:rsidRPr="00A147B5">
        <w:t xml:space="preserve"> dimensions of electricity imports: reliance and diversity. Import reliance, or the proportion of a system’s electricity consumption sourced externally, is a straightforward measure that highlights dependency levels across balancing authorities. In contrast, import diversity</w:t>
      </w:r>
      <w:r w:rsidR="00D53EB6">
        <w:t xml:space="preserve"> </w:t>
      </w:r>
      <w:r w:rsidRPr="00A147B5">
        <w:t>provides insight into the range and balance of import sources. Together, these metrics offer complementary perspectives on the opportunities and risks associated with electricity imports.</w:t>
      </w:r>
    </w:p>
    <w:p w14:paraId="7D82DFA5" w14:textId="77777777" w:rsidR="00A147B5" w:rsidRPr="00A147B5" w:rsidRDefault="00A147B5" w:rsidP="00A147B5">
      <w:r w:rsidRPr="00A147B5">
        <w:t>While high import reliance may not inherently signify reliability concerns, its implications vary based on the diversity of supply sources and contractual arrangements. For instance, reliance on a single exporter could introduce risks during periods of simultaneous system stress, whereas a diversified portfolio of imports may enhance resilience. Additionally, economic and political factors, such as market rules, transmission infrastructure, and interregional cooperation, influence the feasibility and reliability of electricity trade.</w:t>
      </w:r>
    </w:p>
    <w:p w14:paraId="4065D5F9" w14:textId="78CE9F61" w:rsidR="001C5925" w:rsidRDefault="00A147B5">
      <w:r w:rsidRPr="00A147B5">
        <w:t>This paper addresses a</w:t>
      </w:r>
      <w:r w:rsidR="00C828C6">
        <w:t>n important</w:t>
      </w:r>
      <w:r w:rsidRPr="00A147B5">
        <w:t xml:space="preserve"> </w:t>
      </w:r>
      <w:r w:rsidR="00F0286D">
        <w:t xml:space="preserve">research </w:t>
      </w:r>
      <w:r w:rsidRPr="00A147B5">
        <w:t>gap by examining import reliance and diversity across U.S. balancing authorities</w:t>
      </w:r>
      <w:r w:rsidR="00E9714B">
        <w:t xml:space="preserve">. Balancing authorities in the United States are the </w:t>
      </w:r>
      <w:r w:rsidR="00233AC7">
        <w:t xml:space="preserve">entity with the responsibilities defined by the North American Electric Reliability </w:t>
      </w:r>
      <w:r w:rsidR="001E040A">
        <w:t xml:space="preserve">Corporation to </w:t>
      </w:r>
      <w:r w:rsidR="003E7CCB">
        <w:t xml:space="preserve">integrate resource plans ahead of time, </w:t>
      </w:r>
      <w:r w:rsidR="001E040A">
        <w:t>conduct demand and resource balancing within their area</w:t>
      </w:r>
      <w:r w:rsidR="003E7CCB">
        <w:t>,</w:t>
      </w:r>
      <w:r w:rsidR="001E040A">
        <w:t xml:space="preserve"> and maintain reliability in real time</w:t>
      </w:r>
      <w:r w:rsidR="00E64E41">
        <w:t xml:space="preserve"> </w:t>
      </w:r>
      <w:r w:rsidR="00E64E41">
        <w:fldChar w:fldCharType="begin"/>
      </w:r>
      <w:r w:rsidR="00A64E5B">
        <w:instrText xml:space="preserve"> ADDIN ZOTERO_ITEM CSL_CITATION {"citationID":"nTDO34Ks","properties":{"formattedCitation":"[8]","plainCitation":"[8]","noteIndex":0},"citationItems":[{"id":537,"uris":["http://zotero.org/users/9332412/items/PQKUTTA2"],"itemData":{"id":537,"type":"article-journal","container-title":"https://www.nerc.com/pa/Stand/Glossary%20of%20Terms/Glossary_of_Terms.pdf","title":"Glossary of Terms Used in NERC Reliability Standards","author":[{"literal":"National Electric Reliability Council (NERC)"}],"issued":{"date-parts":[["2023",12]]}}}],"schema":"https://github.com/citation-style-language/schema/raw/master/csl-citation.json"} </w:instrText>
      </w:r>
      <w:r w:rsidR="00E64E41">
        <w:fldChar w:fldCharType="separate"/>
      </w:r>
      <w:r w:rsidR="00A64E5B" w:rsidRPr="00A64E5B">
        <w:t>[8]</w:t>
      </w:r>
      <w:r w:rsidR="00E64E41">
        <w:fldChar w:fldCharType="end"/>
      </w:r>
      <w:r w:rsidR="001E040A">
        <w:t>.</w:t>
      </w:r>
      <w:r w:rsidR="00E64E41">
        <w:t xml:space="preserve"> The</w:t>
      </w:r>
      <w:r w:rsidR="00001739">
        <w:t xml:space="preserve"> </w:t>
      </w:r>
      <w:r w:rsidR="00C52426">
        <w:t>analysis</w:t>
      </w:r>
      <w:r w:rsidRPr="00A147B5">
        <w:t xml:space="preserve"> </w:t>
      </w:r>
      <w:r w:rsidR="00E64E41">
        <w:t xml:space="preserve">highlights </w:t>
      </w:r>
      <w:r w:rsidRPr="00A147B5">
        <w:t>patterns that illuminate both economic and reliability considerations. It further investigates how these metrics shift during periods of high net demand, a critical time for assessing system stress. By integrating quantitative and contextual analysis, the study aims to provide actionable insights for planners, policymakers, and researchers navigating the evolving landscape of grid reliability.</w:t>
      </w:r>
    </w:p>
    <w:p w14:paraId="4E11F851" w14:textId="77777777" w:rsidR="00611F5E" w:rsidRDefault="00164B3C">
      <w:pPr>
        <w:pStyle w:val="Heading1"/>
      </w:pPr>
      <w:r>
        <w:t>Import Reliance</w:t>
      </w:r>
    </w:p>
    <w:p w14:paraId="227017E4" w14:textId="71AEA85A" w:rsidR="00611F5E" w:rsidRDefault="00164B3C">
      <w:r>
        <w:t>Import reliance is defined as the fraction of domestic consumption covered by net electricity imports over a period</w:t>
      </w:r>
      <w:r w:rsidR="00AE0B6D">
        <w:t xml:space="preserve"> of interest</w:t>
      </w:r>
      <w:r>
        <w:t xml:space="preserve">. This is a simple metric that is easy to interpret and commonly identified in the research literature on electricity supply security </w:t>
      </w:r>
      <w:r w:rsidR="006144D9">
        <w:fldChar w:fldCharType="begin"/>
      </w:r>
      <w:r w:rsidR="00A64E5B">
        <w:instrText xml:space="preserve"> ADDIN ZOTERO_ITEM CSL_CITATION {"citationID":"vEhQMpVC","properties":{"formattedCitation":"[9\\uc0\\u8211{}12]","plainCitation":"[9–12]","noteIndex":0},"citationItems":[{"id":490,"uris":["http://zotero.org/users/9332412/items/ZNU3RJYM"],"itemData":{"id":490,"type":"article-journal","abstract":"The analysis of security of electricity supply (SoES) is particularly complex due to, among others, the liberalisation process and the increasing penetration of renewable energies. Larsen et al. [1] propose a framework based on twelve dimensions to evaluate SoES for a single jurisdiction. However, actions aimed at improving one dimension might impact others negatively, adversely affecting the overall system. Understanding how these dimensions are interrelated is thus a prerequisite for appropriate planning and resource allocation. We apply a Cross Impact Analysis (CIA) to these dimensions to determine the degree to which the different dimensions depend on each other. From this we derive an influence diagram to visualise the interdependencies and a scatter plot to categorise the dimensions as independent, driver, connector or outcome. Actions targeting the drivers or connectors are potentially the more effective ones a regulator can take, as the consequences will gradually ripple through the system. Having an integral view of the dimensions' interdependencies provides a better understanding of the higher-order changes an intervention may cause. This enables policymakers and regulators to identifying where in the system to intervene to achieve the desired effect with the least amount of resources and with as few undesirable side-effects as possible.","container-title":"Energy","DOI":"10.1016/j.energy.2017.06.095","ISSN":"0360-5442","journalAbbreviation":"Energy","page":"598-609","source":"ScienceDirect","title":"Interdependencies in security of electricity supply","volume":"135","author":[{"family":"Osorio","given":"Sebastian"},{"family":"Ackere","given":"Ann","non-dropping-particle":"van"},{"family":"Larsen","given":"Erik R."}],"issued":{"date-parts":[["2017",9,15]]}}},{"id":489,"uris":["http://zotero.org/users/9332412/items/T7QNQXF9"],"itemData":{"id":489,"type":"article-journal","abstract":"This article provides a synthesized, workable framework for analyzing national energy security policies and performance. Drawn from research interviews, survey results, a focused workshop, and an extensive literature review, this article proposes that energy security ought to be comprised of five dimensions related to availability, affordability, technology development, sustainability, and regulation. We then break these five dimensions down into 20 components related to security of supply and production, dependency, and diversification for availability; price stability, access and equity, decentralization, and low prices for affordability; innovation and research, safety and reliability, resilience, energy efficiency, and investment for technology development; land use, water, climate change, and air pollution for sustainability; and governance, trade, competition, and knowledge for sound regulation. Further still, our synthesis lists 320 simple indicators and 52 complex indicators that policymakers and scholars can use to analyze, measure, track, and compare national performance on energy security. The article concludes by offering implications for energy policy more broadly.","collection-title":"PRES 2010","container-title":"Energy","DOI":"10.1016/j.energy.2011.06.043","ISSN":"0360-5442","issue":"8","journalAbbreviation":"Energy","page":"5343-5355","source":"ScienceDirect","title":"Conceptualizing and measuring energy security: A synthesized approach","title-short":"Conceptualizing and measuring energy security","volume":"36","author":[{"family":"Sovacool","given":"Benjamin K."},{"family":"Mukherjee","given":"Ishani"}],"issued":{"date-parts":[["2011",8,1]]}}},{"id":530,"uris":["http://zotero.org/users/9332412/items/VIGYWWVW"],"itemData":{"id":530,"type":"article-journal","abstract":"Solar power imports to Europe from the deserts of North Africa, as foreseen in the Desertec concept, is one possible way to help decarbonising the European power sector by 2050. However, this approach raises questions of threats to European energy security in such an import scenario, particularly in the light of increasing import dependency and Russia's use of the \"energy weapon\" in recent years. In this paper we investigate the threat of North African countries using the Desertec electricity exports as an \"energy weapon\". We develop and use a new model to assess the interdependence - the bargaining power symmetry, operationalised as costs - of a disruption in a future renewable electricity trade between North Africa and Europe. If Europe maintains current capacity buffers, some demand-response capability and does not import much more than what is described in the Desertec scenario, it is susceptible to extortion and political pressure only if all five exporter countries unite in using the energy weapon. Europe is not vulnerable to extortion by an export cut from only one country, as the European capacity buffers are sufficient to restore the power supply: no single exporter country would have sustained bargaining power over Europe. © 2011 Elsevier Ltd.","container-title":"Energy Policy","DOI":"10.1016/J.ENPOL.2011.03.035","issue":"6","note":"publisher: Elsevier","page":"3380-3391","title":"Energy security and renewable electricity trade—Will Desertec make Europe vulnerable to the “energy weapon”?","volume":"39","author":[{"family":"Lilliestam","given":"Johan"},{"family":"Ellenbeck","given":"Saskia"}],"issued":{"date-parts":[["2011",6]]}}},{"id":524,"uris":["http://zotero.org/users/9332412/items/2U5U7MX3"],"itemData":{"id":524,"type":"article-journal","abstract":"Electricity supply plays a significantly important role in national economy and society development. Accordingly, the evaluation of electricity supply sustainability and security as an early warning method is beneficial for the decision-makers/policy-makers to take various measures to enhance electricity supply sustainability and security. This study aims at developing a multi-criteria decision analysis framework for electricity supply sustainability and security evaluation, and a total of nine metrics (i.e. Shannon-Weiner index, electricity import dependence, supply adequacy, rural electrification rate, electric power losses ratio, residential consumption ratio, electricity per Gross Domestic Product, electric power consumption per capita, and fossil fuel dependence) in four dimensions including availability and security of supply, affordability and reliability, energy and economic efficiency, and environmental stewardship were employed for electricity supply sustainability and security evaluation. Fuzzy Analytic Hierarchy Process which allows the users to use linguistic terms to express their opinions was used to determine the weights of the criteria which represent their relative importance in the evaluation of electricity supply sustainability and security. Grey Rational Analysis was used to prioritize the status of electricity supply sustainability and security of different countries in different years. The electricity supply sustainability and security of the five major emerging national economies (Brazil, Russia, India, China and South Africa) was studied in Chinese perspective by the proposed method.","container-title":"Journal of Cleaner Production","DOI":"10.1016/J.JCLEPRO.2017.10.167","note":"publisher: Elsevier","page":"438-453","title":"Evaluation of electricity supply sustainability and security: Multi-criteria decision analysis approach","volume":"172","author":[{"family":"Ren","given":"Jingzheng"},{"family":"Dong","given":"Liang"}],"issued":{"date-parts":[["2018",1]]}}}],"schema":"https://github.com/citation-style-language/schema/raw/master/csl-citation.json"} </w:instrText>
      </w:r>
      <w:r w:rsidR="006144D9">
        <w:fldChar w:fldCharType="separate"/>
      </w:r>
      <w:r w:rsidR="00A64E5B" w:rsidRPr="00A64E5B">
        <w:rPr>
          <w:rFonts w:cs="Times New Roman"/>
        </w:rPr>
        <w:t>[9–12]</w:t>
      </w:r>
      <w:r w:rsidR="006144D9">
        <w:fldChar w:fldCharType="end"/>
      </w:r>
      <w:r>
        <w:rPr>
          <w:color w:val="000000"/>
        </w:rPr>
        <w:t>, sometimes also referred to “import dependence</w:t>
      </w:r>
      <w:r>
        <w:t xml:space="preserve">.”  </w:t>
      </w:r>
    </w:p>
    <w:p w14:paraId="44394779" w14:textId="524B0E5B" w:rsidR="00297A9D" w:rsidRDefault="00DC6488" w:rsidP="00A708A0">
      <w:r>
        <w:fldChar w:fldCharType="begin"/>
      </w:r>
      <w:r>
        <w:instrText xml:space="preserve"> REF _Ref164131523 \h </w:instrText>
      </w:r>
      <w:r>
        <w:fldChar w:fldCharType="separate"/>
      </w:r>
      <w:r>
        <w:t xml:space="preserve">Figure </w:t>
      </w:r>
      <w:r>
        <w:rPr>
          <w:noProof/>
        </w:rPr>
        <w:t>1</w:t>
      </w:r>
      <w:r>
        <w:fldChar w:fldCharType="end"/>
      </w:r>
      <w:r>
        <w:t xml:space="preserve"> displays import reliance by balancing authority. </w:t>
      </w:r>
      <w:r w:rsidR="00BD2E66">
        <w:t xml:space="preserve">In general, it shows the areas in the U.S. with relatively higher levels of imports include the Northwest, Southwest, and Northeast. </w:t>
      </w:r>
      <w:r w:rsidR="00E74F5D">
        <w:t>T</w:t>
      </w:r>
      <w:r w:rsidR="00C0483D">
        <w:t>he highest levels of import reliance</w:t>
      </w:r>
      <w:r w:rsidR="008B1FE1">
        <w:t xml:space="preserve"> in the U.S.</w:t>
      </w:r>
      <w:r w:rsidR="00E74F5D">
        <w:t xml:space="preserve"> from 2016-2023</w:t>
      </w:r>
      <w:r w:rsidR="00C0483D">
        <w:t xml:space="preserve"> were among</w:t>
      </w:r>
      <w:r w:rsidR="00E74F5D">
        <w:t xml:space="preserve"> </w:t>
      </w:r>
      <w:r w:rsidR="008F3B00">
        <w:t>balancing authorities</w:t>
      </w:r>
      <w:r w:rsidR="00E74F5D">
        <w:t xml:space="preserve"> in the Northwest U.S. Specifically, Portland General Electric Company, Puget Sound Energy, and the City of Tacoma Department of Public Utilities had the highest shares of imports at 0.70, 0.57, and 0.48, respectively.</w:t>
      </w:r>
      <w:r w:rsidR="00302E6C">
        <w:t xml:space="preserve"> Nearly all the imports into these</w:t>
      </w:r>
      <w:r w:rsidR="00C829D0">
        <w:t xml:space="preserve"> three</w:t>
      </w:r>
      <w:r w:rsidR="00302E6C">
        <w:t xml:space="preserve"> regions came from the Bonneville Power Administration </w:t>
      </w:r>
      <w:r w:rsidR="00A808A6">
        <w:t>balancing authority</w:t>
      </w:r>
      <w:r w:rsidR="00C15A3C">
        <w:t>.</w:t>
      </w:r>
      <w:r w:rsidR="00791645">
        <w:t xml:space="preserve"> </w:t>
      </w:r>
      <w:r w:rsidR="00791645">
        <w:fldChar w:fldCharType="begin"/>
      </w:r>
      <w:r w:rsidR="00791645">
        <w:instrText xml:space="preserve"> REF _Ref177631068 \h </w:instrText>
      </w:r>
      <w:r w:rsidR="00791645">
        <w:fldChar w:fldCharType="separate"/>
      </w:r>
      <w:r w:rsidR="00791645">
        <w:t xml:space="preserve">Table </w:t>
      </w:r>
      <w:r w:rsidR="00791645">
        <w:rPr>
          <w:noProof/>
        </w:rPr>
        <w:t>1</w:t>
      </w:r>
      <w:r w:rsidR="00791645">
        <w:fldChar w:fldCharType="end"/>
      </w:r>
      <w:r w:rsidR="00791645">
        <w:t xml:space="preserve"> in the Appendix provides </w:t>
      </w:r>
      <w:r w:rsidR="00567ABD">
        <w:t xml:space="preserve">the import reliance numbers </w:t>
      </w:r>
      <w:r w:rsidR="00567ABD">
        <w:lastRenderedPageBreak/>
        <w:t xml:space="preserve">annually and across the full sample, for </w:t>
      </w:r>
      <w:r w:rsidR="00607A65">
        <w:t xml:space="preserve">U.S. </w:t>
      </w:r>
      <w:r w:rsidR="00A808A6">
        <w:t xml:space="preserve">balancing authorities </w:t>
      </w:r>
      <w:r w:rsidR="00567ABD">
        <w:t>with average demand greater than 500 MW.</w:t>
      </w:r>
    </w:p>
    <w:p w14:paraId="7FDE6966" w14:textId="427D89FC" w:rsidR="00DC6488" w:rsidRDefault="00CD652D" w:rsidP="00DC6488">
      <w:pPr>
        <w:keepNext/>
      </w:pPr>
      <w:r>
        <w:rPr>
          <w:noProof/>
        </w:rPr>
        <w:drawing>
          <wp:inline distT="0" distB="0" distL="0" distR="0" wp14:anchorId="53D22490" wp14:editId="10623A86">
            <wp:extent cx="5048250" cy="2724210"/>
            <wp:effectExtent l="0" t="0" r="0" b="0"/>
            <wp:docPr id="9246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4183" cy="2738204"/>
                    </a:xfrm>
                    <a:prstGeom prst="rect">
                      <a:avLst/>
                    </a:prstGeom>
                    <a:noFill/>
                  </pic:spPr>
                </pic:pic>
              </a:graphicData>
            </a:graphic>
          </wp:inline>
        </w:drawing>
      </w:r>
    </w:p>
    <w:p w14:paraId="0CD68C4C" w14:textId="2CE4A58A" w:rsidR="00611F5E" w:rsidRPr="005F0494" w:rsidRDefault="00DC6488" w:rsidP="005F0494">
      <w:pPr>
        <w:pStyle w:val="Caption"/>
      </w:pPr>
      <w:bookmarkStart w:id="0" w:name="_Ref164131523"/>
      <w:r>
        <w:t xml:space="preserve">Figure </w:t>
      </w:r>
      <w:fldSimple w:instr=" SEQ Figure \* ARABIC ">
        <w:r w:rsidR="00672EC5">
          <w:rPr>
            <w:noProof/>
          </w:rPr>
          <w:t>1</w:t>
        </w:r>
      </w:fldSimple>
      <w:bookmarkEnd w:id="0"/>
      <w:r>
        <w:t xml:space="preserve"> </w:t>
      </w:r>
      <w:r w:rsidR="00FE22F8">
        <w:t xml:space="preserve">Import share of </w:t>
      </w:r>
      <w:r w:rsidRPr="007D4D6F">
        <w:t>total electricity consumption by U.S. Balancing Authority, 2016-2023.</w:t>
      </w:r>
      <w:bookmarkStart w:id="1" w:name="_heading=h.gjdgxs" w:colFirst="0" w:colLast="0"/>
      <w:bookmarkEnd w:id="1"/>
    </w:p>
    <w:p w14:paraId="17F27C3B" w14:textId="1790CD6D" w:rsidR="00356A74" w:rsidRDefault="00A708A0" w:rsidP="00A708A0">
      <w:r>
        <w:t xml:space="preserve">There are a few additional import-dependent </w:t>
      </w:r>
      <w:r w:rsidR="008F3B00">
        <w:t>balancing authorities</w:t>
      </w:r>
      <w:r>
        <w:t xml:space="preserve"> shown in </w:t>
      </w:r>
      <w:r w:rsidR="005F0494">
        <w:fldChar w:fldCharType="begin"/>
      </w:r>
      <w:r w:rsidR="005F0494">
        <w:instrText xml:space="preserve"> REF _Ref164131523 \h </w:instrText>
      </w:r>
      <w:r w:rsidR="005F0494">
        <w:fldChar w:fldCharType="separate"/>
      </w:r>
      <w:r w:rsidR="005F0494">
        <w:t xml:space="preserve">Figure </w:t>
      </w:r>
      <w:r w:rsidR="005F0494">
        <w:rPr>
          <w:noProof/>
        </w:rPr>
        <w:t>1</w:t>
      </w:r>
      <w:r w:rsidR="005F0494">
        <w:fldChar w:fldCharType="end"/>
      </w:r>
      <w:r w:rsidR="005F0494">
        <w:t xml:space="preserve"> that appear to be outliers relative to their neighbors.</w:t>
      </w:r>
      <w:r w:rsidR="003B6EC3">
        <w:t xml:space="preserve"> El Paso Electric Company in southwest Texas</w:t>
      </w:r>
      <w:r w:rsidR="00654660">
        <w:t xml:space="preserve"> was </w:t>
      </w:r>
      <w:r w:rsidR="003B6EC3">
        <w:t xml:space="preserve">44% reliant on imports over the sample </w:t>
      </w:r>
      <w:r w:rsidR="004311B5">
        <w:t>period</w:t>
      </w:r>
      <w:r w:rsidR="00D5627C">
        <w:t xml:space="preserve">; 67% of its imports were from Public Service Company of New Mexico and 30% from </w:t>
      </w:r>
      <w:r w:rsidR="006C7898">
        <w:t>Tucson</w:t>
      </w:r>
      <w:r w:rsidR="00D5627C">
        <w:t xml:space="preserve"> Electric Power</w:t>
      </w:r>
      <w:r w:rsidR="008D03E6">
        <w:t>.</w:t>
      </w:r>
    </w:p>
    <w:p w14:paraId="6AF08065" w14:textId="3751C4B5" w:rsidR="00A708A0" w:rsidRDefault="00F573A4" w:rsidP="00A708A0">
      <w:r>
        <w:t xml:space="preserve">Duke Energy Progress </w:t>
      </w:r>
      <w:r w:rsidR="0041185E">
        <w:t>(DEP)</w:t>
      </w:r>
      <w:r w:rsidR="006C7898">
        <w:t xml:space="preserve"> </w:t>
      </w:r>
      <w:r w:rsidR="00356A74">
        <w:t xml:space="preserve">in the Carolinas is administratively split into two BAs in the west and the east part of its footprint. </w:t>
      </w:r>
      <w:r w:rsidR="0041185E">
        <w:t xml:space="preserve">DEP west is 42% reliant on imports and </w:t>
      </w:r>
      <w:r w:rsidR="00356A74">
        <w:t xml:space="preserve">significantly smaller than </w:t>
      </w:r>
      <w:r w:rsidR="0041185E">
        <w:t xml:space="preserve">DEP east. </w:t>
      </w:r>
      <w:r w:rsidR="006144D9">
        <w:t>Most</w:t>
      </w:r>
      <w:r w:rsidR="009620F7">
        <w:t xml:space="preserve"> </w:t>
      </w:r>
      <w:r w:rsidR="0041185E">
        <w:t xml:space="preserve">DEP west imports </w:t>
      </w:r>
      <w:r w:rsidR="00356A74">
        <w:t xml:space="preserve">come from its neighboring Duke-controlled BAs. </w:t>
      </w:r>
      <w:r w:rsidR="00DA21EE">
        <w:t xml:space="preserve">In this way, the </w:t>
      </w:r>
      <w:r w:rsidR="00356A74">
        <w:t xml:space="preserve">high level of import reliance </w:t>
      </w:r>
      <w:r w:rsidR="00D67994">
        <w:t xml:space="preserve">in </w:t>
      </w:r>
      <w:r w:rsidR="002F4913">
        <w:t xml:space="preserve">DEP west </w:t>
      </w:r>
      <w:r w:rsidR="00356A74">
        <w:t xml:space="preserve">may not reflect </w:t>
      </w:r>
      <w:r w:rsidR="009F1A6E">
        <w:t xml:space="preserve">significant </w:t>
      </w:r>
      <w:r w:rsidR="00356A74">
        <w:t xml:space="preserve">import reliance </w:t>
      </w:r>
      <w:r w:rsidR="009F1A6E">
        <w:t xml:space="preserve">risk </w:t>
      </w:r>
      <w:r w:rsidR="00D67994">
        <w:t xml:space="preserve">if the </w:t>
      </w:r>
      <w:proofErr w:type="gramStart"/>
      <w:r w:rsidR="00356A74">
        <w:t>Duke</w:t>
      </w:r>
      <w:proofErr w:type="gramEnd"/>
      <w:r w:rsidR="00356A74">
        <w:t xml:space="preserve"> parent company likely owns and controls much of the resources being traded across the multiple B</w:t>
      </w:r>
      <w:r w:rsidR="0099141B">
        <w:t>A</w:t>
      </w:r>
      <w:r w:rsidR="00356A74">
        <w:t>s it administers in the Carolinas</w:t>
      </w:r>
      <w:r w:rsidR="0099141B">
        <w:t>.</w:t>
      </w:r>
      <w:r w:rsidR="00356A74">
        <w:t xml:space="preserve"> </w:t>
      </w:r>
    </w:p>
    <w:p w14:paraId="7ECAADCA" w14:textId="0A198D3E" w:rsidR="00611F5E" w:rsidRDefault="005F24C5" w:rsidP="00DF533E">
      <w:r>
        <w:t xml:space="preserve">Duke Energy Florida </w:t>
      </w:r>
      <w:r w:rsidR="0041185E">
        <w:t xml:space="preserve">(DEF) </w:t>
      </w:r>
      <w:r>
        <w:t xml:space="preserve">is also relatively import-reliant at 24% compared to its neighboring </w:t>
      </w:r>
      <w:r w:rsidR="008F3B00">
        <w:t xml:space="preserve">systems. </w:t>
      </w:r>
      <w:r w:rsidR="00CD08CF">
        <w:t xml:space="preserve">It is relatively diverse in its sources of imports and, unlike the </w:t>
      </w:r>
      <w:proofErr w:type="gramStart"/>
      <w:r w:rsidR="00CD08CF">
        <w:t>Duke</w:t>
      </w:r>
      <w:proofErr w:type="gramEnd"/>
      <w:r w:rsidR="00CD08CF">
        <w:t xml:space="preserve"> </w:t>
      </w:r>
      <w:r w:rsidR="008F3B00">
        <w:t xml:space="preserve">balancing authorities </w:t>
      </w:r>
      <w:r w:rsidR="00CD08CF">
        <w:t xml:space="preserve">in the Carolinas, does not trade with company affiliates. Rather, 32% of its imports were from Florida Power &amp; Light, 26% from Florida Municipal Power Pool, </w:t>
      </w:r>
      <w:r w:rsidR="00F02149">
        <w:t xml:space="preserve">and </w:t>
      </w:r>
      <w:r w:rsidR="00CD08CF">
        <w:t>24% from Seminole Electric Cooperative. It also receives smaller levels of imports from Gainesville Regional Utilities, Southern Company, and Tampa Electric Company.</w:t>
      </w:r>
    </w:p>
    <w:p w14:paraId="3CE82663" w14:textId="6D400696" w:rsidR="000701D3" w:rsidRDefault="00164B3C" w:rsidP="000701D3">
      <w:r>
        <w:t xml:space="preserve">The import reliance metric is simple to calculate and interpret and provides an accurate perspective on the reliance of a balancing authority on electricity supply outside its </w:t>
      </w:r>
      <w:r w:rsidR="00A8344D">
        <w:t>control</w:t>
      </w:r>
      <w:r>
        <w:t xml:space="preserve">. In this way it presents a useful starting point for </w:t>
      </w:r>
      <w:proofErr w:type="gramStart"/>
      <w:r>
        <w:t>an analysis</w:t>
      </w:r>
      <w:proofErr w:type="gramEnd"/>
      <w:r>
        <w:t xml:space="preserve">. </w:t>
      </w:r>
      <w:r w:rsidR="000701D3">
        <w:t>The import reliance metric, while a useful descriptive statistic, is somewhat limited in describing reliability risk because it does not account for relevant characteristics of the contractual arrangements underlying electricity imports. For example, a balancing authority whose imports are provided under firm delivery arrangements may have lower reliability risk than a BA that relies on significant imports purchased from a spot market.</w:t>
      </w:r>
    </w:p>
    <w:p w14:paraId="1462778B" w14:textId="1962BA6F" w:rsidR="00611F5E" w:rsidRDefault="00164B3C">
      <w:r>
        <w:lastRenderedPageBreak/>
        <w:t>It is</w:t>
      </w:r>
      <w:r w:rsidR="000E09B6">
        <w:t xml:space="preserve"> </w:t>
      </w:r>
      <w:r>
        <w:t>important to note that</w:t>
      </w:r>
      <w:r w:rsidR="000E09B6">
        <w:t xml:space="preserve"> high</w:t>
      </w:r>
      <w:r>
        <w:t xml:space="preserve"> “import reliance” is not necessarily a concern- there are likely good reasons when a </w:t>
      </w:r>
      <w:r w:rsidR="000E09B6">
        <w:t>system operator</w:t>
      </w:r>
      <w:r>
        <w:t xml:space="preserve"> imports electricity to supply local demand. </w:t>
      </w:r>
      <w:r w:rsidR="00287BDE">
        <w:t>Several</w:t>
      </w:r>
      <w:r>
        <w:t xml:space="preserve"> studies have shown economic efficiency gains from trade available when two regions </w:t>
      </w:r>
      <w:r w:rsidR="0042466D">
        <w:t xml:space="preserve">increase </w:t>
      </w:r>
      <w:r>
        <w:t>electricity trade</w:t>
      </w:r>
      <w:r w:rsidR="0042466D">
        <w:t xml:space="preserve"> </w:t>
      </w:r>
      <w:r w:rsidR="006144D9">
        <w:fldChar w:fldCharType="begin"/>
      </w:r>
      <w:r w:rsidR="00A64E5B">
        <w:instrText xml:space="preserve"> ADDIN ZOTERO_ITEM CSL_CITATION {"citationID":"hpkC9jaG","properties":{"formattedCitation":"[13\\uc0\\u8211{}16]","plainCitation":"[13–16]","noteIndex":0},"citationItems":[{"id":538,"uris":["http://zotero.org/users/9332412/items/GLYVAGDT"],"itemData":{"id":538,"type":"article-journal","abstract":"Bangladesh, currently a low middle-income economy aspires to become a high middle income country by 2021. To achieve such aspiration, the country will have to ensure adequate power supply for its fast growing economy. Bangladesh lacks energy resources for power generation. This paper explores some of the power supply scenarios with special focus on power imports and higher use of renewables. Using the technology rich, least cost optimization model ‘The Integrated MARKAL-EFOM System (TIMES)’ the authors developed four possible future power supply scenarios for Bangladesh. These scenarios include an energy security framework (based on the Power System Master Plan (PSMP) 2016 report), a high power import scenario, a scenario with higher use of renewables and a combined high power import - high renewables development scenario. The analysis indicates that the present energy security framework ensures energy security with diversifying fuels used for power generation, however, scenarios with high power imports and a high share of renewables (including the combined scenario) bring down the cost of supplying power along with a reduction in expensive fossil fuel imports while maintaining energy security as fuel sources for power generation still remain diversified.","container-title":"Energy","DOI":"10.1016/j.energy.2018.04.169","title":"Bangladesh power supply scenarios on renewables and electricity import","volume":"155","author":[{"family":"Das","given":"Anjana"},{"family":"Halder","given":"Arideep"},{"family":"Mazumder","given":"Rahul"},{"family":"Saini","given":"Vinay Kumar"},{"family":"Parikh","given":"Jyoti"},{"family":"Parikh","given":"Kirit S."}],"issued":{"date-parts":[["2018"]]}},"label":"page"},{"id":485,"uris":["http://zotero.org/users/9332412/items/G2LQIN7I"],"itemData":{"id":485,"type":"article-journal","abstract":"Canadian hydropower resources offer a potentially attractive option for meeting decarbonization targets in the US Northeast region, where there are ambitious climate goals and nearby hydro resources in Quebec. Existing transmission capacity is, however, a limiting factor in expanding hydropower imports to the region. To examine the value of expanding transmission capacity from Quebec to the Northeast, we employ an integrated top-down bottom-up modeling framework (USREP-EleMod). This research was part of an Energy Modeling Forum effort, EMF34, with a goal of better characterizing linkages in energy markets across North America. The scenarios we examine exogenously expand transmission capacity by 10, 30, and 50% above existing capacity into the US Northeast (New York/New England), finding the value to the economy of these expansions ranging from $.38-$.49 per kWh imported into New York, and $.30-$.33 per kWh imported into New England by 2050. The scenarios include economy-wide emissions goals these states have set for themselves. The carbon limits we imposed raise fuel prices more than electricity prices and as a result we found greater electrification in the US Northeast region from 2030 onward, a result that one would not see using just an electricity sector model, demonstrating a main hypothesis of EMF34, that models that looked at more integration across energy markets would give deeper insight than more narrowly focused models.","container-title":"Energy Policy","DOI":"10.1016/j.enpol.2021.112261","ISSN":"0301-4215","journalAbbreviation":"Energy Policy","page":"112261","source":"ScienceDirect","title":"The role of cross-border electricity trade in transition to a low-carbon economy in the Northeastern U.S","volume":"154","author":[{"family":"Yuan","given":"Mei"},{"family":"Tapia-Ahumada","given":"Karen"},{"family":"Reilly","given":"John"}],"issued":{"date-parts":[["2021",7,1]]}},"label":"page"},{"id":484,"uris":["http://zotero.org/users/9332412/items/XQRBSMGK"],"itemData":{"id":484,"type":"report","abstract":"The uptake of renewable energy (RE) has been identified by a number of governments as a primary means for mitigating CO2 emissions from the electricity sector, and for making the transition to a low-carbon economy. The electric power output of some RE technologies, however, including those based on intermittent wind and solar energy, can vary considerably over short periods of time and thereby introduce instability into the electricity system. The risk of instability increases with higher shares of intermittent power sources connected to the electrical grid. Different means have been used to deal with this intermittency problem. Cross-border trade in electricity appears to be one of them since it enables countries to gain access to a more diversified portfolio of plants, producing over a wider geographic area. Preliminary results from an examination of the European electricity market confirm the importance of cross-border electricity trade in increasing the effective capacity factor of intermittent plants in the context of a growing share of intermittent renewables in the power sector. There are a number of policy issues that must first be addressed though, with some financial and administrative incentives provided to variable RE technologies discouraging RE producers from fully participating in electricity market operations and exerting downward pressure on wholesale electricity prices. The positive contribution that cross-border trade in electricity can make to address the variability problem not only depends on addressing challenges that renewable-energy technologies pose to electricity markets, but also necessitates the existence of an efficient cross-border electricity trading regime. Addressing those regulatory and administrative measures that are inhibiting growth in cross-border trade and the smooth operation of regional electricity markets would therefore help increase the potential for trade in electricity to facilitate growth in renewable energy.","event-place":"Paris","language":"en","note":"DOI: 10.1787/5k4869cdwnzr-en","publisher":"OECD","publisher-place":"Paris","source":"OECD iLibrary","title":"Cross-Border Trade in Electricity and the Development of Renewables-Based Electric Power: Lessons from Europe","title-short":"Cross-Border Trade in Electricity and the Development of Renewables-Based Electric Power","URL":"https://www.oecd-ilibrary.org/trade/cross-border-trade-in-electricity-and-the-development-of-renewables-based-electric-power_5k4869cdwnzr-en","author":[{"family":"Bahar","given":"Heymi"},{"family":"Sauvage","given":"Jehan"}],"accessed":{"date-parts":[["2024",8,26]]},"issued":{"date-parts":[["2013",4,8]]}},"label":"page"},{"id":483,"uris":["http://zotero.org/users/9332412/items/KLHGQ95J"],"itemData":{"id":483,"type":"article-journal","abstract":"Connecting two electrical grids allows power to be traded between the areas, which can improve reliability and lower electricity prices. Over the coming years, electrical networks will have to adapt to larger amounts of intermittent renewable generation. Here we use hourly data from 155 world-wide geographic regions to investigate how the value of connecting electrical grids changes as renewable generation is incorporated. We show across five continents that significantly more interconnections are cost effective in a 100% renewables scenario, and that the investment savings they result in can be 100 times higher. Furthermore, we show that many interconnections that are profitable with dispatchable generation are not profitable in a renewable generation scenario. Finally, we show that in many cases the interconnection only reduces the investments costs of one of the two regions — with the larger electricity market, in general, seeing a greater cost reduction.","container-title":"Applied Energy","DOI":"10.1016/j.apenergy.2022.119717","ISSN":"0306-2619","journalAbbreviation":"Applied Energy","page":"119717","source":"ScienceDirect","title":"The effect of renewable electricity generation on the value of cross-border interconnection","volume":"324","author":[{"family":"Crozier","given":"Constance"},{"family":"Baker","given":"Kyri"}],"issued":{"date-parts":[["2022",10,15]]}}}],"schema":"https://github.com/citation-style-language/schema/raw/master/csl-citation.json"} </w:instrText>
      </w:r>
      <w:r w:rsidR="006144D9">
        <w:fldChar w:fldCharType="separate"/>
      </w:r>
      <w:r w:rsidR="00A64E5B" w:rsidRPr="00A64E5B">
        <w:rPr>
          <w:rFonts w:cs="Times New Roman"/>
        </w:rPr>
        <w:t>[13–16]</w:t>
      </w:r>
      <w:r w:rsidR="006144D9">
        <w:fldChar w:fldCharType="end"/>
      </w:r>
      <w:r>
        <w:t xml:space="preserve">. </w:t>
      </w:r>
      <w:r w:rsidR="0042466D">
        <w:t xml:space="preserve">The </w:t>
      </w:r>
      <w:r>
        <w:t xml:space="preserve">magnitude and characteristics of electricity trade </w:t>
      </w:r>
      <w:r w:rsidR="00BD174B">
        <w:t xml:space="preserve">in any given system </w:t>
      </w:r>
      <w:r>
        <w:t>vary depending on the underlying characteristics of individual systems, including resource mix</w:t>
      </w:r>
      <w:r w:rsidR="00BD174B">
        <w:t>es</w:t>
      </w:r>
      <w:r>
        <w:t>, demand characteristics, geographic traits</w:t>
      </w:r>
      <w:r w:rsidR="00BD174B">
        <w:t xml:space="preserve">, and </w:t>
      </w:r>
      <w:r w:rsidR="00576746">
        <w:t xml:space="preserve">local </w:t>
      </w:r>
      <w:r w:rsidR="00BF0C31">
        <w:t>politics</w:t>
      </w:r>
      <w:r>
        <w:t xml:space="preserve">. </w:t>
      </w:r>
    </w:p>
    <w:p w14:paraId="62218963" w14:textId="1958DC2A" w:rsidR="003F5689" w:rsidRDefault="00E94F0E">
      <w:r>
        <w:t xml:space="preserve">Despite economic efficiencies that can be realized from </w:t>
      </w:r>
      <w:r w:rsidR="0078182C">
        <w:t xml:space="preserve">regional trade, there </w:t>
      </w:r>
      <w:r w:rsidR="00164B3C">
        <w:t>are reasons why expanding electricity trade could be more costly than the available benefits.  One potentially significant barrier is if physical links connecting two BAs are already congested, alongside the sometimes-prohibitive cost of building new electric transmission lines</w:t>
      </w:r>
      <w:r w:rsidR="00F25179">
        <w:t xml:space="preserve"> </w:t>
      </w:r>
      <w:r w:rsidR="00F25179">
        <w:fldChar w:fldCharType="begin"/>
      </w:r>
      <w:r w:rsidR="00A64E5B">
        <w:instrText xml:space="preserve"> ADDIN ZOTERO_ITEM CSL_CITATION {"citationID":"NQyvMDTo","properties":{"formattedCitation":"[17]","plainCitation":"[17]","noteIndex":0},"citationItems":[{"id":480,"uris":["http://zotero.org/users/9332412/items/G6UNYVVJ"],"itemData":{"id":480,"type":"article-journal","abstract":"This paper discusses the lessons learned from electricity sector liberalization over the last 20 years. The attributes of reform models that have exhibited good performance attributes are identified, drawing on empirical analysis of market structure, behavior and performance in many countries. Wholesale and retail market competition and network regulation performance evidence are discussed. Technical, economic, and political challenges to improving the efficiency of what continue to be partial liberalization programs in many countries are considered.","container-title":"The Energy Journal","DOI":"10.5547/ISSN0195-6574-EJ-Vol29-NoSI2-3","ISSN":"0195-6574","issue":"2_suppl","language":"en","note":"publisher: SAGE Publications","page":"9-42","source":"SAGE Journals","title":"Lessons Learned From Electricity Market Liberalization","volume":"29","author":[{"family":"Joskow","given":"Paul L."}],"issued":{"date-parts":[["2008",12,1]]}}}],"schema":"https://github.com/citation-style-language/schema/raw/master/csl-citation.json"} </w:instrText>
      </w:r>
      <w:r w:rsidR="00F25179">
        <w:fldChar w:fldCharType="separate"/>
      </w:r>
      <w:r w:rsidR="00A64E5B" w:rsidRPr="00A64E5B">
        <w:t>[17]</w:t>
      </w:r>
      <w:r w:rsidR="00F25179">
        <w:fldChar w:fldCharType="end"/>
      </w:r>
      <w:r w:rsidR="00164B3C">
        <w:t xml:space="preserve">. </w:t>
      </w:r>
      <w:r w:rsidR="005D0CB8">
        <w:t xml:space="preserve">Furthermore, the </w:t>
      </w:r>
      <w:r w:rsidR="00164B3C">
        <w:t xml:space="preserve">integration and associated regional efficiencies associated with electricity price equalization will produce some </w:t>
      </w:r>
      <w:r w:rsidR="005D0CB8">
        <w:t xml:space="preserve">economic </w:t>
      </w:r>
      <w:r w:rsidR="00164B3C">
        <w:t xml:space="preserve">losers </w:t>
      </w:r>
      <w:r w:rsidR="00F25179">
        <w:fldChar w:fldCharType="begin"/>
      </w:r>
      <w:r w:rsidR="00A64E5B">
        <w:instrText xml:space="preserve"> ADDIN ZOTERO_ITEM CSL_CITATION {"citationID":"0fq0Tm6u","properties":{"formattedCitation":"[18]","plainCitation":"[18]","noteIndex":0},"citationItems":[{"id":479,"uris":["http://zotero.org/users/9332412/items/G4DI4CWX"],"itemData":{"id":479,"type":"article-journal","container-title":"The Energy Law Journal","language":"en","source":"Zotero","title":"Measuring the Benefits and Costs of Regional Electric Grid Integration","URL":"https://www.eba-net.org/wp-content/uploads/2023/02/10-147-184.pdf","volume":"28","author":[{"family":"Blumsack","given":"Seth"}],"issued":{"date-parts":[["2007"]]}}}],"schema":"https://github.com/citation-style-language/schema/raw/master/csl-citation.json"} </w:instrText>
      </w:r>
      <w:r w:rsidR="00F25179">
        <w:fldChar w:fldCharType="separate"/>
      </w:r>
      <w:r w:rsidR="00A64E5B" w:rsidRPr="00A64E5B">
        <w:t>[18]</w:t>
      </w:r>
      <w:r w:rsidR="00F25179">
        <w:fldChar w:fldCharType="end"/>
      </w:r>
      <w:r w:rsidR="00DD6F1C">
        <w:t xml:space="preserve">, </w:t>
      </w:r>
      <w:r w:rsidR="00164B3C">
        <w:t>includ</w:t>
      </w:r>
      <w:r w:rsidR="00DD6F1C">
        <w:t>ing</w:t>
      </w:r>
      <w:r w:rsidR="00164B3C">
        <w:t xml:space="preserve"> electricity customers </w:t>
      </w:r>
      <w:r w:rsidR="00DD6F1C">
        <w:t xml:space="preserve">who </w:t>
      </w:r>
      <w:r w:rsidR="00164B3C">
        <w:t>fac</w:t>
      </w:r>
      <w:r w:rsidR="00DD6F1C">
        <w:t>e</w:t>
      </w:r>
      <w:r w:rsidR="00164B3C">
        <w:t xml:space="preserve"> higher </w:t>
      </w:r>
      <w:r w:rsidR="007B5645">
        <w:t xml:space="preserve">prices after increasing </w:t>
      </w:r>
      <w:r w:rsidR="00164B3C">
        <w:t>expor</w:t>
      </w:r>
      <w:r w:rsidR="007B5645">
        <w:t xml:space="preserve">ts, </w:t>
      </w:r>
      <w:r w:rsidR="00164B3C">
        <w:t xml:space="preserve">and producers facing reduced profits </w:t>
      </w:r>
      <w:r w:rsidR="007B5645">
        <w:t xml:space="preserve">from imports </w:t>
      </w:r>
      <w:r w:rsidR="00F25179">
        <w:fldChar w:fldCharType="begin"/>
      </w:r>
      <w:r w:rsidR="00A64E5B">
        <w:instrText xml:space="preserve"> ADDIN ZOTERO_ITEM CSL_CITATION {"citationID":"pwbBXZis","properties":{"formattedCitation":"[19]","plainCitation":"[19]","noteIndex":0},"citationItems":[{"id":478,"uris":["http://zotero.org/users/9332412/items/RDBJ4WKT"],"itemData":{"id":478,"type":"article-journal","abstract":"This paper focuses on how to promote regional cooperation in electricity. We begin by discussing the theory of international trade cooperation in electricity, with a view to discussing what preconditions might be important in facilitating wide area trading across national borders. We then develop lessons based on the comparison of four case studies. These include three regional developing country power pools – the Southern African Power pool (SAPP), West African Power pool (WAPP) and the Central American Power Market (MER). We contrast these with Northern Europe's Nord Pool. These cases highlight both the potential and difficulty of having cross-jurisdictional power pools. In the light of the theory and evidence we present, we draw key lessons in the areas of: preconditions for trading; necessary institutional arrangements; practicalities of timetabling; reasons to be hopeful about future prospects.","container-title":"Energy Policy","DOI":"10.1016/j.enpol.2015.09.007","ISSN":"0301-4215","journalAbbreviation":"Energy Policy","page":"628-638","source":"ScienceDirect","title":"The promotion of regional integration of electricity markets: Lessons for developing countries","title-short":"The promotion of regional integration of electricity markets","volume":"88","author":[{"family":"Oseni","given":"Musiliu O."},{"family":"Pollitt","given":"Michael G."}],"issued":{"date-parts":[["2016",1,1]]}}}],"schema":"https://github.com/citation-style-language/schema/raw/master/csl-citation.json"} </w:instrText>
      </w:r>
      <w:r w:rsidR="00F25179">
        <w:fldChar w:fldCharType="separate"/>
      </w:r>
      <w:r w:rsidR="00A64E5B" w:rsidRPr="00A64E5B">
        <w:t>[19]</w:t>
      </w:r>
      <w:r w:rsidR="00F25179">
        <w:fldChar w:fldCharType="end"/>
      </w:r>
      <w:r w:rsidR="00164B3C">
        <w:t xml:space="preserve">. </w:t>
      </w:r>
    </w:p>
    <w:p w14:paraId="2090D45C" w14:textId="453E9949" w:rsidR="00611F5E" w:rsidRDefault="00164B3C">
      <w:r>
        <w:t xml:space="preserve">Other factors to consider for a better understanding of the observed trading situation between </w:t>
      </w:r>
      <w:r w:rsidR="00423564">
        <w:t xml:space="preserve">two electricity systems include the </w:t>
      </w:r>
      <w:r>
        <w:t>political relationship</w:t>
      </w:r>
      <w:r w:rsidR="00423564">
        <w:t>s</w:t>
      </w:r>
      <w:r>
        <w:t xml:space="preserve"> between regions, market trading rules, and other institutional realities that could create to</w:t>
      </w:r>
      <w:r w:rsidR="004907D2">
        <w:t xml:space="preserve"> trad</w:t>
      </w:r>
      <w:r>
        <w:t>ing friction or other sources of risk associated with expanded trade</w:t>
      </w:r>
      <w:r w:rsidR="001803CB">
        <w:t xml:space="preserve"> </w:t>
      </w:r>
      <w:r w:rsidR="001803CB">
        <w:fldChar w:fldCharType="begin"/>
      </w:r>
      <w:r w:rsidR="00A64E5B">
        <w:instrText xml:space="preserve"> ADDIN ZOTERO_ITEM CSL_CITATION {"citationID":"YYPPckXo","properties":{"formattedCitation":"[20]","plainCitation":"[20]","noteIndex":0},"citationItems":[{"id":477,"uris":["http://zotero.org/users/9332412/items/8CJS2Y7E"],"itemData":{"id":477,"type":"article-journal","abstract":"Purpose – This paper aims at assessing the actual use of interregional transmission lines and the opportunity cost of unused capacity. The 13 electric power lines connecting the province of Quebec (Canada) to its neighbours (New Brunswick, New England, New York, Ontario) are analysed for the years 2006, 2007 and 2008. Design/methodology/approach – Hourly electricity transmission data from the Quebec Open Access Same</w:instrText>
      </w:r>
      <w:r w:rsidR="00A64E5B">
        <w:rPr>
          <w:rFonts w:ascii="Cambria Math" w:hAnsi="Cambria Math" w:cs="Cambria Math"/>
        </w:rPr>
        <w:instrText>‐</w:instrText>
      </w:r>
      <w:r w:rsidR="00A64E5B">
        <w:instrText>Time Information System (OASIS) are analysed and matched with hourly market prices in New Brunswick, New England, New York and Ontario, for the years 2006, 2007 and 2008. Findings – Capacity factors of about 50 per cent are found for these lines. Although increasing from 2006 to 2008, this finding shows that interregional lines are far from being heavily congested. Furthermore, about 25 TWh of additional profitable exports could have taken place every year, given the market conditions and the availability of transmission lines. These exports represented an opportunity cost of about $1 billion per year. Research limitations/implications – Other network constraints and transaction costs could explain why these profitable transactions have not taken place. However, the lack of available energy most likely explains why exports were limited. The opportunity cost could also be overestimated by not taking into account the price impact of additional exports. Practical implications – Price regulation in Quebec (with priority given to local loads) should be reviewed to maximize economic efficiency and environmental benefits in the Northeast region. Originality/value – This is the first analysis of the use of interregional electricity transmission lines. It provides a preliminary estimate of the economic cost of not further integrating different neighbouring regions.","container-title":"International Journal of Energy Sector Management","DOI":"10.1108/17506220911005768","ISSN":"1750-6220","issue":"4","note":"publisher: Emerald Group Publishing Limited","page":"406-423","source":"Emerald Insight","title":"The value of unused interregional transmission: Estimating the opportunity cost for Quebec (Canada)","title-short":"The value of unused interregional transmission","volume":"3","author":[{"family":"Pineau","given":"Pierre</w:instrText>
      </w:r>
      <w:r w:rsidR="00A64E5B">
        <w:rPr>
          <w:rFonts w:ascii="Cambria Math" w:hAnsi="Cambria Math" w:cs="Cambria Math"/>
        </w:rPr>
        <w:instrText>‐</w:instrText>
      </w:r>
      <w:r w:rsidR="00A64E5B">
        <w:instrText xml:space="preserve">Olivier"},{"family":"Lefebvre","given":"Vincent"}],"issued":{"date-parts":[["2009",1,1]]}}}],"schema":"https://github.com/citation-style-language/schema/raw/master/csl-citation.json"} </w:instrText>
      </w:r>
      <w:r w:rsidR="001803CB">
        <w:fldChar w:fldCharType="separate"/>
      </w:r>
      <w:r w:rsidR="00A64E5B" w:rsidRPr="00A64E5B">
        <w:t>[20]</w:t>
      </w:r>
      <w:r w:rsidR="001803CB">
        <w:fldChar w:fldCharType="end"/>
      </w:r>
      <w:r>
        <w:t xml:space="preserve">. Sometimes regional integration is accompanied by efforts to expand BA territory, which can involve an expansion of centralized control over dispatch and resource adequacy </w:t>
      </w:r>
      <w:r w:rsidR="00C15D05">
        <w:t>for</w:t>
      </w:r>
      <w:r>
        <w:t xml:space="preserve"> a grid operator in one of the regions</w:t>
      </w:r>
      <w:r w:rsidR="00C15D05">
        <w:t xml:space="preserve">, </w:t>
      </w:r>
      <w:r w:rsidR="00A524F7">
        <w:t>which requires a level of acceptance from all local market participants and stakeholders</w:t>
      </w:r>
      <w:r>
        <w:t xml:space="preserve">. It is </w:t>
      </w:r>
      <w:r w:rsidR="00C03E8F">
        <w:t xml:space="preserve">often </w:t>
      </w:r>
      <w:r>
        <w:t xml:space="preserve">tempting </w:t>
      </w:r>
      <w:r w:rsidR="00C03E8F">
        <w:t xml:space="preserve">for analysts to consider </w:t>
      </w:r>
      <w:r>
        <w:t xml:space="preserve">trading opportunities from an economic efficiency lens without </w:t>
      </w:r>
      <w:r w:rsidR="00680ED5">
        <w:t xml:space="preserve">similarly </w:t>
      </w:r>
      <w:r>
        <w:t xml:space="preserve">considering the potentially significant political cooperation needed as a foundation for </w:t>
      </w:r>
      <w:r w:rsidR="00103B8C">
        <w:t xml:space="preserve">successful and </w:t>
      </w:r>
      <w:r>
        <w:t xml:space="preserve">lasting economic integration </w:t>
      </w:r>
      <w:r w:rsidR="00103B8C">
        <w:t xml:space="preserve">of regional electricity systems </w:t>
      </w:r>
      <w:r w:rsidR="001803CB">
        <w:fldChar w:fldCharType="begin"/>
      </w:r>
      <w:r w:rsidR="00A64E5B">
        <w:instrText xml:space="preserve"> ADDIN ZOTERO_ITEM CSL_CITATION {"citationID":"GqPFt2Aj","properties":{"formattedCitation":"[21,22]","plainCitation":"[21,22]","noteIndex":0},"citationItems":[{"id":476,"uris":["http://zotero.org/users/9332412/items/YJZ8A5LD"],"itemData":{"id":476,"type":"article-journal","abstract":"Much focus has been placed in public policy discourses on defining energy security as independence from reliance on external hydrocarbon fuels. This definition provides little guidance about the benefits and risks to energy security from the integration of electrical power systems across nation-state lines. Instead of assuming energy independence is intrinsically more secure, this paper argues for utilizing a multi-dimensional energy security framework for evaluating electricity integration by evaluating perceptions of the energy security for shallow and deep electricity integration for Morocco. It argues that conceiving of Moroccan policymaker’s energy security goals only in terms of energy independence misunderstands the broader sustainable development and human security context of Morocco’s renewable electricity plans and overlooks its motivations for increasing electricity interdependence. The paper concludes with policy recommendations for global governance geared toward improving the security of transnational grids. First, electricity integration offers numerous energy security benefits, but these benefits could be negated if technological integration lacks a strong political foundation. Second, policymakers should distinguish between dependence and interdependence and prioritize the latter. Third, given the urgency of climate change, pollution, and energy poverty challenges, decision-makers should approach energy security, human security, and sustainable development as inseparable challenges.","collection-title":"Conflict, Cooperation, and Change in the Politics of Energy Interdependence","container-title":"Energy Research &amp; Social Science","DOI":"10.1016/j.erss.2016.12.008","ISSN":"2214-6296","journalAbbreviation":"Energy Research &amp; Social Science","page":"21-29","source":"ScienceDirect","title":"Evaluating the energy security of electricity interdependence: Perspectives from Morocco","title-short":"Evaluating the energy security of electricity interdependence","volume":"24","author":[{"family":"Moore","given":"Sharlissa"}],"issued":{"date-parts":[["2017",2,1]]}}},{"id":475,"uris":["http://zotero.org/users/9332412/items/NENLRNIS"],"itemData":{"id":475,"type":"article-journal","abstract":"This Perspective is attempted to broaden the scope of the debate on regional power connectivity to go beyond factors that are proximate to the electricity industry. It turns to major regionalist studies as a source of insights for identifying the wider connects of regional power connectivity, i.e., aspects of the geo-political, socio-economic, and cultural contexts that are significantly affected by, and affect the case for, regional power connectivity. These insights are then translated into three suggestions as to how to deepen regional power connectivity based on an appreciation of its wider connects. This Perspective represents a point of departure from the existing, industry-centric, perspective on the topic that is largely neglectful of the significance of the wider contexts within which regional power connectivity has been progressed. It therefore contributes to the development of more effective policy solutions for deepening regional power connectivity.","container-title":"Energy Research &amp; Social Science","DOI":"10.1016/j.erss.2022.102614","ISSN":"2214-6296","journalAbbreviation":"Energy Research &amp; Social Science","page":"102614","source":"ScienceDirect","title":"Deepening regional power connectivity: Beyond the industry-centric perspective","title-short":"Deepening regional power connectivity","volume":"90","author":[{"family":"Yang","given":"Muyi"},{"family":"Shi","given":"Xunpeng"},{"family":"Zhou","given":"Yuanbing"},{"family":"Xiang","given":"Junyong"},{"family":"Zhang","given":"Rui"}],"issued":{"date-parts":[["2022",8,1]]}}}],"schema":"https://github.com/citation-style-language/schema/raw/master/csl-citation.json"} </w:instrText>
      </w:r>
      <w:r w:rsidR="001803CB">
        <w:fldChar w:fldCharType="separate"/>
      </w:r>
      <w:r w:rsidR="00A64E5B" w:rsidRPr="00A64E5B">
        <w:t>[21,22]</w:t>
      </w:r>
      <w:r w:rsidR="001803CB">
        <w:fldChar w:fldCharType="end"/>
      </w:r>
      <w:r>
        <w:t>.</w:t>
      </w:r>
    </w:p>
    <w:p w14:paraId="0F78E650" w14:textId="35367BD9" w:rsidR="00611F5E" w:rsidRDefault="002D53E1">
      <w:r>
        <w:t>Finally, t</w:t>
      </w:r>
      <w:r w:rsidR="00164B3C">
        <w:t xml:space="preserve">he import reliance metric also does not incorporate the diversity of external sources of supply, which is a relevant factor for assessing reliability risk. A region relying on imports may be more reliable if it has many different sources of external supply. In contrast, a balancing authority that is heavily reliant on imports from a single </w:t>
      </w:r>
      <w:r w:rsidR="000806CB">
        <w:t xml:space="preserve">system </w:t>
      </w:r>
      <w:r w:rsidR="002D4C90">
        <w:t xml:space="preserve">operator </w:t>
      </w:r>
      <w:r w:rsidR="00164B3C">
        <w:t xml:space="preserve">may have higher risk. </w:t>
      </w:r>
      <w:r w:rsidR="00AD41F9">
        <w:t xml:space="preserve">This perspective is </w:t>
      </w:r>
      <w:r w:rsidR="00164B3C">
        <w:t>analyzed further in subsequent sections.</w:t>
      </w:r>
    </w:p>
    <w:p w14:paraId="2C283DF1" w14:textId="77777777" w:rsidR="00611F5E" w:rsidRDefault="00164B3C">
      <w:pPr>
        <w:pStyle w:val="Heading1"/>
      </w:pPr>
      <w:r>
        <w:t>Import Diversity</w:t>
      </w:r>
    </w:p>
    <w:p w14:paraId="4296DC5B" w14:textId="1EC9817C" w:rsidR="00856351" w:rsidRDefault="00856351">
      <w:pPr>
        <w:rPr>
          <w:iCs/>
        </w:rPr>
      </w:pPr>
      <w:r>
        <w:rPr>
          <w:iCs/>
        </w:rPr>
        <w:t xml:space="preserve">A diverse set of import sources is beneficial for multiple reasons. Reduced dependency on one or a small number of exporters increases the probability of </w:t>
      </w:r>
      <w:proofErr w:type="gramStart"/>
      <w:r>
        <w:rPr>
          <w:iCs/>
        </w:rPr>
        <w:t>available</w:t>
      </w:r>
      <w:proofErr w:type="gramEnd"/>
      <w:r>
        <w:rPr>
          <w:iCs/>
        </w:rPr>
        <w:t xml:space="preserve"> supply when needed. Regions may have </w:t>
      </w:r>
      <w:r w:rsidR="00287BDE">
        <w:rPr>
          <w:iCs/>
        </w:rPr>
        <w:t xml:space="preserve">differences in weather and </w:t>
      </w:r>
      <w:r>
        <w:rPr>
          <w:iCs/>
        </w:rPr>
        <w:t xml:space="preserve">climate and weather, </w:t>
      </w:r>
      <w:r w:rsidR="00287BDE">
        <w:rPr>
          <w:iCs/>
        </w:rPr>
        <w:t xml:space="preserve">demand patterns, and technology mix, </w:t>
      </w:r>
      <w:r>
        <w:rPr>
          <w:iCs/>
        </w:rPr>
        <w:t>which can improve the availability of supply,</w:t>
      </w:r>
      <w:r w:rsidR="00287BDE">
        <w:rPr>
          <w:iCs/>
        </w:rPr>
        <w:t xml:space="preserve"> increase economic efficiency,</w:t>
      </w:r>
      <w:r>
        <w:rPr>
          <w:iCs/>
        </w:rPr>
        <w:t xml:space="preserve"> and may support mitigating local extreme events such as a heat wave, natural disaster, or infrastructure failure</w:t>
      </w:r>
      <w:r w:rsidR="0038353F">
        <w:rPr>
          <w:iCs/>
        </w:rPr>
        <w:t xml:space="preserve"> </w:t>
      </w:r>
      <w:r w:rsidR="0038353F">
        <w:rPr>
          <w:iCs/>
        </w:rPr>
        <w:fldChar w:fldCharType="begin"/>
      </w:r>
      <w:r w:rsidR="00A64E5B">
        <w:rPr>
          <w:iCs/>
        </w:rPr>
        <w:instrText xml:space="preserve"> ADDIN ZOTERO_ITEM CSL_CITATION {"citationID":"YrJD9F13","properties":{"unsorted":true,"formattedCitation":"[23\\uc0\\u8211{}25]","plainCitation":"[23–25]","noteIndex":0},"citationItems":[{"id":482,"uris":["http://zotero.org/users/9332412/items/RHQ5ESWH"],"itemData":{"id":482,"type":"article-journal","abstract":"This paper develops a multi-country multi-sector general equilibrium model, integrating high-frequency electricity dispatch and trade decisions, to study the effects of electricity transmission infrastructure (TI) expansion and renewable energy (RE) penetration in Europe for gains from trade and carbon dioxide emissions in the power sector. TI can benefit or degrade environmental outcomes, depending on RE penetration: it complements emissions abatement by mitigating dispatch problems associated with volatile and spatially dispersed RE but also promotes higher average generation from low-cost coal if RE production is too low. Against the backdrop of European decarbonization and planned TI expansion, we find that emissions increase for current and targeted year-2020 levels of RE production and decrease for year-2030 targets. Enhanced TI yields sizeable gains from trade that depend positively on RE penetration, without creating large adverse impacts on regional equity.","container-title":"Journal of Environmental Economics and Management","DOI":"10.1016/j.jeem.2016.04.001","ISSN":"0095-0696","journalAbbreviation":"Journal of Environmental Economics and Management","page":"87-113","source":"ScienceDirect","title":"Cross-country electricity trade, renewable energy and European transmission infrastructure policy","volume":"79","author":[{"family":"Abrell","given":"Jan"},{"family":"Rausch","given":"Sebastian"}],"issued":{"date-parts":[["2016",9,1]]}}},{"id":1293,"uris":["http://zotero.org/users/9332412/items/69EHJBVW"],"itemData":{"id":1293,"type":"article-journal","abstract":"This paper develops a novel economic theory of two-way trade in a homogenous good, electricity. In this model of ‘reciprocal load smoothing,’ international trade provides insurance. As electricity demand is stochastic and correlated across jurisdictions, electric utilities can reduce their cost during peak periods by importing cheaper off-peak electricity from neighbouring jurisdictions. Two-way trade emerges in the presence of strongly convex marginal costs. Observed trade between Canadian provinces and US states strongly supports the theoretical model. Reciprocal load smoothing provides an economic rationale for integrating North America's fragmented interconnections into a continental ‘supergrid’ if technological progress in long-distance bulk transmission continues to reduce costs.","container-title":"Journal of International Economics","DOI":"10.1016/j.jinteco.2016.03.007","ISSN":"0022-1996","journalAbbreviation":"Journal of International Economics","page":"42-51","source":"ScienceDirect","title":"Cross-border trade in electricity","volume":"101","author":[{"family":"Antweiler","given":"Werner"}],"issued":{"date-parts":[["2016",7,1]]}},"label":"page"},{"id":520,"uris":["http://zotero.org/users/9332412/items/EH4LQACU"],"itemData":{"id":520,"type":"article-journal","abstract":"This paper presents empirically-estimated average hourly relationships between regional electricity trade in the western United States (US) and prices, emissions, and generation from 2015 through 2018. It provides new evidence of the short term impacts of integrating markets to inform electricity market policymakers. Consistent with economic theory, the analysis finds a negative relationship between electricity price in California and regional trade, conditional on local demand. Each 1 GWh increase in California electricity imports is associated with an average $0.15 per MWh decrease in the California Independent System Operator’s (CAISO) wholesale electricity price. There is a net-negative short-term relationship between CO2 emissions in California and electricity imports that is partially offset by positive emissions from exporting neighbors. Specifically, each 1 GWh increase in regional trade is associated with a net 70-ton average decrease in CO2 emissions across the western U.S., conditional on demand levels. The results provide evidence that electricity imports mostly displace natural gas generation on the margin in the California electricity market. A small positive relationship is observed between short-run SO2 and NOx emissions in neighboring regions and California electricity imports. The magnitude of the SO2 and NOx results suggest an average increase of 0.1 MWh from neighboring coal plants is associated with a 1 MWh increase in imports to California.","container-title":"International Journal of Sustainable Energy Planning and Management","DOI":"10.5278/ijsepm.3416","title":"Integrating energy markets: Implications of increasing electricity trade on prices and emissions in the Western United States","volume":"25","author":[{"family":"Dahlke","given":"Steven"}],"issued":{"date-parts":[["2020"]]}}}],"schema":"https://github.com/citation-style-language/schema/raw/master/csl-citation.json"} </w:instrText>
      </w:r>
      <w:r w:rsidR="0038353F">
        <w:rPr>
          <w:iCs/>
        </w:rPr>
        <w:fldChar w:fldCharType="separate"/>
      </w:r>
      <w:r w:rsidR="00A64E5B" w:rsidRPr="00A64E5B">
        <w:rPr>
          <w:rFonts w:cs="Times New Roman"/>
        </w:rPr>
        <w:t>[23–25]</w:t>
      </w:r>
      <w:r w:rsidR="0038353F">
        <w:rPr>
          <w:iCs/>
        </w:rPr>
        <w:fldChar w:fldCharType="end"/>
      </w:r>
      <w:r>
        <w:rPr>
          <w:iCs/>
        </w:rPr>
        <w:t>.</w:t>
      </w:r>
      <w:r w:rsidR="0064266F">
        <w:rPr>
          <w:iCs/>
        </w:rPr>
        <w:t xml:space="preserve"> On the other hand, </w:t>
      </w:r>
      <w:r w:rsidR="00AF3017">
        <w:rPr>
          <w:iCs/>
        </w:rPr>
        <w:t xml:space="preserve">achieving import diversity through additional </w:t>
      </w:r>
      <w:r w:rsidR="0064266F">
        <w:rPr>
          <w:iCs/>
        </w:rPr>
        <w:t>trad</w:t>
      </w:r>
      <w:r w:rsidR="00AF3017">
        <w:rPr>
          <w:iCs/>
        </w:rPr>
        <w:t>ing relationships</w:t>
      </w:r>
      <w:r w:rsidR="0064266F">
        <w:rPr>
          <w:iCs/>
        </w:rPr>
        <w:t xml:space="preserve"> with </w:t>
      </w:r>
      <w:r w:rsidR="00AF3017">
        <w:rPr>
          <w:iCs/>
        </w:rPr>
        <w:t xml:space="preserve">neighboring systems </w:t>
      </w:r>
      <w:r w:rsidR="0064266F">
        <w:rPr>
          <w:iCs/>
        </w:rPr>
        <w:t xml:space="preserve">may </w:t>
      </w:r>
      <w:r w:rsidR="00AF3017">
        <w:rPr>
          <w:iCs/>
        </w:rPr>
        <w:t>require</w:t>
      </w:r>
      <w:r w:rsidR="0064266F">
        <w:rPr>
          <w:iCs/>
        </w:rPr>
        <w:t xml:space="preserve"> </w:t>
      </w:r>
      <w:r w:rsidR="00086274">
        <w:rPr>
          <w:iCs/>
        </w:rPr>
        <w:t xml:space="preserve">managing </w:t>
      </w:r>
      <w:r w:rsidR="0064266F">
        <w:rPr>
          <w:iCs/>
        </w:rPr>
        <w:t xml:space="preserve">greater transaction costs and administrative </w:t>
      </w:r>
      <w:r w:rsidR="00086274">
        <w:rPr>
          <w:iCs/>
        </w:rPr>
        <w:t>requirements</w:t>
      </w:r>
      <w:r w:rsidR="0064266F">
        <w:rPr>
          <w:iCs/>
        </w:rPr>
        <w:t xml:space="preserve">, as different </w:t>
      </w:r>
      <w:r w:rsidR="00086274">
        <w:rPr>
          <w:iCs/>
        </w:rPr>
        <w:t>balancing authorities</w:t>
      </w:r>
      <w:r w:rsidR="0064266F">
        <w:rPr>
          <w:iCs/>
        </w:rPr>
        <w:t xml:space="preserve"> have varying </w:t>
      </w:r>
      <w:r w:rsidR="00A701D0">
        <w:rPr>
          <w:iCs/>
        </w:rPr>
        <w:t xml:space="preserve">trading procedures </w:t>
      </w:r>
      <w:r w:rsidR="00A701D0">
        <w:rPr>
          <w:iCs/>
        </w:rPr>
        <w:fldChar w:fldCharType="begin"/>
      </w:r>
      <w:r w:rsidR="00A64E5B">
        <w:rPr>
          <w:iCs/>
        </w:rPr>
        <w:instrText xml:space="preserve"> ADDIN ZOTERO_ITEM CSL_CITATION {"citationID":"R1jP3Exv","properties":{"unsorted":true,"formattedCitation":"[26]","plainCitation":"[26]","noteIndex":0},"citationItems":[{"id":1289,"uris":["http://zotero.org/users/9332412/items/YCQK2S4D"],"itemData":{"id":1289,"type":"report","abstract":"There are 'seams' when TSOs (Transmission System Operators) do not perform the same tasks in the same manner on the different sides of their borders. Seams are consequential for electricity systems because power flows are strongly interactive where interconnected grids link many TSOs and countries like in the EU. Seams are very consequential in the EU because we have a common continental open market while access to the grids, congestion management, and balancing of the flows are performed by individual TSOs. It took 20 years to the EU to really address this 'seams' issue: why? How did it change and how far? Will the EU new 'Network Codes' finally create a seamless EU interconnected system and internal market? Or not?","genre":"Working Paper","language":"en","note":"Accepted: 2017-09-22T13:24:12Z\nISSN: 1028-3625","source":"cadmus.eui.eu","title":"Twenty years to address electricity market and system seams issues in the European Union : why? why not?","title-short":"Twenty years to address electricity market and system seams issues in the European Union","URL":"https://cadmus.eui.eu/handle/1814/48048","author":[{"family":"Glachant","given":"Jean-Michel"}],"accessed":{"date-parts":[["2024",9,8]]},"issued":{"date-parts":[["2017"]]}}}],"schema":"https://github.com/citation-style-language/schema/raw/master/csl-citation.json"} </w:instrText>
      </w:r>
      <w:r w:rsidR="00A701D0">
        <w:rPr>
          <w:iCs/>
        </w:rPr>
        <w:fldChar w:fldCharType="separate"/>
      </w:r>
      <w:r w:rsidR="00A64E5B" w:rsidRPr="00A64E5B">
        <w:t>[26]</w:t>
      </w:r>
      <w:r w:rsidR="00A701D0">
        <w:rPr>
          <w:iCs/>
        </w:rPr>
        <w:fldChar w:fldCharType="end"/>
      </w:r>
      <w:r w:rsidR="00A701D0">
        <w:rPr>
          <w:iCs/>
        </w:rPr>
        <w:t xml:space="preserve">. Furthermore, expanding the physical links across </w:t>
      </w:r>
      <w:r w:rsidR="00082542">
        <w:rPr>
          <w:iCs/>
        </w:rPr>
        <w:t>systems</w:t>
      </w:r>
      <w:r w:rsidR="00A701D0">
        <w:rPr>
          <w:iCs/>
        </w:rPr>
        <w:t xml:space="preserve"> needed to </w:t>
      </w:r>
      <w:r w:rsidR="00DD5D80">
        <w:rPr>
          <w:iCs/>
        </w:rPr>
        <w:t xml:space="preserve">enhance diversity </w:t>
      </w:r>
      <w:r w:rsidR="00A701D0">
        <w:rPr>
          <w:iCs/>
        </w:rPr>
        <w:t xml:space="preserve">can be </w:t>
      </w:r>
      <w:r w:rsidR="002D2DBE">
        <w:rPr>
          <w:iCs/>
        </w:rPr>
        <w:t xml:space="preserve">slowed down </w:t>
      </w:r>
      <w:r w:rsidR="00A701D0">
        <w:rPr>
          <w:iCs/>
        </w:rPr>
        <w:t xml:space="preserve">by incompatible infrastructure cost allocation </w:t>
      </w:r>
      <w:r w:rsidR="00DD5D80">
        <w:rPr>
          <w:iCs/>
        </w:rPr>
        <w:t xml:space="preserve">and development </w:t>
      </w:r>
      <w:r w:rsidR="00A701D0">
        <w:rPr>
          <w:iCs/>
        </w:rPr>
        <w:t xml:space="preserve">procedures </w:t>
      </w:r>
      <w:r w:rsidR="002D2DBE">
        <w:rPr>
          <w:iCs/>
        </w:rPr>
        <w:t xml:space="preserve">across regions </w:t>
      </w:r>
      <w:r w:rsidR="00A701D0">
        <w:rPr>
          <w:iCs/>
        </w:rPr>
        <w:fldChar w:fldCharType="begin"/>
      </w:r>
      <w:r w:rsidR="00A64E5B">
        <w:rPr>
          <w:iCs/>
        </w:rPr>
        <w:instrText xml:space="preserve"> ADDIN ZOTERO_ITEM CSL_CITATION {"citationID":"lsVK2PZL","properties":{"unsorted":true,"formattedCitation":"[27,28]","plainCitation":"[27,28]","noteIndex":0},"citationItems":[{"id":1287,"uris":["http://zotero.org/users/9332412/items/U97IIA3J"],"itemData":{"id":1287,"type":"report","publisher":"R Street Institute","source":"JSTOR","title":"Efficient Solutions for Issues in Electricity Seams","URL":"https://www.jstor.org/stable/resrep30569","author":[{"family":"Kavulla","given":"Travis"}],"accessed":{"date-parts":[["2024",9,8]]},"issued":{"date-parts":[["2019"]]}},"label":"page"},{"id":1291,"uris":["http://zotero.org/users/9332412/items/SDJP3VC7"],"itemData":{"id":1291,"type":"article-journal","container-title":"George Washington Journal of Energy and Environmental Law","journalAbbreviation":"Geo. Wash. J. Energy &amp; Env't L.","page":"82","title":"Do Grid Operators Dream of Electric Seams?: Coordinating Interregional Transmission Stakeholders to Improve Energy Deliverability","title-short":"Do Grid Operators Dream of Electric Seams?","volume":"13","author":[{"family":"Li","given":"Divina"}],"issued":{"date-parts":[["2022"]]}}}],"schema":"https://github.com/citation-style-language/schema/raw/master/csl-citation.json"} </w:instrText>
      </w:r>
      <w:r w:rsidR="00A701D0">
        <w:rPr>
          <w:iCs/>
        </w:rPr>
        <w:fldChar w:fldCharType="separate"/>
      </w:r>
      <w:r w:rsidR="00A64E5B" w:rsidRPr="00A64E5B">
        <w:t>[27,28]</w:t>
      </w:r>
      <w:r w:rsidR="00A701D0">
        <w:rPr>
          <w:iCs/>
        </w:rPr>
        <w:fldChar w:fldCharType="end"/>
      </w:r>
      <w:r w:rsidR="00A701D0">
        <w:rPr>
          <w:iCs/>
        </w:rPr>
        <w:t>.</w:t>
      </w:r>
    </w:p>
    <w:p w14:paraId="0747C5FC" w14:textId="7DF449BF" w:rsidR="00014F09" w:rsidRDefault="0038353F" w:rsidP="00014F09">
      <w:pPr>
        <w:rPr>
          <w:color w:val="000000"/>
        </w:rPr>
      </w:pPr>
      <w:r>
        <w:rPr>
          <w:iCs/>
        </w:rPr>
        <w:lastRenderedPageBreak/>
        <w:t xml:space="preserve">It is useful in this context to apply a metric </w:t>
      </w:r>
      <w:r w:rsidR="00122546">
        <w:rPr>
          <w:iCs/>
        </w:rPr>
        <w:t xml:space="preserve">for </w:t>
      </w:r>
      <w:r>
        <w:rPr>
          <w:iCs/>
        </w:rPr>
        <w:t xml:space="preserve">quantifying </w:t>
      </w:r>
      <w:r w:rsidR="00122546">
        <w:rPr>
          <w:iCs/>
        </w:rPr>
        <w:t xml:space="preserve">and comparing </w:t>
      </w:r>
      <w:r w:rsidR="003F5C29">
        <w:rPr>
          <w:iCs/>
        </w:rPr>
        <w:t>import diversity</w:t>
      </w:r>
      <w:r>
        <w:rPr>
          <w:iCs/>
        </w:rPr>
        <w:t xml:space="preserve">. </w:t>
      </w:r>
      <w:r w:rsidR="003C0D21">
        <w:rPr>
          <w:iCs/>
        </w:rPr>
        <w:t>T</w:t>
      </w:r>
      <w:r>
        <w:rPr>
          <w:iCs/>
        </w:rPr>
        <w:t>he Shannon Diversity Index</w:t>
      </w:r>
      <w:r w:rsidR="003C0D21">
        <w:rPr>
          <w:iCs/>
        </w:rPr>
        <w:t xml:space="preserve"> is useful for this application. </w:t>
      </w:r>
      <w:r w:rsidR="003C0D21">
        <w:rPr>
          <w:color w:val="000000"/>
        </w:rPr>
        <w:t xml:space="preserve">It </w:t>
      </w:r>
      <w:r w:rsidR="005E444D">
        <w:rPr>
          <w:color w:val="000000"/>
        </w:rPr>
        <w:t xml:space="preserve">was </w:t>
      </w:r>
      <w:r w:rsidR="003C0D21">
        <w:rPr>
          <w:color w:val="000000"/>
        </w:rPr>
        <w:t xml:space="preserve">initially applied through </w:t>
      </w:r>
      <w:r w:rsidR="00402F1D">
        <w:rPr>
          <w:color w:val="000000"/>
        </w:rPr>
        <w:t>information</w:t>
      </w:r>
      <w:r w:rsidR="008E5C0B">
        <w:rPr>
          <w:color w:val="000000"/>
        </w:rPr>
        <w:t xml:space="preserve"> </w:t>
      </w:r>
      <w:r w:rsidR="00295051" w:rsidRPr="00295051">
        <w:rPr>
          <w:color w:val="000000"/>
        </w:rPr>
        <w:t xml:space="preserve">theory </w:t>
      </w:r>
      <w:r w:rsidR="005E444D">
        <w:rPr>
          <w:color w:val="000000"/>
        </w:rPr>
        <w:t xml:space="preserve">to measure </w:t>
      </w:r>
      <w:r w:rsidR="00466BE8">
        <w:rPr>
          <w:color w:val="000000"/>
        </w:rPr>
        <w:t xml:space="preserve">the </w:t>
      </w:r>
      <w:r w:rsidR="00DD6380">
        <w:rPr>
          <w:color w:val="000000"/>
        </w:rPr>
        <w:t xml:space="preserve">quantity of information </w:t>
      </w:r>
      <w:r w:rsidR="00E25254">
        <w:rPr>
          <w:color w:val="000000"/>
        </w:rPr>
        <w:t>in</w:t>
      </w:r>
      <w:r w:rsidR="005C3B3D">
        <w:rPr>
          <w:color w:val="000000"/>
        </w:rPr>
        <w:t>cluded in</w:t>
      </w:r>
      <w:r w:rsidR="00955682">
        <w:rPr>
          <w:color w:val="000000"/>
        </w:rPr>
        <w:t xml:space="preserve"> a </w:t>
      </w:r>
      <w:r w:rsidR="00012C55">
        <w:rPr>
          <w:color w:val="000000"/>
        </w:rPr>
        <w:t>communication signal</w:t>
      </w:r>
      <w:r w:rsidR="00955682">
        <w:rPr>
          <w:color w:val="000000"/>
        </w:rPr>
        <w:t xml:space="preserve"> </w:t>
      </w:r>
      <w:r w:rsidR="00692699">
        <w:rPr>
          <w:color w:val="000000"/>
        </w:rPr>
        <w:fldChar w:fldCharType="begin"/>
      </w:r>
      <w:r w:rsidR="00A64E5B">
        <w:rPr>
          <w:color w:val="000000"/>
        </w:rPr>
        <w:instrText xml:space="preserve"> ADDIN ZOTERO_ITEM CSL_CITATION {"citationID":"tyLj8ulh","properties":{"formattedCitation":"[29]","plainCitation":"[29]","noteIndex":0},"citationItems":[{"id":522,"uris":["http://zotero.org/users/9332412/items/RGA4KMYV"],"itemData":{"id":522,"type":"article-journal","container-title":"The Bell System Technical Journal","DOI":"10.1002/j.1538-7305.1948.tb01338.x","issue":"3","page":"379-423","title":"A mathematical theory of communication","volume":"27","author":[{"family":"Shannon","given":"C E"}],"issued":{"date-parts":[["1948"]]}}}],"schema":"https://github.com/citation-style-language/schema/raw/master/csl-citation.json"} </w:instrText>
      </w:r>
      <w:r w:rsidR="00692699">
        <w:rPr>
          <w:color w:val="000000"/>
        </w:rPr>
        <w:fldChar w:fldCharType="separate"/>
      </w:r>
      <w:r w:rsidR="00A64E5B" w:rsidRPr="00A64E5B">
        <w:t>[29]</w:t>
      </w:r>
      <w:r w:rsidR="00692699">
        <w:rPr>
          <w:color w:val="000000"/>
        </w:rPr>
        <w:fldChar w:fldCharType="end"/>
      </w:r>
      <w:r w:rsidR="00295051" w:rsidRPr="00295051">
        <w:rPr>
          <w:color w:val="000000"/>
        </w:rPr>
        <w:t xml:space="preserve">. </w:t>
      </w:r>
      <w:r w:rsidR="005E444D">
        <w:rPr>
          <w:color w:val="000000"/>
        </w:rPr>
        <w:t xml:space="preserve">Since then, it </w:t>
      </w:r>
      <w:r w:rsidR="00955682">
        <w:rPr>
          <w:color w:val="000000"/>
        </w:rPr>
        <w:t>ha</w:t>
      </w:r>
      <w:r w:rsidR="00B13ECD">
        <w:rPr>
          <w:color w:val="000000"/>
        </w:rPr>
        <w:t>s</w:t>
      </w:r>
      <w:r w:rsidR="00295051" w:rsidRPr="00295051">
        <w:rPr>
          <w:color w:val="000000"/>
        </w:rPr>
        <w:t xml:space="preserve"> </w:t>
      </w:r>
      <w:r w:rsidR="008A3776">
        <w:rPr>
          <w:color w:val="000000"/>
        </w:rPr>
        <w:t xml:space="preserve">been </w:t>
      </w:r>
      <w:r w:rsidR="00295051" w:rsidRPr="00295051">
        <w:rPr>
          <w:color w:val="000000"/>
        </w:rPr>
        <w:t>applied as a measure of diversity for a range of applications, notably in ecologic systems</w:t>
      </w:r>
      <w:r w:rsidR="00402F1D">
        <w:rPr>
          <w:color w:val="000000"/>
        </w:rPr>
        <w:t xml:space="preserve"> </w:t>
      </w:r>
      <w:r w:rsidR="00EC4DCC">
        <w:rPr>
          <w:color w:val="000000"/>
        </w:rPr>
        <w:fldChar w:fldCharType="begin"/>
      </w:r>
      <w:r w:rsidR="00A64E5B">
        <w:rPr>
          <w:color w:val="000000"/>
        </w:rPr>
        <w:instrText xml:space="preserve"> ADDIN ZOTERO_ITEM CSL_CITATION {"citationID":"N38IZlgg","properties":{"formattedCitation":"[30,31]","plainCitation":"[30,31]","noteIndex":0},"citationItems":[{"id":454,"uris":["http://zotero.org/users/9332412/items/6V2W43Q3"],"itemData":{"id":454,"type":"article-journal","note":"publisher: Real Academia de Ciencias y Artes de Barcelona","source":"Google Scholar","title":"Information theory in ecology","URL":"https://digital.csic.es/handle/10261/284346","author":[{"family":"Margalef","given":"Ramon"}],"accessed":{"date-parts":[["2024",8,27]]},"issued":{"date-parts":[["1973"]]}}},{"id":453,"uris":["http://zotero.org/users/9332412/items/FHGJUC66"],"itemData":{"id":453,"type":"article-journal","abstract":"Information content may be used as a measure of the diversity of a many-species biological collection. The diversity of small collections, all of whose members can be identified and counted, is defined by Brillouin's measure of information. With larger collections it becomes necessary to estimate diversity; what is estimated is Shannon's measure of information which is a function of the population proportions of the several species. Different methods of estimation are appropriate for different types of collections. If the collection can be randomly sampled and the total number of species is known, Basharin's formula may be used. With a random sample from a population containing an unknown number of species, Good's method is sometimes applicable. With a patchy population of sessile organisms, such as a plant community, random samples are unobtainable since the contents of a randomly placed quadrat are not a random sample of the parent population. To estimate the diversity of such a community a method is proposed whereby the sample size is progressively increased by addition of new quadrats; as this is done the diversity of the pooled sample increases and then levels off. The mean increment in total diversity that results from enlarging the sample still more then provides an estimate of the diversity per individual in the whole population.","container-title":"Journal of Theoretical Biology","DOI":"10.1016/0022-5193(66)90013-0","ISSN":"0022-5193","journalAbbreviation":"Journal of Theoretical Biology","page":"131-144","source":"ScienceDirect","title":"The measurement of diversity in different types of biological collections","volume":"13","author":[{"family":"Pielou","given":"E. C."}],"issued":{"date-parts":[["1966",12,1]]}}}],"schema":"https://github.com/citation-style-language/schema/raw/master/csl-citation.json"} </w:instrText>
      </w:r>
      <w:r w:rsidR="00EC4DCC">
        <w:rPr>
          <w:color w:val="000000"/>
        </w:rPr>
        <w:fldChar w:fldCharType="separate"/>
      </w:r>
      <w:r w:rsidR="00A64E5B" w:rsidRPr="00A64E5B">
        <w:t>[30,31]</w:t>
      </w:r>
      <w:r w:rsidR="00EC4DCC">
        <w:rPr>
          <w:color w:val="000000"/>
        </w:rPr>
        <w:fldChar w:fldCharType="end"/>
      </w:r>
      <w:r w:rsidR="00295051" w:rsidRPr="00295051">
        <w:rPr>
          <w:color w:val="000000"/>
        </w:rPr>
        <w:t xml:space="preserve"> </w:t>
      </w:r>
      <w:r w:rsidR="005B712A">
        <w:rPr>
          <w:color w:val="000000"/>
        </w:rPr>
        <w:t xml:space="preserve">and economics </w:t>
      </w:r>
      <w:r w:rsidR="005B712A">
        <w:rPr>
          <w:color w:val="000000"/>
        </w:rPr>
        <w:fldChar w:fldCharType="begin"/>
      </w:r>
      <w:r w:rsidR="00A64E5B">
        <w:rPr>
          <w:color w:val="000000"/>
        </w:rPr>
        <w:instrText xml:space="preserve"> ADDIN ZOTERO_ITEM CSL_CITATION {"citationID":"oLhydeUO","properties":{"formattedCitation":"[32]","plainCitation":"[32]","noteIndex":0},"citationItems":[{"id":1265,"uris":["http://zotero.org/users/9332412/items/8HETGSHS"],"itemData":{"id":1265,"type":"article-journal","container-title":"Science Policy Research Unit (SPRU), Electronic Working Papers Series, Paper","note":"publisher: Citeseer","page":"1–156","source":"Google Scholar","title":"On the economics and analysis of diversity","volume":"28","author":[{"family":"Stirling","given":"Andrew"}],"issued":{"date-parts":[["1998"]]}}}],"schema":"https://github.com/citation-style-language/schema/raw/master/csl-citation.json"} </w:instrText>
      </w:r>
      <w:r w:rsidR="005B712A">
        <w:rPr>
          <w:color w:val="000000"/>
        </w:rPr>
        <w:fldChar w:fldCharType="separate"/>
      </w:r>
      <w:r w:rsidR="00A64E5B" w:rsidRPr="00A64E5B">
        <w:t>[32]</w:t>
      </w:r>
      <w:r w:rsidR="005B712A">
        <w:rPr>
          <w:color w:val="000000"/>
        </w:rPr>
        <w:fldChar w:fldCharType="end"/>
      </w:r>
      <w:r w:rsidR="003C0D21">
        <w:rPr>
          <w:color w:val="000000"/>
        </w:rPr>
        <w:t>.</w:t>
      </w:r>
      <w:r w:rsidR="00014F09">
        <w:rPr>
          <w:color w:val="000000"/>
        </w:rPr>
        <w:t xml:space="preserve"> </w:t>
      </w:r>
    </w:p>
    <w:p w14:paraId="09E8C5D8" w14:textId="1C93099B" w:rsidR="003C0D21" w:rsidRPr="00C62DF2" w:rsidRDefault="00014F09" w:rsidP="003C0D21">
      <w:r>
        <w:t xml:space="preserve">The Shannon Diversity Index </w:t>
      </w:r>
      <w:r>
        <w:rPr>
          <w:iCs/>
        </w:rPr>
        <w:t xml:space="preserve">(herein “diversity index”) </w:t>
      </w:r>
      <w:r>
        <w:t>has</w:t>
      </w:r>
      <w:r w:rsidR="00FB4AAC">
        <w:t xml:space="preserve"> also</w:t>
      </w:r>
      <w:r>
        <w:t xml:space="preserve"> been widely considered in energy security-focused studies as a metric for diversity of primary energy and energy import sources, commonly at the nation-state level </w:t>
      </w:r>
      <w:r w:rsidR="00381D54">
        <w:t xml:space="preserve">as part of geo-political energy analysis </w:t>
      </w:r>
      <w:r>
        <w:fldChar w:fldCharType="begin"/>
      </w:r>
      <w:r w:rsidR="00A64E5B">
        <w:instrText xml:space="preserve"> ADDIN ZOTERO_ITEM CSL_CITATION {"citationID":"6XTIEyTN","properties":{"unsorted":true,"formattedCitation":"[33\\uc0\\u8211{}47]","plainCitation":"[33–47]","noteIndex":0},"citationItems":[{"id":462,"uris":["http://zotero.org/users/9332412/items/TXUYSFD4"],"itemData":{"id":462,"type":"article-journal","abstract":"Global concerns for the security of energy have steadily been on the increase and are expected to become a major issue over the next few decades. Urgent policy response is thus essential. However, little attempt has been made at defining both energy security and energy metrics. In this study, we provide such metrics and apply them to four major energy sources in the Korean electricity market: coal, oil, liquefied natural gas, and nuclear. In our approach, we measure the cost of energy security in terms of supply disruption and price volatility, and we consider the degree of concentration in energy supply and demand using the Hirschman–Herfindahl index (HHI). Due to its balanced fuel supply and demand, relatively stable price, and high abundance, we find nuclear energy to be the most competitive energy source in terms of energy security in the Korean electricity market. LNG, on the other hand, was found to have the highest cost in term of energy security due to its high concentration in supply and demand, and its high price volatility. In addition, in terms of cost, we find that economic security dominates supply security, and as such, it is the main factor in the total security cost. Within the confines of concern for global energy security, our study both broadens our understanding of energy security and enables a strategic approach in the portfolio management of energy consumption.","container-title":"Applied Energy","DOI":"10.1016/j.apenergy.2008.11.028","ISSN":"0306-2619","issue":"10","journalAbbreviation":"Applied Energy","page":"1894-1901","source":"ScienceDirect","title":"The analysis of security cost for different energy sources","volume":"86","author":[{"family":"Jun","given":"Eunju"},{"family":"Kim","given":"Wonjoon"},{"family":"Chang","given":"Soon Heung"}],"issued":{"date-parts":[["2009",10,1]]}}},{"id":460,"uris":["http://zotero.org/users/9332412/items/MN7RZL3X"],"itemData":{"id":460,"type":"article-journal","abstract":"The concept of energy security is widely used, yet there is no consensus on its precise interpretation. In this research, we have provided an overview of available indicators for long-term security of supply (SOS). We distinguished four dimensions of energy security that relate to the availability, accessibility, affordability and acceptability of energy and classified indicators for energy security according to this taxonomy. There is no one ideal indicator, as the notion of energy security is highly context dependent. Rather, applying multiple indicators leads to a broader understanding. Incorporating these indicators in model-based scenario analysis showed accelerated depletion of currently known fossil resources due to increasing global demand. Coupled with increasing spatial discrepancy between consumption and production, international trade in energy carriers is projected to have increased by 142% in 2050 compared to 2008. Oil production is projected to become increasingly concentrated in a few countries up to 2030, after which production from other regions diversifies the market. Under stringent climate policies, this diversification may not occur due to reduced demand for oil. Possible benefits of climate policy include increased fuel diversity and slower depletion of fossil resources.","collection-title":"China Energy Efficiency","container-title":"Energy Policy","DOI":"10.1016/j.enpol.2009.02.006","ISSN":"0301-4215","issue":"6","journalAbbreviation":"Energy Policy","page":"2166-2181","source":"ScienceDirect","title":"Indicators for energy security","volume":"37","author":[{"family":"Kruyt","given":"Bert"},{"family":"Vuuren","given":"D. P.","non-dropping-particle":"van"},{"family":"Vries","given":"H. J. M.","non-dropping-particle":"de"},{"family":"Groenenberg","given":"H."}],"issued":{"date-parts":[["2009",6,1]]}}},{"id":470,"uris":["http://zotero.org/users/9332412/items/2J5AN7SN"],"itemData":{"id":470,"type":"article-journal","abstract":"Facing the risk and uncertainty inherent in social and economic development, many countries have adopted an energy supply diversification strategy in their energy security policy to control the energy import risk and cost to ensure that sufficient energy can be obtained at an affordable price level. Diversification helps the energy system respond to external changes and shocks. Diversification can also lessen the vulnerability of a single energy source to supply shocks and the market power of various energy supply sources. This study develops the “diversity reliability index” and “co-vary diversity reliability index” based on the Hirschman–Herfindahl and Shannon–Wiener indices, investigates the contribution of different energy sources to the energy system, and analyzes the covariance between various energies and their impacts on energy security to determine the impact of energy diversity in reducing the risk of energy supply shortages and cost fluctuations.","container-title":"Renewable and Sustainable Energy Reviews","DOI":"10.1016/j.rser.2013.03.021","ISSN":"1364-0321","journalAbbreviation":"Renewable and Sustainable Energy Reviews","page":"9-20","source":"ScienceDirect","title":"Energy security and improvements in the function of diversity indices—Taiwan energy supply structure case study","volume":"24","author":[{"family":"Chuang","given":"Ming Chih"},{"family":"Ma","given":"Hwong Wen"}],"issued":{"date-parts":[["2013",8,1]]}}},{"id":464,"uris":["http://zotero.org/users/9332412/items/7WZQ9TKG"],"itemData":{"id":464,"type":"article-journal","abstract":"An “Aggregated Energy Security Performance Indicator (AESPI)” has been developed by considering 25 individual indicators representing social, economy and environmental dimensions. The principle used, data required and the methodology for the development of AESPI have been detailed. AESPI requires time series data for its development and its value ranges from 0 to 10. The characteristics of AESPI have been compared with the existing indicators in terms of methodology, data requirements, analysis possible and the applications. The advantages of AESPI is that it not only assists in knowing the past energy security status of a country, but also helps in assessing the future status considering the energy policies and plans of the country, thus enabling the monitoring of the impacts of the policies.","container-title":"Applied Energy","DOI":"10.1016/j.apenergy.2012.10.027","ISSN":"0306-2619","journalAbbreviation":"Applied Energy","page":"653-670","source":"ScienceDirect","title":"An aggregated energy security performance indicator","volume":"103","author":[{"family":"Martchamadol","given":"Jutamanee"},{"family":"Kumar","given":"S."}],"issued":{"date-parts":[["2013",3,1]]}}},{"id":463,"uris":["http://zotero.org/users/9332412/items/8FMTSLUN"],"itemData":{"id":463,"type":"article-journal","abstract":"How would a low-carbon energy transformation affect energy security? This paper proposes a framework to evaluate energy security under long-term energy scenarios generated by integrated assessment models. Energy security is defined as low vulnerability of vital energy systems, delineated along geographic and sectoral boundaries. The proposed framework considers vulnerability as a combination of risks associated with inter-regional energy trade and resilience reflected in energy intensity and diversity of energy sources and technologies. We apply this framework to 43 scenarios generated by the MESSAGE model as part of the Global Energy Assessment, including one baseline scenario and 42 ‘low-carbon’ scenarios where the global mean temperature increase is limited to 2°C over the pre-industrial level. By and large, low-carbon scenarios are associated with lower energy trade and higher diversity of energy options, especially in the transport sector. A few risks do emerge under low-carbon scenarios in the latter half of the century. They include potentially high trade in natural gas and hydrogen and low diversity of electricity sources. Trade is typically lower in scenarios which emphasize demand-side policies as well as non-tradable energy sources (nuclear and renewables) while diversity is higher in scenarios which limit the penetration of intermittent renewables.","container-title":"Energy Policy","DOI":"10.1016/j.enpol.2013.10.051","ISSN":"0301-4215","journalAbbreviation":"Energy Policy","page":"743-760","source":"ScienceDirect","title":"Energy security under de-carbonization scenarios: An assessment framework and evaluation under different technology and policy choices","title-short":"Energy security under de-carbonization scenarios","volume":"65","author":[{"family":"Jewell","given":"Jessica"},{"family":"Cherp","given":"Aleh"},{"family":"Riahi","given":"Keywan"}],"issued":{"date-parts":[["2014",2,1]]}}},{"id":473,"uris":["http://zotero.org/users/9332412/items/Z9HFGVSP"],"itemData":{"id":473,"type":"article-journal","abstract":"In order to maintain or improve a jurisdiction's energy security, its energy system needs to meet the demands of its energy services with affordable and preferably environmentally acceptable flows of energy. Since diversity can be a factor in the long-term survival of a system, having a diversity of energy flows is frequently treated as a proxy for energy security. This paper examines the relationship between energy security and the diversity of an energy system's energy flows using a set of energy security indicators and the Shannon–Wiener diversity index. Although diversity may be considered necessary for maintaining and improving energy security, the quantitative analysis of the relationship shows that an energy flow considered diverse need not be secure and that a secure energy flow need not be considered diverse. Examples of this relationship are included. These findings can prove useful to policy makers and energy analysts when developing transition strategies for a jurisdiction's energy system.","container-title":"Energy","DOI":"10.1016/j.energy.2014.05.108","ISSN":"0360-5442","journalAbbreviation":"Energy","page":"137-144","source":"ScienceDirect","title":"Energy security and the diversity of energy flows in an energy system","volume":"73","author":[{"family":"Ranjan","given":"Ashish"},{"family":"Hughes","given":"Larry"}],"issued":{"date-parts":[["2014",8,14]]}}},{"id":468,"uris":["http://zotero.org/users/9332412/items/MTZ88W4B"],"itemData":{"id":468,"type":"article-journal","abstract":"Various metrics exist for energy security assessment along with a diffuse array of different strategies for improving national performance. These independent and interacted metrics overlap, however, and are rarely considered systematically. The objective of this study is to translate often subjective concepts of energy security into more objective criteria, to investigate the cause-effect relationships among these different metrics, and to provide some recommendations for the stakeholders to draft efficacious measures for enhancing energy security. To accomplish this feat, the study utilizes a DEMATEL (Fuzzy Decision-making Trial and Evaluation Laboratory) methodology to analyze collected data, reveal cause-effect relationships, and prioritize energy security strategies. To apply our theoretical results in practice, we include a brief case study of China. We conclude that the availability and affordability dimensions of energy security are most impactful to a nation's overall energy security, and that the promotion of renewable energy and diversification are compelling national energy security strategies, both for China and other countries.","container-title":"Energy","DOI":"10.1016/j.energy.2014.08.083","ISSN":"0360-5442","journalAbbreviation":"Energy","page":"838-849","source":"ScienceDirect","title":"Quantifying, measuring, and strategizing energy security: Determining the most meaningful dimensions and metrics","title-short":"Quantifying, measuring, and strategizing energy security","volume":"76","author":[{"family":"Ren","given":"Jingzheng"},{"family":"Sovacool","given":"Benjamin K."}],"issued":{"date-parts":[["2014",11,1]]}}},{"id":474,"uris":["http://zotero.org/users/9332412/items/DLP465N6"],"itemData":{"id":474,"type":"article-journal","abstract":"Energy security has been an actively studied area in recent years. Various facets have been covered in the literature. Based on a survey of 104 studies from 2001 to June 2014, this paper reports the findings on the following: energy security definitions, changes in the themes of these definitions, energy security indexes, specific focused areas and methodological issues in the construction of these indexes, and energy security in the wider context of national energy policy. It is found that the definition of energy security is contextual and dynamic in nature. The scope of energy security has also expanded, with a growing emphasis on dimensions such as environmental sustainability and energy efficiency. Significant differences among studies are observed in the way in which energy security indexes are framed and constructed. These variations introduce challenges in comparing the findings among studies. Based on these findings, recommendations on studying energy security and the construction of energy security indexes are presented.","container-title":"Renewable and Sustainable Energy Reviews","DOI":"10.1016/j.rser.2014.10.064","ISSN":"1364-0321","journalAbbreviation":"Renewable and Sustainable Energy Reviews","page":"1077-1093","source":"ScienceDirect","title":"Energy security: Definitions, dimensions and indexes","title-short":"Energy security","volume":"42","author":[{"family":"Ang","given":"B. W."},{"family":"Choong","given":"W. L."},{"family":"Ng","given":"T. S."}],"issued":{"date-parts":[["2015",2,1]]}}},{"id":471,"uris":["http://zotero.org/users/9332412/items/ASEUKAQD"],"itemData":{"id":471,"type":"article-journal","abstract":"This study presents an assessment of Indonesia's energy security performance through measurement of its energy security index for the selected years of 2008–2013. This study conceptualizes energy security as consisting of five dimensions: availability, affordability, accessibility, acceptability and efficiency. These dimensions are selected through a review of energy security concepts that are widely used in previous publications. The dimensions are composed into 14 indicators used to assess energy security. This study analyzed 71 countries to assess the energy security performance. The indicators were normalized using the min – max method and weighted based on principal component analysis or equal weighting. Based on the analysis, Indonesia's energy security performance shows an increasing trend between 2008 and 2013; this increase was due to the improvements of the availability, affordability and accessibility dimensions. The average value of Indonesia's energy security index throughout the selected years is 0.473. The ESI result from 71 countries shows that Indonesia ranks 55.","container-title":"Energy","DOI":"10.1016/j.energy.2016.05.100","ISSN":"0360-5442","journalAbbreviation":"Energy","page":"364-376","source":"ScienceDirect","title":"An assessment of Indonesia's energy security index and comparison with seventy countries","volume":"111","author":[{"family":"Erahman","given":"Qodri Febrilian"},{"family":"Purwanto","given":"Widodo Wahyu"},{"family":"Sudibandriyo","given":"Mahmud"},{"family":"Hidayatno","given":"Akhmad"}],"issued":{"date-parts":[["2016",9,15]]}}},{"id":469,"uris":["http://zotero.org/users/9332412/items/FCQRBS6K"],"itemData":{"id":469,"type":"article-journal","abstract":"China has been the world's largest energy consumer and producer for many years, yet while myriad studies have investigated Chinese performance on energy metrics compared to other countries, few to none have looked internally at Chinese provinces. This paper firstly develops a five-dimensional evaluation system centered on the energy security dimensions of availability and diversity, affordability and equality, technology and efficiency, environmental sustainability, and governance and innovation. It then correlates these dimensions to 20 distinct energy security metrics that are used to assess the energy security performance of 30 Chinese provinces, divided into eight regions. Our results reveal both trends in energy policy and practice as well as provincial status of comparative energy security for the year 2013. We find, for instance, that there is no province which performs well in all five of the energy security dimensions, and that all provinces confronted threats related to energy availability and diversity. We also demonstrate that in comparative terms, the Middle Reaches of Yellow River and the Northwest were the most energy-secure, while the Middle Reaches of Yangtze River and the Northeast were least energy-secure.","container-title":"Energy","DOI":"10.1016/j.energy.2016.12.030","ISSN":"0360-5442","journalAbbreviation":"Energy","page":"825-836","source":"ScienceDirect","title":"Measuring energy security performance within China: Toward an inter-provincial prospective","title-short":"Measuring energy security performance within China","volume":"125","author":[{"family":"Zhang","given":"Long"},{"family":"Yu","given":"Jing"},{"family":"Sovacool","given":"Benjamin K."},{"family":"Ren","given":"Jingzheng"}],"issued":{"date-parts":[["2017",4,15]]}}},{"id":472,"uris":["http://zotero.org/users/9332412/items/LFBE2P7F"],"itemData":{"id":472,"type":"article-journal","abstract":"It is vitally important for all countries to ensure they have a secure energy supply. This is especially true for European Union (EU) countries, because of geopolitical considerations and ongoing reforms of energy markets. This study applied time-series clustering approaches and three energy security indicators based on the Shannon–Wiener diversity index. The aim was to enhance understanding of how energy security of EU countries, in terms of energy supply, has evolved. An overall improvement in energy security in most EU countries between 1978 and 2014 was identified, with Denmark and the Czech Republic evidencing the greatest improvements. The main driver of improvement has been diversification of primary energy sources. Factors relating to imports (share and diversity of the origins of imports) have also substantially influenced improvement levels. Three groups of countries were identified using cluster analysis: (1) consistently high levels of energy security and showed moderate improvements over time; (2) lower levels of energy security than those in the first group, and also evidenced moderate improvements; and (3) initially low energy security levels, yet followed by significant improvements. The first and third groups were of particular interest because the former reveals best practices while the policies of the latter, in leading to improvement, can serve as guides for other countries.","container-title":"Renewable and Sustainable Energy Reviews","DOI":"10.1016/j.rser.2017.06.058","ISSN":"1364-0321","journalAbbreviation":"Renewable and Sustainable Energy Reviews","page":"1737-1748","source":"ScienceDirect","title":"Historical energy security performance in EU countries","volume":"82","author":[{"family":"Matsumoto","given":"Ken'ichi"},{"family":"Doumpos","given":"Michalis"},{"family":"Andriosopoulos","given":"Kostas"}],"issued":{"date-parts":[["2018",2,1]]}}},{"id":465,"uris":["http://zotero.org/users/9332412/items/KXDBKHCG"],"itemData":{"id":465,"type":"article-journal","abstract":"Currently, China has become one of the biggest energy consumers and importers in the world, and its energy policies will increasingly affect international energy situation. This paper introduces a new aggregated indicator, the China energy security index (CESI), for evaluating how China's energy security has changed over years. The CESI includes the energy supply dimension, economic-technical dimension, and environmental dimension of energy security. Based on the banding approach, 18 indicators, which are selected from six years 1990, 1995, 2000, 2005, 2010, and 2014, are normalized to form the CESI and sub-indexes. As to the energy supply dimension, the indigenous energy availability sub-index and energy dependence sub-index continued decline over the study period. Among all the three dimensions of CESI, the largest changes observed are in the energy supply sub-index. The change of CESI likes a ‘N’ curve. In this study, China's worst energy security performance was in 2010 and the best was in 2000. At last, the SWOT analysis method is utilized to deprive China's energy security policy implications.","container-title":"Energy Policy","DOI":"10.1016/j.enpol.2019.05.036","ISSN":"0301-4215","journalAbbreviation":"Energy Policy","page":"167-174","source":"ScienceDirect","title":"Using a new aggregated indicator to evaluate China's energy security","volume":"132","author":[{"family":"Song","given":"Yan"},{"family":"Zhang","given":"Ming"},{"family":"Sun","given":"Ruifeng"}],"issued":{"date-parts":[["2019",9,1]]}}},{"id":466,"uris":["http://zotero.org/users/9332412/items/JKRZEAW6"],"itemData":{"id":466,"type":"article-journal","abstract":"With the aim of overcoming the shortcomings of the conventional energy security index (ESI) used in dynamic assessment of energy security, the present study introduces the functional data analysis method into ESI construction and establishes a dynamic energy security index (DESI) model. The DESI is a generalization of the conventional ESI with a dynamic weighting mechanism in a continuous time domain. In the DESI model, every normalized indicator within three dimensions — energy supply, energy consumption and environmental — is smoothed into a continuous curve, and the changes in its importance are reflected objectively by functional information entropy weights with dynamic information updating. Whereas the three sub-index curves with different importance are distinguished via assigning different weights according to the special national circumstances. The methods of generating a curve for single indicator, sub-index curves, and dyna mic weighting curves are discussed in detail, and the robustness of weighting and aggregation choice in DESI is tested using sensitive analysis. Results of applying DESI to evaluate China's energy security show that the overall changes of China's energy security have undergone a W-shaped fluctuation. To ensure consistently high levels of energy security, the government should focus on oil supply and renewable energy technologies.","container-title":"Energy Policy","DOI":"10.1016/j.enpol.2020.111706","ISSN":"0301-4215","journalAbbreviation":"Energy Policy","page":"111706","source":"ScienceDirect","title":"A functional index model for dynamically evaluating China's energy security","volume":"147","author":[{"family":"Wang","given":"Deqing"},{"family":"Tian","given":"Sihua"},{"family":"Fang","given":"Lei"},{"family":"Xu","given":"Yan"}],"issued":{"date-parts":[["2020",12,1]]}}},{"id":461,"uris":["http://zotero.org/users/9332412/items/IFMFGTMC"],"itemData":{"id":461,"type":"article-journal","abstract":"The growing concerns related to energy demand, supply, energy security, and environmental issues encourage global awareness. The impact of energy imports, fuel cost, energy security, and CO2 (carbon dioxide) emissions have become a severe issue for Pakistan which is strongly associated with social, economic and environmental development. In this study, we have estimated eleven energy security indicators for long-run energy supply by applying the MARKAL framework. Business as usual (BAU) and three energy import reduction scenarios (Sa, Sb and Sc) are estimated on primary energy supply, demand, and diversification of energy resources, imported fuel cost, CO2 emissions, and energy security during 2012–2040. The outcomes show that primary energy supply will decrease marginally, while cumulative renewable energy would increase by 28%. Dependency on net energy import ratio will grow by 5.838 times, vulnerability index and net oil import ratio will decrease by −1.276 and −1.105 under base scenarios. Due to maximum fuel consumption by the transport and other sectors, the CO2 emissions would increase by 407.49 Mt in 2040 which could be reduced by renewable energy resources. Finally, energy security and energy supply are optimal in the reduction scenarios which will lessen cost, CO2, and energy supply. Related policies are given below.","container-title":"Energy","DOI":"10.1016/j.energy.2020.117575","ISSN":"0360-5442","journalAbbreviation":"Energy","page":"117575","source":"ScienceDirect","title":"Analysis of energy security indicators and CO2 emissions. A case from a developing economy","volume":"200","author":[{"family":"Lin","given":"Boqiang"},{"family":"Raza","given":"Muhammad Yousaf"}],"issued":{"date-parts":[["2020",6,1]]}}},{"id":1282,"uris":["http://zotero.org/users/9332412/items/IVD4UM5P"],"itemData":{"id":1282,"type":"article-journal","abstract":"Energy security assessment quantifies the energy supply to a population and the likelihood, or risk, of an energy disruption or shortage and represents an important aspect of national security, economic stability and prosperity. The quantification of the state of energy supply is context-dependent and involves multiple perspectives: infrastructural, technological, environmental, market, social and geopolitical. Among all the different and relevant aspects involved, diversity and dependence of the energy fuel mix are two of the main energy security dimensions. The present paper investigates the diversification of the energy supply in Europe, by analysing import dependence, market concentration and renewable energy resource deployment in the European Union over the last decade. The analysis utilises a set of indicators aimed at measuring the fuel mix diversity, market concentration, geopolitical stability, renewable energy share and stochasticity - both at single country and at aggregated European levels. Results show a stable evolution of the diversity of the fuel mix and a relatively low market concentration of the period examined. However, the import dependency reduces the energy security by approximately 30% due to the high proportion of imports from a limited number of countries. Moreover, an increasing trend in renewable electricity production share is evident over the last decade, albeit with differences between member states, as a result of the decarbonisation policies implemented by the European Union.","container-title":"Energy","DOI":"10.1016/j.energy.2022.124097","ISSN":"0360-5442","journalAbbreviation":"Energy","page":"124097","source":"ScienceDirect","title":"Diversification, concentration and renewability of the energy supply in the European Union","volume":"253","author":[{"family":"De Rosa","given":"Mattia"},{"family":"Gainsford","given":"Kenneth"},{"family":"Pallonetto","given":"Fabiano"},{"family":"Finn","given":"Donal P."}],"issued":{"date-parts":[["2022",8,15]]}}}],"schema":"https://github.com/citation-style-language/schema/raw/master/csl-citation.json"} </w:instrText>
      </w:r>
      <w:r>
        <w:fldChar w:fldCharType="separate"/>
      </w:r>
      <w:r w:rsidR="00A64E5B" w:rsidRPr="00A64E5B">
        <w:rPr>
          <w:rFonts w:cs="Times New Roman"/>
        </w:rPr>
        <w:t>[33–47]</w:t>
      </w:r>
      <w:r>
        <w:fldChar w:fldCharType="end"/>
      </w:r>
      <w:r>
        <w:t xml:space="preserve">. </w:t>
      </w:r>
      <w:r w:rsidR="00115BC2">
        <w:t xml:space="preserve">A smaller number of </w:t>
      </w:r>
      <w:r>
        <w:t xml:space="preserve">studies </w:t>
      </w:r>
      <w:r w:rsidR="00115BC2">
        <w:t xml:space="preserve">have </w:t>
      </w:r>
      <w:r>
        <w:t>utilize</w:t>
      </w:r>
      <w:r w:rsidR="00115BC2">
        <w:t>d</w:t>
      </w:r>
      <w:r>
        <w:t xml:space="preserve"> the diversity metric to assess electricity system-specific generation diversity </w:t>
      </w:r>
      <w:r>
        <w:fldChar w:fldCharType="begin"/>
      </w:r>
      <w:r w:rsidR="00A64E5B">
        <w:instrText xml:space="preserve"> ADDIN ZOTERO_ITEM CSL_CITATION {"citationID":"Pk8JqedI","properties":{"unsorted":true,"formattedCitation":"[48\\uc0\\u8211{}52]","plainCitation":"[48–52]","noteIndex":0},"citationItems":[{"id":1285,"uris":["http://zotero.org/users/9332412/items/J3VH8M52"],"itemData":{"id":1285,"type":"article-journal","abstract":"The need for diversity has been cited as a rationale for important recent investment decisions in the UK electricity supply sector. It is invoked as the principal argument for continuing major government intervention. Yet there exists no formal analytical basis for the concept. Why is diversity good? What is meant by ‘diversification’? What is it that must be ‘diversified’? What trade off should be struck between ‘diversity’ and other measures of performance? The resulting ambiguity causes confusion and is vulnerable to special pleading. Despite this, this paper argues that diversification offers a superior alternative to probabilistic approaches towards uncertainty and ignorance in electricity supply investments and proposes a formal analytical approach. A quantitative index of diversity is borrowed from information theory and used to derive a value for the government's implicit willingness to pay for diversity in the UK electricity supply mix. This is then applied in a pilot exercise to the problem of optimizing the diversity and financial performance of the supply portfolio. Although provisional, the results are relevant to the government's forthcoming Nuclear Review, particularly in assessing the relative levels of support for nuclear power and renewable energy.","container-title":"Energy Policy","DOI":"10.1016/0301-4215(94)90159-7","ISSN":"0301-4215","issue":"3","journalAbbreviation":"Energy Policy","page":"195-216","source":"ScienceDirect","title":"Diversity and ignorance in electricity supply investment: Addressing the solution rather than the problem","title-short":"Diversity and ignorance in electricity supply investment","volume":"22","author":[{"family":"Stirling","given":"Andrew"}],"issued":{"date-parts":[["1994",3,1]]}}},{"id":523,"uris":["http://zotero.org/users/9332412/items/UNQZKECG"],"itemData":{"id":523,"type":"article-journal","abstract":"We explore the relationship between low-carbon objectives and the strategic security of electricity in the context of the UK electricity system. We consider diversity of fuel source mix to represent one dimension of security-robustness against interruptions of any one source-and apply two different diversity indices to the range of electricity system scenarios produced by the UK government and independent researchers. Our results show that low-carbon objectives are uniformly associated with greater long-term diversity in UK electricity generation. With reference to data on wind generation we also consider the impact of source variability on a second dimension of security-the reliability of generation availability. We conclude that this does not undermine our fundamental conclusion that low-carbon scenarios are associated with greater strategic security of supply in UK electricity. We discuss reasons for this result, explore sensitivities, and briefly discuss possible policy instruments associated with diversity and their limitations. © 2005 Elsevier Ltd. All rights reserved.","container-title":"Energy Policy","DOI":"10.1016/J.ENPOL.2005.09.004","issue":"18","note":"publisher: Elsevier","page":"4050-4062","title":"Diversity and security in UK electricity generation: The influence of low-carbon objectives","volume":"34","author":[{"family":"Grubb","given":"Michael"},{"family":"Butler","given":"Lucy"},{"family":"Twomey","given":"Paul"}],"issued":{"date-parts":[["2006",12]]}}},{"id":525,"uris":["http://zotero.org/users/9332412/items/P8H2YS5M"],"itemData":{"id":525,"type":"article-journal","abstract":"China's energy sector is under pressure to achieve secure and affordable supply and a clear decarbonisation path. We examine the longitudinal trajectory of the Chinese electricity supply security and model the near future supply security based on the 12th 5. Year Plan. Our approach combines the Shannon-Wiener, Herfindahl-Hirschman and electricity import dependence indices for supply security appraisal. We find that electricity portfolio innovation allows China to provide secure energy supply despite increasing import dependence. It is argued that long-term aggressive deployment of renewable energy will unblock China's coal-biased technological lock-in and increase supply security in all fronts. However, reduced supply diversity in China during the 1990s will not recover until after 2020s due to the long-term coal lock-in that can threaten to hold China back from realising its full potential.","container-title":"Technological Forecasting and Social Change","DOI":"10.1016/J.TECHFORE.2015.07.012","note":"publisher: North-Holland","page":"267-276","title":"Electricity portfolio innovation for energy security: The case of carbon constrained China","volume":"100","author":[{"family":"Chalvatzis","given":"Konstantinos J."},{"family":"Rubel","given":"Keagan"}],"issued":{"date-parts":[["2015",11]]}}},{"id":534,"uris":["http://zotero.org/users/9332412/items/W7NZR2GL"],"itemData":{"id":534,"type":"article-journal","abstract":"There is a growing body of research into the potential security risks and trade-offs which may emerge over the long-term development of energy systems. As part of this body of research, this paper aims to develop and demonstrate a set of indicators for assessing the security of long-term national electricity scenarios. This paper extends the empirical work of existing frameworks by including reliability and cost parameters alongside a range of other important aspects of energy security such as diversity, trade and acceptability, and by using both qualitative and quantitative indicators without aggregation in order to identify trade-offs. This paper uses the indicators to assess the energy security implications of three plausible long-term scenarios for the UK electricity system. The results indicate that a major risk may be experienced by a lack of flexible, responsive supply capacity in low-carbon electricity pathways. Reducing overall energy demand is found to be the most beneficial policy for improving energy security in terms of generating benefits in multiple dimensions. The paper finds that energy security is often conceptualised as the avoidance of causes of insecurity (such as insecure fuel imports), but that an equally important aspect of security lies in maximising responses to insecurity, for example by increasing the flexibility and responsiveness of both supply and demand.","container-title":"Renewable and Sustainable Energy Reviews","DOI":"10.1016/J.RSER.2017.08.084","note":"publisher: Pergamon","page":"2287-2299","title":"Assessing long-term energy security: The case of electricity in the United Kingdom","volume":"82","author":[{"family":"Cox","given":"Emily"}],"issued":{"date-parts":[["2018",2]]}}},{"id":457,"uris":["http://zotero.org/users/9332412/items/IE76XI98"],"itemData":{"id":457,"type":"article-journal","container-title":"Journal of Original Studies","DOI":"10.47243/jos.3.2.03","title":"Resource Diversification in Turkey's Electricity Generation","URL":"https://journals.gen.tr/index.php/jos/article/view/1889/1185","author":[{"family":"Dilek","given":"Serkan"},{"family":"Konak","given":"Ali"}],"issued":{"date-parts":[["2022"]]}}}],"schema":"https://github.com/citation-style-language/schema/raw/master/csl-citation.json"} </w:instrText>
      </w:r>
      <w:r>
        <w:fldChar w:fldCharType="separate"/>
      </w:r>
      <w:r w:rsidR="00A64E5B" w:rsidRPr="00A64E5B">
        <w:rPr>
          <w:rFonts w:cs="Times New Roman"/>
        </w:rPr>
        <w:t>[48–52]</w:t>
      </w:r>
      <w:r>
        <w:fldChar w:fldCharType="end"/>
      </w:r>
      <w:r>
        <w:t>. This study is the only one the author is aware of that applies a formal index to assess diversity of electricity imports among electric balancing authorities within the United States.</w:t>
      </w:r>
    </w:p>
    <w:tbl>
      <w:tblPr>
        <w:tblStyle w:val="a0"/>
        <w:tblpPr w:leftFromText="180" w:rightFromText="180" w:vertAnchor="text" w:horzAnchor="page" w:tblpX="1" w:tblpY="935"/>
        <w:tblW w:w="16944" w:type="dxa"/>
        <w:tblBorders>
          <w:top w:val="nil"/>
          <w:left w:val="nil"/>
          <w:bottom w:val="nil"/>
          <w:right w:val="nil"/>
          <w:insideH w:val="nil"/>
          <w:insideV w:val="nil"/>
        </w:tblBorders>
        <w:tblLayout w:type="fixed"/>
        <w:tblLook w:val="0400" w:firstRow="0" w:lastRow="0" w:firstColumn="0" w:lastColumn="0" w:noHBand="0" w:noVBand="1"/>
      </w:tblPr>
      <w:tblGrid>
        <w:gridCol w:w="4320"/>
        <w:gridCol w:w="3117"/>
        <w:gridCol w:w="3273"/>
        <w:gridCol w:w="3117"/>
        <w:gridCol w:w="3117"/>
      </w:tblGrid>
      <w:tr w:rsidR="00A06EE6" w14:paraId="0F7D2007" w14:textId="77777777" w:rsidTr="00A06EE6">
        <w:tc>
          <w:tcPr>
            <w:tcW w:w="4320" w:type="dxa"/>
            <w:vAlign w:val="center"/>
          </w:tcPr>
          <w:p w14:paraId="3B25D281" w14:textId="77777777" w:rsidR="00A06EE6" w:rsidRDefault="00A06EE6" w:rsidP="00A06EE6">
            <w:pPr>
              <w:ind w:left="1334"/>
              <w:jc w:val="center"/>
              <w:rPr>
                <w:i/>
              </w:rPr>
            </w:pPr>
          </w:p>
        </w:tc>
        <w:tc>
          <w:tcPr>
            <w:tcW w:w="3117" w:type="dxa"/>
            <w:vAlign w:val="center"/>
          </w:tcPr>
          <w:p w14:paraId="35096479" w14:textId="77777777" w:rsidR="00A06EE6" w:rsidRDefault="00A06EE6" w:rsidP="00A06EE6">
            <w:pPr>
              <w:jc w:val="center"/>
              <w:rPr>
                <w:rFonts w:ascii="Cambria Math" w:eastAsia="Cambria Math" w:hAnsi="Cambria Math" w:cs="Cambria Math"/>
              </w:rPr>
            </w:pPr>
            <m:oMathPara>
              <m:oMath>
                <m:r>
                  <w:rPr>
                    <w:rFonts w:ascii="Cambria Math" w:eastAsia="Cambria Math" w:hAnsi="Cambria Math" w:cs="Cambria Math"/>
                  </w:rPr>
                  <m:t>H=-</m:t>
                </m:r>
                <m:nary>
                  <m:naryPr>
                    <m:chr m:val="∑"/>
                    <m:limLoc m:val="undOvr"/>
                    <m:ctrlPr>
                      <w:rPr>
                        <w:rFonts w:ascii="Cambria Math" w:eastAsia="Cambria Math" w:hAnsi="Cambria Math" w:cs="Cambria Math"/>
                        <w:i/>
                      </w:rPr>
                    </m:ctrlPr>
                  </m:naryPr>
                  <m:sub>
                    <m:r>
                      <w:rPr>
                        <w:rFonts w:ascii="Cambria Math" w:eastAsia="Cambria Math" w:hAnsi="Cambria Math" w:cs="Cambria Math"/>
                      </w:rPr>
                      <m:t>i</m:t>
                    </m:r>
                  </m:sub>
                  <m:sup>
                    <m:r>
                      <w:rPr>
                        <w:rFonts w:ascii="Cambria Math" w:eastAsia="Cambria Math" w:hAnsi="Cambria Math" w:cs="Cambria Math"/>
                      </w:rPr>
                      <m:t>n</m:t>
                    </m:r>
                  </m:sup>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r>
                      <w:rPr>
                        <w:rFonts w:ascii="Cambria Math" w:eastAsia="Cambria Math" w:hAnsi="Cambria Math" w:cs="Cambria Math"/>
                      </w:rPr>
                      <m:t xml:space="preserve"> Ln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e>
                    </m:d>
                  </m:e>
                </m:nary>
              </m:oMath>
            </m:oMathPara>
          </w:p>
        </w:tc>
        <w:tc>
          <w:tcPr>
            <w:tcW w:w="3273" w:type="dxa"/>
            <w:vAlign w:val="center"/>
          </w:tcPr>
          <w:p w14:paraId="446045FB" w14:textId="77777777" w:rsidR="00A06EE6" w:rsidRPr="003C0D21" w:rsidRDefault="00A06EE6" w:rsidP="00A06EE6">
            <w:pPr>
              <w:pStyle w:val="ListParagraph"/>
              <w:numPr>
                <w:ilvl w:val="0"/>
                <w:numId w:val="8"/>
              </w:numPr>
              <w:jc w:val="right"/>
              <w:rPr>
                <w:iCs/>
              </w:rPr>
            </w:pPr>
            <w:bookmarkStart w:id="2" w:name="_Ref176720063"/>
          </w:p>
        </w:tc>
        <w:bookmarkEnd w:id="2"/>
        <w:tc>
          <w:tcPr>
            <w:tcW w:w="3117" w:type="dxa"/>
          </w:tcPr>
          <w:p w14:paraId="3C6987B9" w14:textId="77777777" w:rsidR="00A06EE6" w:rsidRDefault="00A06EE6" w:rsidP="00A06EE6">
            <w:pPr>
              <w:jc w:val="right"/>
              <w:rPr>
                <w:i/>
              </w:rPr>
            </w:pPr>
          </w:p>
        </w:tc>
        <w:tc>
          <w:tcPr>
            <w:tcW w:w="3117" w:type="dxa"/>
            <w:vAlign w:val="center"/>
          </w:tcPr>
          <w:p w14:paraId="3788A05F" w14:textId="77777777" w:rsidR="00A06EE6" w:rsidRDefault="00A06EE6" w:rsidP="00A06EE6">
            <w:pPr>
              <w:jc w:val="right"/>
              <w:rPr>
                <w:i/>
              </w:rPr>
            </w:pPr>
            <w:r>
              <w:rPr>
                <w:i/>
              </w:rPr>
              <w:t>(1)</w:t>
            </w:r>
          </w:p>
        </w:tc>
      </w:tr>
    </w:tbl>
    <w:p w14:paraId="2724F1BE" w14:textId="248D84EF" w:rsidR="00A06EE6" w:rsidRDefault="00FB5981" w:rsidP="003C0D21">
      <w:r>
        <w:rPr>
          <w:iCs/>
        </w:rPr>
        <w:t xml:space="preserve">The </w:t>
      </w:r>
      <w:r w:rsidR="003C0D21">
        <w:rPr>
          <w:iCs/>
        </w:rPr>
        <w:t>diversity index</w:t>
      </w:r>
      <w:r w:rsidR="00EC44B2">
        <w:rPr>
          <w:iCs/>
        </w:rPr>
        <w:t xml:space="preserve"> </w:t>
      </w:r>
      <w:r w:rsidR="00E72091">
        <w:rPr>
          <w:iCs/>
        </w:rPr>
        <w:t xml:space="preserve">applied to electric balancing authority </w:t>
      </w:r>
      <w:r w:rsidR="003C0D21">
        <w:rPr>
          <w:iCs/>
        </w:rPr>
        <w:t>import</w:t>
      </w:r>
      <w:r w:rsidR="00204068">
        <w:rPr>
          <w:iCs/>
        </w:rPr>
        <w:t xml:space="preserve">s is </w:t>
      </w:r>
      <w:r>
        <w:rPr>
          <w:iCs/>
        </w:rPr>
        <w:t xml:space="preserve">defined in </w:t>
      </w:r>
      <w:r w:rsidRPr="003C0D21">
        <w:rPr>
          <w:iCs/>
        </w:rPr>
        <w:t>equation</w:t>
      </w:r>
      <w:r w:rsidR="003C0D21">
        <w:rPr>
          <w:iCs/>
        </w:rPr>
        <w:t xml:space="preserve"> </w:t>
      </w:r>
      <w:r w:rsidR="003C0D21">
        <w:rPr>
          <w:iCs/>
        </w:rPr>
        <w:fldChar w:fldCharType="begin"/>
      </w:r>
      <w:r w:rsidR="003C0D21">
        <w:rPr>
          <w:iCs/>
        </w:rPr>
        <w:instrText xml:space="preserve"> REF _Ref176720149 \r \h </w:instrText>
      </w:r>
      <w:r w:rsidR="003C0D21">
        <w:rPr>
          <w:iCs/>
        </w:rPr>
      </w:r>
      <w:r w:rsidR="003C0D21">
        <w:rPr>
          <w:iCs/>
        </w:rPr>
        <w:fldChar w:fldCharType="separate"/>
      </w:r>
      <w:r w:rsidR="003C0D21">
        <w:rPr>
          <w:iCs/>
        </w:rPr>
        <w:t>(1)</w:t>
      </w:r>
      <w:r w:rsidR="003C0D21">
        <w:rPr>
          <w:iCs/>
        </w:rPr>
        <w:fldChar w:fldCharType="end"/>
      </w:r>
      <w:r w:rsidR="00F11473">
        <w:rPr>
          <w:iCs/>
        </w:rPr>
        <w:t>,</w:t>
      </w:r>
      <w:r w:rsidR="003C0D21">
        <w:rPr>
          <w:iCs/>
        </w:rPr>
        <w:t xml:space="preserve"> </w:t>
      </w:r>
      <w:r w:rsidR="003C0D21">
        <w:t xml:space="preserve">where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oMath>
      <w:r w:rsidR="003C0D21">
        <w:t xml:space="preserve"> is the share of imports from neighboring BA </w:t>
      </w:r>
      <m:oMath>
        <m:r>
          <w:rPr>
            <w:rFonts w:ascii="Cambria Math" w:eastAsia="Cambria Math" w:hAnsi="Cambria Math" w:cs="Cambria Math"/>
          </w:rPr>
          <m:t>i</m:t>
        </m:r>
      </m:oMath>
      <w:r w:rsidR="003C0D21">
        <w:t>, relative to total</w:t>
      </w:r>
      <w:r w:rsidR="00011306">
        <w:t xml:space="preserve"> imports</w:t>
      </w:r>
      <w:r w:rsidR="003C0D21">
        <w:t xml:space="preserve"> in</w:t>
      </w:r>
      <w:r w:rsidR="00011306">
        <w:t>to</w:t>
      </w:r>
      <w:r w:rsidR="003C0D21">
        <w:t xml:space="preserve"> the balancing authority of interest. </w:t>
      </w:r>
    </w:p>
    <w:p w14:paraId="121F1BA9" w14:textId="38793102" w:rsidR="00FB5981" w:rsidRPr="003C0D21" w:rsidRDefault="003C0D21" w:rsidP="003C0D21">
      <w:pPr>
        <w:rPr>
          <w:iCs/>
        </w:rPr>
      </w:pPr>
      <w:r>
        <w:t xml:space="preserve">Mathematically, the diversity index </w:t>
      </w:r>
      <m:oMath>
        <m:r>
          <w:rPr>
            <w:rFonts w:ascii="Cambria Math" w:eastAsia="Cambria Math" w:hAnsi="Cambria Math" w:cs="Cambria Math"/>
          </w:rPr>
          <m:t>H</m:t>
        </m:r>
      </m:oMath>
      <w:r>
        <w:t xml:space="preserve"> is inversely related to the geoemetric mean of the relative shares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oMath>
      <w:r>
        <w:t xml:space="preserve"> such that a higher value </w:t>
      </w:r>
      <m:oMath>
        <m:r>
          <w:rPr>
            <w:rFonts w:ascii="Cambria Math" w:eastAsia="Cambria Math" w:hAnsi="Cambria Math" w:cs="Cambria Math"/>
          </w:rPr>
          <m:t>H</m:t>
        </m:r>
      </m:oMath>
      <w:r>
        <w:t xml:space="preserve"> describes a system with a more diverse set of imports. </w:t>
      </w:r>
      <w:r>
        <w:rPr>
          <w:color w:val="000000"/>
        </w:rPr>
        <w:t xml:space="preserve">It can be shown that </w:t>
      </w:r>
      <m:oMath>
        <m:f>
          <m:fPr>
            <m:ctrlPr>
              <w:rPr>
                <w:rFonts w:ascii="Cambria Math" w:hAnsi="Cambria Math"/>
                <w:i/>
                <w:color w:val="000000"/>
              </w:rPr>
            </m:ctrlPr>
          </m:fPr>
          <m:num>
            <m:r>
              <w:rPr>
                <w:rFonts w:ascii="Cambria Math" w:hAnsi="Cambria Math"/>
                <w:color w:val="000000"/>
              </w:rPr>
              <m:t>1</m:t>
            </m:r>
          </m:num>
          <m:den>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H</m:t>
                </m:r>
              </m:sup>
            </m:sSup>
          </m:den>
        </m:f>
      </m:oMath>
      <w:r w:rsidRPr="00953654">
        <w:rPr>
          <w:color w:val="000000"/>
        </w:rPr>
        <w:t xml:space="preserve"> is the geometric mean of the relative shares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Pr>
          <w:color w:val="000000"/>
        </w:rPr>
        <w:t xml:space="preserve"> </w:t>
      </w:r>
      <w:r>
        <w:rPr>
          <w:color w:val="000000"/>
        </w:rPr>
        <w:fldChar w:fldCharType="begin"/>
      </w:r>
      <w:r w:rsidR="00A64E5B">
        <w:rPr>
          <w:color w:val="000000"/>
        </w:rPr>
        <w:instrText xml:space="preserve"> ADDIN ZOTERO_ITEM CSL_CITATION {"citationID":"1wwo2US1","properties":{"formattedCitation":"[53,54]","plainCitation":"[53,54]","noteIndex":0},"citationItems":[{"id":452,"uris":["http://zotero.org/users/9332412/items/M9FVQRWJ"],"itemData":{"id":452,"type":"article-journal","container-title":"Annual Review of Ecology, Evolution, and Systematics","DOI":"10.1146/annurev.es.05.110174.001441","ISSN":"1543-592X, 1545-2069","issue":"Volume 5, 1974","language":"en","note":"publisher: Annual Reviews","page":"285-307","source":"www.annualreviews.org","title":"The Measurement of Species Diversity","volume":"5","author":[{"family":"Peet","given":"Robert K."}],"issued":{"date-parts":[["1974",11,1]]}}},{"id":451,"uris":["http://zotero.org/users/9332412/items/VM4KSLYW"],"itemData":{"id":451,"type":"article-journal","abstract":"Three commonly used measures of diversity, Simpson's index, Shannon's entropy, and the total number of species, are related to Renyi's definition of a generalized entropy. A unified concept of diversity is presented, according to which there is a continuum of possible diversity measures. In a sense which becomes apparent, these measures provide estimates of the effective number of species present, and differ only in their tendency to include or to ignore the relatively rarer species. The notion of the diversity of a community as opposed to that of a sample is examined, and is related to the asymptotic form of the species—abundance curve. A new and plausible definition of evenness is derived.","container-title":"Ecology","DOI":"10.2307/1934352","ISSN":"1939-9170","issue":"2","language":"en","license":"© 1973 by the Ecological Society of America","note":"_eprint: https://onlinelibrary.wiley.com/doi/pdf/10.2307/1934352","page":"427-432","source":"Wiley Online Library","title":"Diversity and Evenness: A Unifying Notation and Its Consequences","title-short":"Diversity and Evenness","volume":"54","author":[{"family":"Hill","given":"M. O."}],"issued":{"date-parts":[["1973"]]}}}],"schema":"https://github.com/citation-style-language/schema/raw/master/csl-citation.json"} </w:instrText>
      </w:r>
      <w:r>
        <w:rPr>
          <w:color w:val="000000"/>
        </w:rPr>
        <w:fldChar w:fldCharType="separate"/>
      </w:r>
      <w:r w:rsidR="00A64E5B" w:rsidRPr="00A64E5B">
        <w:t>[53,54]</w:t>
      </w:r>
      <w:r>
        <w:rPr>
          <w:color w:val="000000"/>
        </w:rPr>
        <w:fldChar w:fldCharType="end"/>
      </w:r>
      <w:r>
        <w:rPr>
          <w:color w:val="000000"/>
        </w:rPr>
        <w:t xml:space="preserve">, </w:t>
      </w:r>
      <w:r w:rsidR="00DF4630">
        <w:rPr>
          <w:color w:val="000000"/>
        </w:rPr>
        <w:t xml:space="preserve">so that </w:t>
      </w:r>
      <w:r w:rsidRPr="001C163D">
        <w:rPr>
          <w:color w:val="000000"/>
        </w:rPr>
        <w:t xml:space="preserve">a relatively concentrated (less diverse)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sidRPr="001C163D">
        <w:rPr>
          <w:color w:val="000000"/>
        </w:rPr>
        <w:t xml:space="preserve"> set leads to a lower </w:t>
      </w:r>
      <w:r w:rsidRPr="001C163D">
        <w:rPr>
          <w:rFonts w:ascii="Cambria Math" w:eastAsia="Cambria Math" w:hAnsi="Cambria Math" w:cs="Cambria Math"/>
          <w:color w:val="000000"/>
        </w:rPr>
        <w:t>H</w:t>
      </w:r>
      <w:r w:rsidRPr="001C163D">
        <w:rPr>
          <w:color w:val="000000"/>
        </w:rPr>
        <w:t xml:space="preserve"> value.</w:t>
      </w:r>
      <w:r>
        <w:rPr>
          <w:color w:val="000000"/>
        </w:rPr>
        <w:t xml:space="preserve"> In a bookend case,</w:t>
      </w:r>
      <w:r w:rsidRPr="001C163D">
        <w:rPr>
          <w:color w:val="000000"/>
        </w:rPr>
        <w:t xml:space="preserve"> </w:t>
      </w:r>
      <w:r>
        <w:rPr>
          <w:color w:val="000000"/>
        </w:rPr>
        <w:t>i</w:t>
      </w:r>
      <w:r w:rsidRPr="001C163D">
        <w:rPr>
          <w:color w:val="000000"/>
        </w:rPr>
        <w:t xml:space="preserve">f a system’s </w:t>
      </w:r>
      <w:r w:rsidR="0059049D">
        <w:rPr>
          <w:color w:val="000000"/>
        </w:rPr>
        <w:t>imports</w:t>
      </w:r>
      <w:r w:rsidRPr="001C163D">
        <w:rPr>
          <w:color w:val="000000"/>
        </w:rPr>
        <w:t xml:space="preserve"> </w:t>
      </w:r>
      <w:r w:rsidR="0059049D">
        <w:rPr>
          <w:color w:val="000000"/>
        </w:rPr>
        <w:t xml:space="preserve">were </w:t>
      </w:r>
      <w:r w:rsidR="00D06CEB">
        <w:rPr>
          <w:color w:val="000000"/>
        </w:rPr>
        <w:t xml:space="preserve">fully </w:t>
      </w:r>
      <w:r w:rsidRPr="001C163D">
        <w:rPr>
          <w:color w:val="000000"/>
        </w:rPr>
        <w:t xml:space="preserve">served by a single </w:t>
      </w:r>
      <w:r w:rsidR="007B55FA">
        <w:rPr>
          <w:color w:val="000000"/>
        </w:rPr>
        <w:t xml:space="preserve">neighbor </w:t>
      </w:r>
      <w:r w:rsidRPr="001C163D">
        <w:rPr>
          <w:color w:val="000000"/>
        </w:rPr>
        <w:t>(</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j</m:t>
            </m:r>
          </m:sub>
        </m:sSub>
        <m:r>
          <w:rPr>
            <w:rFonts w:ascii="Cambria Math" w:hAnsi="Cambria Math"/>
            <w:color w:val="000000"/>
          </w:rPr>
          <m:t>=1</m:t>
        </m:r>
      </m:oMath>
      <w:r w:rsidRPr="001C163D">
        <w:rPr>
          <w:color w:val="000000"/>
        </w:rPr>
        <w:t xml:space="preserve"> and all other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r>
          <w:rPr>
            <w:rFonts w:ascii="Cambria Math" w:hAnsi="Cambria Math"/>
            <w:color w:val="000000"/>
          </w:rPr>
          <m:t>=0</m:t>
        </m:r>
      </m:oMath>
      <w:r w:rsidRPr="001C163D">
        <w:rPr>
          <w:color w:val="000000"/>
        </w:rPr>
        <w:t>), then</w:t>
      </w:r>
      <w:r>
        <w:rPr>
          <w:color w:val="000000"/>
        </w:rPr>
        <w:t xml:space="preserve"> the diversity metric</w:t>
      </w:r>
      <w:r w:rsidRPr="001C163D">
        <w:rPr>
          <w:color w:val="000000"/>
        </w:rPr>
        <w:t xml:space="preserve"> </w:t>
      </w:r>
      <w:r>
        <w:rPr>
          <w:color w:val="000000"/>
        </w:rPr>
        <w:t xml:space="preserve">would equal zero. </w:t>
      </w:r>
    </w:p>
    <w:p w14:paraId="6A7FB4C2" w14:textId="2402C1B5" w:rsidR="004F550E" w:rsidRDefault="003B1BD9" w:rsidP="004F550E">
      <w:pPr>
        <w:rPr>
          <w:color w:val="000000"/>
        </w:rPr>
      </w:pPr>
      <w:r>
        <w:rPr>
          <w:color w:val="000000"/>
        </w:rPr>
        <w:t xml:space="preserve">Conversely, the diversity metric </w:t>
      </w:r>
      <m:oMath>
        <m:r>
          <w:rPr>
            <w:rFonts w:ascii="Cambria Math" w:hAnsi="Cambria Math"/>
            <w:color w:val="000000"/>
          </w:rPr>
          <m:t>H</m:t>
        </m:r>
      </m:oMath>
      <w:r>
        <w:rPr>
          <w:color w:val="000000"/>
        </w:rPr>
        <w:t xml:space="preserve"> increases with more trading partners (e.g. a higher </w:t>
      </w:r>
      <m:oMath>
        <m:r>
          <w:rPr>
            <w:rFonts w:ascii="Cambria Math" w:hAnsi="Cambria Math"/>
            <w:color w:val="000000"/>
          </w:rPr>
          <m:t>n</m:t>
        </m:r>
      </m:oMath>
      <w:r>
        <w:rPr>
          <w:color w:val="000000"/>
        </w:rPr>
        <w:t>). F</w:t>
      </w:r>
      <w:r w:rsidR="00B119D8">
        <w:rPr>
          <w:color w:val="000000"/>
        </w:rPr>
        <w:t>or a</w:t>
      </w:r>
      <w:r w:rsidR="004F550E">
        <w:rPr>
          <w:color w:val="000000"/>
        </w:rPr>
        <w:t xml:space="preserve">ny </w:t>
      </w:r>
      <w:r w:rsidR="00B119D8">
        <w:rPr>
          <w:color w:val="000000"/>
        </w:rPr>
        <w:t xml:space="preserve">given set of </w:t>
      </w:r>
      <w:r w:rsidR="00D12B5B">
        <w:rPr>
          <w:color w:val="000000"/>
        </w:rPr>
        <w:t>import sources</w:t>
      </w:r>
      <w:r w:rsidR="000F3DF6">
        <w:rPr>
          <w:color w:val="000000"/>
        </w:rPr>
        <w:t xml:space="preserve"> </w:t>
      </w:r>
      <w:r w:rsidR="00227326">
        <w:rPr>
          <w:color w:val="000000"/>
        </w:rPr>
        <w:t xml:space="preserve">(e.g. holding </w:t>
      </w:r>
      <m:oMath>
        <m:r>
          <w:rPr>
            <w:rFonts w:ascii="Cambria Math" w:hAnsi="Cambria Math"/>
            <w:color w:val="000000"/>
          </w:rPr>
          <m:t>n</m:t>
        </m:r>
      </m:oMath>
      <w:r w:rsidR="00227326">
        <w:rPr>
          <w:color w:val="000000"/>
        </w:rPr>
        <w:t xml:space="preserve"> constant)</w:t>
      </w:r>
      <w:r w:rsidR="00D12B5B">
        <w:rPr>
          <w:color w:val="000000"/>
        </w:rPr>
        <w:t xml:space="preserve">, </w:t>
      </w:r>
      <w:r w:rsidR="00D13C42">
        <w:rPr>
          <w:color w:val="000000"/>
        </w:rPr>
        <w:t>the diversity metric</w:t>
      </w:r>
      <w:r w:rsidR="00B57AB9">
        <w:rPr>
          <w:color w:val="000000"/>
        </w:rPr>
        <w:t xml:space="preserve"> </w:t>
      </w:r>
      <m:oMath>
        <m:r>
          <w:rPr>
            <w:rFonts w:ascii="Cambria Math" w:hAnsi="Cambria Math"/>
            <w:color w:val="000000"/>
          </w:rPr>
          <m:t>H</m:t>
        </m:r>
      </m:oMath>
      <w:r w:rsidR="00D12B5B">
        <w:rPr>
          <w:color w:val="000000"/>
        </w:rPr>
        <w:t xml:space="preserve"> is maximized when all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sidR="00D12B5B">
        <w:rPr>
          <w:color w:val="000000"/>
        </w:rPr>
        <w:t xml:space="preserve"> are equal</w:t>
      </w:r>
      <w:r w:rsidR="00B7346A">
        <w:rPr>
          <w:color w:val="000000"/>
        </w:rPr>
        <w:t xml:space="preserve"> (e.g.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n</m:t>
            </m:r>
          </m:den>
        </m:f>
        <m:r>
          <w:rPr>
            <w:rFonts w:ascii="Cambria Math" w:hAnsi="Cambria Math"/>
            <w:color w:val="000000"/>
          </w:rPr>
          <m:t xml:space="preserve"> ∀ i</m:t>
        </m:r>
      </m:oMath>
      <w:r w:rsidR="00E17A34">
        <w:rPr>
          <w:color w:val="000000"/>
        </w:rPr>
        <w:t>)</w:t>
      </w:r>
      <w:r w:rsidR="00B57AB9">
        <w:rPr>
          <w:color w:val="000000"/>
        </w:rPr>
        <w:t xml:space="preserve">. </w:t>
      </w:r>
      <w:r w:rsidR="00D62751">
        <w:rPr>
          <w:color w:val="000000"/>
        </w:rPr>
        <w:t xml:space="preserve">In this way, the diversity index considers the “evenness” of import sources, which is analogous to a less concentrated set of import sources. </w:t>
      </w:r>
      <w:r w:rsidR="00E86DB6">
        <w:rPr>
          <w:color w:val="000000"/>
        </w:rPr>
        <w:t xml:space="preserve">A set of “even”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sidR="00B57AB9">
        <w:rPr>
          <w:color w:val="000000"/>
        </w:rPr>
        <w:t xml:space="preserve"> is</w:t>
      </w:r>
      <w:r w:rsidR="00612085">
        <w:rPr>
          <w:color w:val="000000"/>
        </w:rPr>
        <w:t xml:space="preserve"> </w:t>
      </w:r>
      <w:r w:rsidR="00E86DB6">
        <w:rPr>
          <w:color w:val="000000"/>
        </w:rPr>
        <w:t xml:space="preserve">suggests a system’s </w:t>
      </w:r>
      <w:r w:rsidR="00C3235B">
        <w:rPr>
          <w:color w:val="000000"/>
        </w:rPr>
        <w:t xml:space="preserve">imports are provided </w:t>
      </w:r>
      <w:r w:rsidR="00E86DB6">
        <w:rPr>
          <w:color w:val="000000"/>
        </w:rPr>
        <w:t xml:space="preserve">roughly </w:t>
      </w:r>
      <w:r w:rsidR="00C3235B">
        <w:rPr>
          <w:color w:val="000000"/>
        </w:rPr>
        <w:t>equally by its trading partners such that one isn’t more dominant than others</w:t>
      </w:r>
      <w:r w:rsidR="00F42BDF">
        <w:rPr>
          <w:color w:val="000000"/>
        </w:rPr>
        <w:t xml:space="preserve">, </w:t>
      </w:r>
      <w:r w:rsidR="004847F0">
        <w:rPr>
          <w:color w:val="000000"/>
        </w:rPr>
        <w:t>representing a</w:t>
      </w:r>
      <w:r w:rsidR="00F42BDF">
        <w:rPr>
          <w:color w:val="000000"/>
        </w:rPr>
        <w:t xml:space="preserve"> “diverse” import situation</w:t>
      </w:r>
      <w:r w:rsidR="00885A02">
        <w:rPr>
          <w:color w:val="000000"/>
        </w:rPr>
        <w:t>.</w:t>
      </w:r>
      <w:r w:rsidR="004F550E">
        <w:rPr>
          <w:color w:val="000000"/>
        </w:rPr>
        <w:t xml:space="preserve"> </w:t>
      </w:r>
    </w:p>
    <w:p w14:paraId="09A026B9" w14:textId="66D9CAC3" w:rsidR="004F550E" w:rsidRDefault="004F550E" w:rsidP="004F550E">
      <w:pPr>
        <w:rPr>
          <w:color w:val="000000"/>
        </w:rPr>
      </w:pPr>
      <w:r>
        <w:rPr>
          <w:color w:val="000000"/>
        </w:rPr>
        <w:t xml:space="preserve">In considering both the number of </w:t>
      </w:r>
      <w:r w:rsidR="008E08F4">
        <w:rPr>
          <w:color w:val="000000"/>
        </w:rPr>
        <w:t>import sources and the concentration of imports from a set of trading partners</w:t>
      </w:r>
      <w:r>
        <w:rPr>
          <w:color w:val="000000"/>
        </w:rPr>
        <w:t>, the Shannon diversity index provides an effective quantitative measurement of diversity of imports at the US balancing authority level for this study application.</w:t>
      </w:r>
    </w:p>
    <w:p w14:paraId="58C0F172" w14:textId="32FC5E8F" w:rsidR="008E0700" w:rsidRDefault="008E0700">
      <w:r>
        <w:fldChar w:fldCharType="begin"/>
      </w:r>
      <w:r>
        <w:instrText xml:space="preserve"> REF _Ref169408804 \h </w:instrText>
      </w:r>
      <w:r>
        <w:fldChar w:fldCharType="separate"/>
      </w:r>
      <w:r>
        <w:t xml:space="preserve">Figure </w:t>
      </w:r>
      <w:r>
        <w:rPr>
          <w:noProof/>
        </w:rPr>
        <w:t>2</w:t>
      </w:r>
      <w:r>
        <w:fldChar w:fldCharType="end"/>
      </w:r>
      <w:r>
        <w:t xml:space="preserve"> </w:t>
      </w:r>
      <w:r w:rsidR="003F5630">
        <w:t>maps the</w:t>
      </w:r>
      <w:r w:rsidR="00164476">
        <w:t xml:space="preserve"> diversity ind</w:t>
      </w:r>
      <w:r w:rsidR="00746827">
        <w:t>ices</w:t>
      </w:r>
      <w:r w:rsidR="00985532">
        <w:t xml:space="preserve"> calculated</w:t>
      </w:r>
      <w:r w:rsidR="00164476">
        <w:t xml:space="preserve"> at the </w:t>
      </w:r>
      <w:r w:rsidR="005516EF">
        <w:t xml:space="preserve">balancing-authority </w:t>
      </w:r>
      <w:r w:rsidR="00164476">
        <w:t>level across the United States.</w:t>
      </w:r>
      <w:r w:rsidR="00005AB6">
        <w:t xml:space="preserve"> It is worth noting here that the shapefile territories of balancing authorities (obtained from</w:t>
      </w:r>
      <w:r w:rsidR="00C762B3">
        <w:t xml:space="preserve"> </w:t>
      </w:r>
      <w:r w:rsidR="00C762B3">
        <w:fldChar w:fldCharType="begin"/>
      </w:r>
      <w:r w:rsidR="00A64E5B">
        <w:instrText xml:space="preserve"> ADDIN ZOTERO_ITEM CSL_CITATION {"citationID":"SngZ7h9s","properties":{"formattedCitation":"[55]","plainCitation":"[55]","noteIndex":0},"citationItems":[{"id":1306,"uris":["http://zotero.org/users/9332412/items/88BRFARD"],"itemData":{"id":1306,"type":"dataset","title":"Homeland Infrastructure Foundation LEvel Database - Control Areas","URL":"https://hifld-geoplatform.hub.arcgis.com/datasets/db7622e5ebdd40428fcafbd1615d621a_0","author":[{"family":"Geospatial Management Office, U.S. Department of Homeland Security","given":""}],"issued":{"date-parts":[["2022",12]]}}}],"schema":"https://github.com/citation-style-language/schema/raw/master/csl-citation.json"} </w:instrText>
      </w:r>
      <w:r w:rsidR="00C762B3">
        <w:fldChar w:fldCharType="separate"/>
      </w:r>
      <w:r w:rsidR="00A64E5B" w:rsidRPr="00A64E5B">
        <w:t>[55]</w:t>
      </w:r>
      <w:r w:rsidR="00C762B3">
        <w:fldChar w:fldCharType="end"/>
      </w:r>
      <w:r w:rsidR="00005AB6">
        <w:t xml:space="preserve">) can have overlapping boundaries, where multiple BA’s share parts of the same spatial extent on the map. </w:t>
      </w:r>
      <w:r w:rsidR="001B38FE">
        <w:t xml:space="preserve">In these </w:t>
      </w:r>
      <w:r w:rsidR="00FB46C5">
        <w:t>cases,</w:t>
      </w:r>
      <w:r w:rsidR="001B38FE">
        <w:t xml:space="preserve"> t</w:t>
      </w:r>
      <w:r w:rsidR="00C762B3">
        <w:t xml:space="preserve">he darkest among </w:t>
      </w:r>
      <w:r w:rsidR="00CB1CD4">
        <w:t xml:space="preserve">the </w:t>
      </w:r>
      <w:r w:rsidR="00C762B3">
        <w:t xml:space="preserve">overlapping polygons is retained </w:t>
      </w:r>
      <w:r w:rsidR="00CB1CD4">
        <w:t>and displayed</w:t>
      </w:r>
      <w:r w:rsidR="00C762B3">
        <w:t>.</w:t>
      </w:r>
    </w:p>
    <w:p w14:paraId="1D1EAC59" w14:textId="47D12FBE" w:rsidR="00471B15" w:rsidRDefault="00005AB6" w:rsidP="00471B15">
      <w:pPr>
        <w:keepNext/>
      </w:pPr>
      <w:r>
        <w:rPr>
          <w:noProof/>
        </w:rPr>
        <w:lastRenderedPageBreak/>
        <w:drawing>
          <wp:inline distT="0" distB="0" distL="0" distR="0" wp14:anchorId="3F215D9F" wp14:editId="78D68D34">
            <wp:extent cx="5943600" cy="3670300"/>
            <wp:effectExtent l="0" t="0" r="0" b="6350"/>
            <wp:docPr id="302454056"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54056" name="Picture 1" descr="A map of the united states&#10;&#10;Description automatically generated"/>
                    <pic:cNvPicPr/>
                  </pic:nvPicPr>
                  <pic:blipFill>
                    <a:blip r:embed="rId10"/>
                    <a:stretch>
                      <a:fillRect/>
                    </a:stretch>
                  </pic:blipFill>
                  <pic:spPr>
                    <a:xfrm>
                      <a:off x="0" y="0"/>
                      <a:ext cx="5943600" cy="3670300"/>
                    </a:xfrm>
                    <a:prstGeom prst="rect">
                      <a:avLst/>
                    </a:prstGeom>
                  </pic:spPr>
                </pic:pic>
              </a:graphicData>
            </a:graphic>
          </wp:inline>
        </w:drawing>
      </w:r>
    </w:p>
    <w:p w14:paraId="5D7E99FD" w14:textId="789D3392" w:rsidR="00433099" w:rsidRPr="002141E6" w:rsidRDefault="00471B15" w:rsidP="002141E6">
      <w:pPr>
        <w:pStyle w:val="Caption"/>
      </w:pPr>
      <w:bookmarkStart w:id="3" w:name="_Ref169408804"/>
      <w:r>
        <w:t xml:space="preserve">Figure </w:t>
      </w:r>
      <w:fldSimple w:instr=" SEQ Figure \* ARABIC ">
        <w:r w:rsidR="00672EC5">
          <w:rPr>
            <w:noProof/>
          </w:rPr>
          <w:t>2</w:t>
        </w:r>
      </w:fldSimple>
      <w:bookmarkEnd w:id="3"/>
      <w:r>
        <w:t xml:space="preserve"> </w:t>
      </w:r>
      <w:r w:rsidRPr="000B41A8">
        <w:t>Import diversity metric by U.S. Balancing Authority, 2016-2023</w:t>
      </w:r>
    </w:p>
    <w:p w14:paraId="48B8BC9E" w14:textId="4E52A450" w:rsidR="00671D70" w:rsidRDefault="00AD3BF3" w:rsidP="00E63411">
      <w:pPr>
        <w:rPr>
          <w:iCs/>
        </w:rPr>
      </w:pPr>
      <w:r>
        <w:rPr>
          <w:iCs/>
        </w:rPr>
        <w:t>The Bonneville Power Administration</w:t>
      </w:r>
      <w:r w:rsidR="00263D9B">
        <w:rPr>
          <w:iCs/>
        </w:rPr>
        <w:t xml:space="preserve"> (BPA)</w:t>
      </w:r>
      <w:r>
        <w:rPr>
          <w:iCs/>
        </w:rPr>
        <w:t>, California ISO</w:t>
      </w:r>
      <w:r w:rsidR="00263D9B">
        <w:rPr>
          <w:iCs/>
        </w:rPr>
        <w:t xml:space="preserve"> (CAISO)</w:t>
      </w:r>
      <w:r>
        <w:rPr>
          <w:iCs/>
        </w:rPr>
        <w:t xml:space="preserve">, Salt River Project </w:t>
      </w:r>
      <w:r w:rsidR="00263D9B">
        <w:rPr>
          <w:iCs/>
        </w:rPr>
        <w:t>(SRP)</w:t>
      </w:r>
      <w:r w:rsidR="005F7955">
        <w:rPr>
          <w:iCs/>
        </w:rPr>
        <w:t>, Midcontinent ISO, and Southwest Power Pool,</w:t>
      </w:r>
      <w:r w:rsidR="00263D9B">
        <w:rPr>
          <w:iCs/>
        </w:rPr>
        <w:t xml:space="preserve"> </w:t>
      </w:r>
      <w:r>
        <w:rPr>
          <w:iCs/>
        </w:rPr>
        <w:t>have the highest measured import diversity levels for US balancing authorities</w:t>
      </w:r>
      <w:r w:rsidR="00BE43A6">
        <w:rPr>
          <w:iCs/>
        </w:rPr>
        <w:t xml:space="preserve"> during the sample period</w:t>
      </w:r>
      <w:r w:rsidR="00C72692">
        <w:rPr>
          <w:iCs/>
        </w:rPr>
        <w:t>s</w:t>
      </w:r>
      <w:r>
        <w:rPr>
          <w:iCs/>
        </w:rPr>
        <w:t>.</w:t>
      </w:r>
      <w:r w:rsidR="00671D70">
        <w:rPr>
          <w:iCs/>
        </w:rPr>
        <w:t xml:space="preserve"> BPA, for example, </w:t>
      </w:r>
      <w:r w:rsidR="00D46226">
        <w:rPr>
          <w:iCs/>
        </w:rPr>
        <w:t>imports from</w:t>
      </w:r>
      <w:r w:rsidR="00671D70">
        <w:rPr>
          <w:iCs/>
        </w:rPr>
        <w:t xml:space="preserve"> 18 </w:t>
      </w:r>
      <w:r w:rsidR="00D46226">
        <w:rPr>
          <w:iCs/>
        </w:rPr>
        <w:t>different neighboring systems</w:t>
      </w:r>
      <w:r w:rsidR="00671D70">
        <w:rPr>
          <w:iCs/>
        </w:rPr>
        <w:t xml:space="preserve">. The largest shares of BPA imports come from </w:t>
      </w:r>
      <w:r w:rsidR="00133A64">
        <w:rPr>
          <w:iCs/>
        </w:rPr>
        <w:t xml:space="preserve">Northwestern Energy, followed by a handful of public utility districts. CAISO </w:t>
      </w:r>
      <w:r w:rsidR="00D46226">
        <w:rPr>
          <w:iCs/>
        </w:rPr>
        <w:t xml:space="preserve">imports from </w:t>
      </w:r>
      <w:r w:rsidR="00133A64">
        <w:rPr>
          <w:iCs/>
        </w:rPr>
        <w:t xml:space="preserve">12 </w:t>
      </w:r>
      <w:r w:rsidR="00D46226">
        <w:rPr>
          <w:iCs/>
        </w:rPr>
        <w:t>systems</w:t>
      </w:r>
      <w:r w:rsidR="00133A64">
        <w:rPr>
          <w:iCs/>
        </w:rPr>
        <w:t xml:space="preserve">, with its highest levels of imports coming from </w:t>
      </w:r>
      <w:proofErr w:type="gramStart"/>
      <w:r w:rsidR="00133A64">
        <w:rPr>
          <w:iCs/>
        </w:rPr>
        <w:t>Los</w:t>
      </w:r>
      <w:proofErr w:type="gramEnd"/>
      <w:r w:rsidR="00133A64">
        <w:rPr>
          <w:iCs/>
        </w:rPr>
        <w:t xml:space="preserve"> Angeles Department of Water and Power, followed by Bonneville Power, Salt River Project, and Arizona Public Service.</w:t>
      </w:r>
      <w:r w:rsidR="00635078">
        <w:rPr>
          <w:iCs/>
        </w:rPr>
        <w:t xml:space="preserve"> SRP </w:t>
      </w:r>
      <w:r w:rsidR="00D46226">
        <w:rPr>
          <w:iCs/>
        </w:rPr>
        <w:t xml:space="preserve">imports from </w:t>
      </w:r>
      <w:r w:rsidR="00635078">
        <w:rPr>
          <w:iCs/>
        </w:rPr>
        <w:t xml:space="preserve">8 </w:t>
      </w:r>
      <w:r w:rsidR="00D46226">
        <w:rPr>
          <w:iCs/>
        </w:rPr>
        <w:t>systems</w:t>
      </w:r>
      <w:r w:rsidR="00635078">
        <w:rPr>
          <w:iCs/>
        </w:rPr>
        <w:t>, and its import sources are relatively balanc</w:t>
      </w:r>
      <w:r w:rsidR="00B40CDF">
        <w:rPr>
          <w:iCs/>
        </w:rPr>
        <w:t>ed</w:t>
      </w:r>
      <w:r w:rsidR="00635078">
        <w:rPr>
          <w:iCs/>
        </w:rPr>
        <w:t xml:space="preserve"> across 6 of them, including WAPA Desert Southwest, Arlington Valley, Arizona Public Service, Tu</w:t>
      </w:r>
      <w:r w:rsidR="00032C4B">
        <w:rPr>
          <w:iCs/>
        </w:rPr>
        <w:t xml:space="preserve">cson Electric Power, </w:t>
      </w:r>
      <w:proofErr w:type="spellStart"/>
      <w:r w:rsidR="00032C4B">
        <w:rPr>
          <w:iCs/>
        </w:rPr>
        <w:t>Gridforce</w:t>
      </w:r>
      <w:proofErr w:type="spellEnd"/>
      <w:r w:rsidR="00032C4B">
        <w:rPr>
          <w:iCs/>
        </w:rPr>
        <w:t xml:space="preserve">, and New </w:t>
      </w:r>
      <w:proofErr w:type="spellStart"/>
      <w:r w:rsidR="00032C4B">
        <w:rPr>
          <w:iCs/>
        </w:rPr>
        <w:t>Harquahala</w:t>
      </w:r>
      <w:proofErr w:type="spellEnd"/>
      <w:r w:rsidR="00BF0F6B">
        <w:rPr>
          <w:iCs/>
        </w:rPr>
        <w:t>.</w:t>
      </w:r>
    </w:p>
    <w:p w14:paraId="0E841631" w14:textId="1BE77CA2" w:rsidR="00263D9B" w:rsidRPr="00B51E4D" w:rsidRDefault="00617B43" w:rsidP="00E63411">
      <w:pPr>
        <w:rPr>
          <w:iCs/>
        </w:rPr>
      </w:pPr>
      <w:r>
        <w:rPr>
          <w:iCs/>
        </w:rPr>
        <w:t>Balancing authorities with low measured diversity scores include a small handful in the Pacific Northwest, JEA in North</w:t>
      </w:r>
      <w:r w:rsidR="00E24843">
        <w:rPr>
          <w:iCs/>
        </w:rPr>
        <w:t>east</w:t>
      </w:r>
      <w:r>
        <w:rPr>
          <w:iCs/>
        </w:rPr>
        <w:t xml:space="preserve"> Florida,</w:t>
      </w:r>
      <w:r w:rsidR="00D14A0E">
        <w:rPr>
          <w:iCs/>
        </w:rPr>
        <w:t xml:space="preserve"> </w:t>
      </w:r>
      <w:r>
        <w:rPr>
          <w:iCs/>
        </w:rPr>
        <w:t>ERCOT in Texas, and Public Service Company of Colorado</w:t>
      </w:r>
      <w:r w:rsidR="00993509">
        <w:rPr>
          <w:iCs/>
        </w:rPr>
        <w:t>.</w:t>
      </w:r>
      <w:r w:rsidR="00C8406A">
        <w:rPr>
          <w:iCs/>
        </w:rPr>
        <w:t xml:space="preserve"> Those with low import diversity in the Pacific Northwest get most of their external supply from </w:t>
      </w:r>
      <w:r w:rsidR="00086A6F">
        <w:rPr>
          <w:iCs/>
        </w:rPr>
        <w:t>the Bonneville Power Authority (BPA)</w:t>
      </w:r>
      <w:r w:rsidR="00C8406A">
        <w:rPr>
          <w:iCs/>
        </w:rPr>
        <w:t>.</w:t>
      </w:r>
      <w:r w:rsidR="00216106">
        <w:rPr>
          <w:iCs/>
        </w:rPr>
        <w:t xml:space="preserve"> </w:t>
      </w:r>
      <w:r w:rsidR="00086A6F">
        <w:rPr>
          <w:iCs/>
        </w:rPr>
        <w:t xml:space="preserve">For example, </w:t>
      </w:r>
      <w:r w:rsidR="00216106">
        <w:rPr>
          <w:iCs/>
        </w:rPr>
        <w:t>Tacoma Power received over 99% of its imports from BPA during the sample period, while Portland General Electric and Seattle City Light are at 96% and 94%, respectively.</w:t>
      </w:r>
      <w:r w:rsidR="00874B37">
        <w:rPr>
          <w:iCs/>
        </w:rPr>
        <w:t xml:space="preserve"> For JEA</w:t>
      </w:r>
      <w:r w:rsidR="00EA5CE9">
        <w:rPr>
          <w:iCs/>
        </w:rPr>
        <w:t xml:space="preserve"> in Florida</w:t>
      </w:r>
      <w:r w:rsidR="00874B37">
        <w:rPr>
          <w:iCs/>
        </w:rPr>
        <w:t>, 97% of imports c</w:t>
      </w:r>
      <w:r w:rsidR="00127348">
        <w:rPr>
          <w:iCs/>
        </w:rPr>
        <w:t>a</w:t>
      </w:r>
      <w:r w:rsidR="00874B37">
        <w:rPr>
          <w:iCs/>
        </w:rPr>
        <w:t>me from Florida Power &amp; Light.</w:t>
      </w:r>
      <w:r w:rsidR="00D62B6A">
        <w:rPr>
          <w:iCs/>
        </w:rPr>
        <w:t xml:space="preserve"> Over 95% of the limited </w:t>
      </w:r>
      <w:proofErr w:type="gramStart"/>
      <w:r w:rsidR="00D62B6A">
        <w:rPr>
          <w:iCs/>
        </w:rPr>
        <w:t>amount</w:t>
      </w:r>
      <w:proofErr w:type="gramEnd"/>
      <w:r w:rsidR="00EA5CE9">
        <w:rPr>
          <w:iCs/>
        </w:rPr>
        <w:t xml:space="preserve"> of</w:t>
      </w:r>
      <w:r w:rsidR="00D62B6A">
        <w:rPr>
          <w:iCs/>
        </w:rPr>
        <w:t xml:space="preserve"> imports into ERCOT came from the Southwest Power Pool, while 93% of Public Service Company of Colorado’s imports were from Western Area Power Administration Rocky Mountain </w:t>
      </w:r>
      <w:r w:rsidR="0051123D">
        <w:rPr>
          <w:iCs/>
        </w:rPr>
        <w:t>Balancing Authority</w:t>
      </w:r>
      <w:r w:rsidR="00DC1672">
        <w:rPr>
          <w:iCs/>
        </w:rPr>
        <w:t>.</w:t>
      </w:r>
    </w:p>
    <w:p w14:paraId="10BA4D10" w14:textId="19DF45B1" w:rsidR="009A335D" w:rsidRDefault="00263D9B" w:rsidP="00263D9B">
      <w:pPr>
        <w:rPr>
          <w:iCs/>
        </w:rPr>
      </w:pPr>
      <w:r>
        <w:rPr>
          <w:i/>
        </w:rPr>
        <w:fldChar w:fldCharType="begin"/>
      </w:r>
      <w:r>
        <w:rPr>
          <w:i/>
        </w:rPr>
        <w:instrText xml:space="preserve"> REF _Ref177631128 \h </w:instrText>
      </w:r>
      <w:r>
        <w:rPr>
          <w:i/>
        </w:rPr>
      </w:r>
      <w:r>
        <w:rPr>
          <w:i/>
        </w:rPr>
        <w:fldChar w:fldCharType="separate"/>
      </w:r>
      <w:r>
        <w:t xml:space="preserve">Table </w:t>
      </w:r>
      <w:r>
        <w:rPr>
          <w:noProof/>
        </w:rPr>
        <w:t>2</w:t>
      </w:r>
      <w:r>
        <w:rPr>
          <w:i/>
        </w:rPr>
        <w:fldChar w:fldCharType="end"/>
      </w:r>
      <w:r>
        <w:rPr>
          <w:i/>
        </w:rPr>
        <w:t xml:space="preserve"> </w:t>
      </w:r>
      <w:r>
        <w:rPr>
          <w:iCs/>
        </w:rPr>
        <w:t xml:space="preserve">in the Appendix provides diversity indices for the full sample period (2016-2023) and individually by year for </w:t>
      </w:r>
      <w:r w:rsidR="00607A65">
        <w:rPr>
          <w:iCs/>
        </w:rPr>
        <w:t>U.S. Balancing Authorities</w:t>
      </w:r>
      <w:r>
        <w:rPr>
          <w:iCs/>
        </w:rPr>
        <w:t xml:space="preserve"> with average demand greater than 500 MW. It </w:t>
      </w:r>
      <w:r w:rsidR="00B51E4D">
        <w:rPr>
          <w:iCs/>
        </w:rPr>
        <w:t xml:space="preserve">can be </w:t>
      </w:r>
      <w:r>
        <w:rPr>
          <w:iCs/>
        </w:rPr>
        <w:t>note</w:t>
      </w:r>
      <w:r w:rsidR="00B51E4D">
        <w:rPr>
          <w:iCs/>
        </w:rPr>
        <w:t>d from this table</w:t>
      </w:r>
      <w:r>
        <w:rPr>
          <w:iCs/>
        </w:rPr>
        <w:t xml:space="preserve"> that, in most cases, the diversity metric across the full sample is higher </w:t>
      </w:r>
      <w:r>
        <w:rPr>
          <w:iCs/>
        </w:rPr>
        <w:lastRenderedPageBreak/>
        <w:t>than the average diversity metric for individual years. In general, import diversity tends to be less concentrated when considered across a larger sample because system conditions and the trading dynamics with neighboring BA’s tend to change, often in a manner that improves total diversity when considered over a longer period.</w:t>
      </w:r>
    </w:p>
    <w:p w14:paraId="61A9DCA9" w14:textId="4E4D3F0A" w:rsidR="009A335D" w:rsidRDefault="00414CD4" w:rsidP="00263D9B">
      <w:pPr>
        <w:rPr>
          <w:iCs/>
        </w:rPr>
      </w:pPr>
      <w:r>
        <w:rPr>
          <w:iCs/>
        </w:rPr>
        <w:t xml:space="preserve">Calculating the diversity index at the </w:t>
      </w:r>
      <w:r w:rsidR="006E53D7">
        <w:rPr>
          <w:iCs/>
        </w:rPr>
        <w:t>balancing authorit</w:t>
      </w:r>
      <w:r>
        <w:rPr>
          <w:iCs/>
        </w:rPr>
        <w:t>y</w:t>
      </w:r>
      <w:r w:rsidR="006E53D7">
        <w:rPr>
          <w:iCs/>
        </w:rPr>
        <w:t xml:space="preserve"> </w:t>
      </w:r>
      <w:r w:rsidR="00716D0D">
        <w:rPr>
          <w:iCs/>
        </w:rPr>
        <w:t xml:space="preserve">is </w:t>
      </w:r>
      <w:r w:rsidR="00581951">
        <w:rPr>
          <w:iCs/>
        </w:rPr>
        <w:t xml:space="preserve">a straightforward </w:t>
      </w:r>
      <w:r w:rsidR="006313B0">
        <w:rPr>
          <w:iCs/>
        </w:rPr>
        <w:t xml:space="preserve">choice </w:t>
      </w:r>
      <w:r>
        <w:rPr>
          <w:iCs/>
        </w:rPr>
        <w:t xml:space="preserve">for </w:t>
      </w:r>
      <w:r w:rsidR="00581951">
        <w:rPr>
          <w:iCs/>
        </w:rPr>
        <w:t xml:space="preserve">this </w:t>
      </w:r>
      <w:r>
        <w:rPr>
          <w:iCs/>
        </w:rPr>
        <w:t xml:space="preserve">analysis, as </w:t>
      </w:r>
      <w:r w:rsidR="00DA21D0">
        <w:rPr>
          <w:iCs/>
        </w:rPr>
        <w:t>the U</w:t>
      </w:r>
      <w:r w:rsidR="00FF5AFB">
        <w:rPr>
          <w:iCs/>
        </w:rPr>
        <w:t>.</w:t>
      </w:r>
      <w:r w:rsidR="00DA21D0">
        <w:rPr>
          <w:iCs/>
        </w:rPr>
        <w:t>S</w:t>
      </w:r>
      <w:r w:rsidR="00FF5AFB">
        <w:rPr>
          <w:iCs/>
        </w:rPr>
        <w:t>.</w:t>
      </w:r>
      <w:r w:rsidR="00DA21D0">
        <w:rPr>
          <w:iCs/>
        </w:rPr>
        <w:t xml:space="preserve"> </w:t>
      </w:r>
      <w:r w:rsidR="00FF5AFB">
        <w:rPr>
          <w:iCs/>
        </w:rPr>
        <w:t>E</w:t>
      </w:r>
      <w:r w:rsidR="00DA21D0">
        <w:rPr>
          <w:iCs/>
        </w:rPr>
        <w:t xml:space="preserve">nergy </w:t>
      </w:r>
      <w:r w:rsidR="00FF5AFB">
        <w:rPr>
          <w:iCs/>
        </w:rPr>
        <w:t>I</w:t>
      </w:r>
      <w:r w:rsidR="00DA21D0">
        <w:rPr>
          <w:iCs/>
        </w:rPr>
        <w:t xml:space="preserve">nformation </w:t>
      </w:r>
      <w:r w:rsidR="00FF5AFB">
        <w:rPr>
          <w:iCs/>
        </w:rPr>
        <w:t>A</w:t>
      </w:r>
      <w:r w:rsidR="00DA21D0">
        <w:rPr>
          <w:iCs/>
        </w:rPr>
        <w:t xml:space="preserve">dministration </w:t>
      </w:r>
      <w:r w:rsidR="00FF5AFB">
        <w:rPr>
          <w:iCs/>
        </w:rPr>
        <w:t xml:space="preserve">tracks and reports on electric interchange </w:t>
      </w:r>
      <w:r w:rsidR="00581951">
        <w:rPr>
          <w:iCs/>
        </w:rPr>
        <w:t xml:space="preserve">at the balancing authority level </w:t>
      </w:r>
      <w:r w:rsidR="00B103BF">
        <w:rPr>
          <w:iCs/>
        </w:rPr>
        <w:fldChar w:fldCharType="begin"/>
      </w:r>
      <w:r w:rsidR="00F530E9">
        <w:rPr>
          <w:iCs/>
        </w:rPr>
        <w:instrText xml:space="preserve"> ADDIN ZOTERO_ITEM CSL_CITATION {"citationID":"INbeOTCW","properties":{"formattedCitation":"[56]","plainCitation":"[56]","noteIndex":0},"citationItems":[{"id":1308,"uris":["http://zotero.org/users/9332412/items/2PHKXVWS"],"itemData":{"id":1308,"type":"report","title":"Hourly Electric Grid Monitor","URL":"https://www.eia.gov/electricity/gridmonitor/","author":[{"family":"U.S. Energy Information Administration","given":""}],"issued":{"date-parts":[["2024"]]}}}],"schema":"https://github.com/citation-style-language/schema/raw/master/csl-citation.json"} </w:instrText>
      </w:r>
      <w:r w:rsidR="00B103BF">
        <w:rPr>
          <w:iCs/>
        </w:rPr>
        <w:fldChar w:fldCharType="separate"/>
      </w:r>
      <w:r w:rsidR="00F530E9" w:rsidRPr="00F530E9">
        <w:t>[56]</w:t>
      </w:r>
      <w:r w:rsidR="00B103BF">
        <w:rPr>
          <w:iCs/>
        </w:rPr>
        <w:fldChar w:fldCharType="end"/>
      </w:r>
      <w:r w:rsidR="00FF5AFB">
        <w:rPr>
          <w:iCs/>
        </w:rPr>
        <w:t>.</w:t>
      </w:r>
      <w:r w:rsidR="000062B5">
        <w:rPr>
          <w:iCs/>
        </w:rPr>
        <w:t xml:space="preserve"> The</w:t>
      </w:r>
      <w:r w:rsidR="00A869F2">
        <w:rPr>
          <w:iCs/>
        </w:rPr>
        <w:t>se</w:t>
      </w:r>
      <w:r w:rsidR="000062B5">
        <w:rPr>
          <w:iCs/>
        </w:rPr>
        <w:t xml:space="preserve"> results provide</w:t>
      </w:r>
      <w:r w:rsidR="006313B0">
        <w:rPr>
          <w:iCs/>
        </w:rPr>
        <w:t xml:space="preserve"> a starting point to begin to understand diversity of imports across relevant control areas in the United States</w:t>
      </w:r>
      <w:r w:rsidR="008628DB">
        <w:rPr>
          <w:iCs/>
        </w:rPr>
        <w:t xml:space="preserve"> for high-level comparisons</w:t>
      </w:r>
      <w:r w:rsidR="006313B0">
        <w:rPr>
          <w:iCs/>
        </w:rPr>
        <w:t xml:space="preserve">. However, </w:t>
      </w:r>
      <w:r w:rsidR="008628DB">
        <w:rPr>
          <w:iCs/>
        </w:rPr>
        <w:t xml:space="preserve">sweeping conclusions </w:t>
      </w:r>
      <w:r w:rsidR="00D95139">
        <w:rPr>
          <w:iCs/>
        </w:rPr>
        <w:t xml:space="preserve">for any individual balancing authority based on these results should be avoided, and more scrutiny and analysis of local situations should be conducted </w:t>
      </w:r>
      <w:r w:rsidR="00F76057">
        <w:rPr>
          <w:iCs/>
        </w:rPr>
        <w:t xml:space="preserve">prior to making policy or business decisions for any individual regions. </w:t>
      </w:r>
    </w:p>
    <w:p w14:paraId="7EB6EDFC" w14:textId="60F12348" w:rsidR="00010318" w:rsidRDefault="005276FF" w:rsidP="00263D9B">
      <w:pPr>
        <w:rPr>
          <w:iCs/>
        </w:rPr>
      </w:pPr>
      <w:r>
        <w:rPr>
          <w:iCs/>
        </w:rPr>
        <w:t>Balancing authorities</w:t>
      </w:r>
      <w:r w:rsidR="00936AE0">
        <w:rPr>
          <w:iCs/>
        </w:rPr>
        <w:t xml:space="preserve"> </w:t>
      </w:r>
      <w:r w:rsidR="00E60149">
        <w:rPr>
          <w:iCs/>
        </w:rPr>
        <w:t xml:space="preserve">vary widely in size across the United States, ranging from </w:t>
      </w:r>
      <w:r w:rsidR="009555AA">
        <w:rPr>
          <w:iCs/>
        </w:rPr>
        <w:t>over 9 GW of average demand in PJM to</w:t>
      </w:r>
      <w:r w:rsidR="00F64471">
        <w:rPr>
          <w:iCs/>
        </w:rPr>
        <w:t xml:space="preserve"> less than 50 MW for </w:t>
      </w:r>
      <w:r w:rsidR="003E26E0">
        <w:rPr>
          <w:iCs/>
        </w:rPr>
        <w:t>the NERC-certified electric balancing authority of New Smyrna Beach</w:t>
      </w:r>
      <w:r w:rsidR="0080207B">
        <w:rPr>
          <w:iCs/>
        </w:rPr>
        <w:t>, a surfers’ hub</w:t>
      </w:r>
      <w:r w:rsidR="003E26E0">
        <w:rPr>
          <w:iCs/>
        </w:rPr>
        <w:t xml:space="preserve"> in </w:t>
      </w:r>
      <w:r w:rsidR="0080207B">
        <w:rPr>
          <w:iCs/>
        </w:rPr>
        <w:t xml:space="preserve">eastern </w:t>
      </w:r>
      <w:r w:rsidR="003E26E0">
        <w:rPr>
          <w:iCs/>
        </w:rPr>
        <w:t>Florida.</w:t>
      </w:r>
      <w:r w:rsidR="00C57053">
        <w:rPr>
          <w:iCs/>
        </w:rPr>
        <w:t xml:space="preserve"> There are also several generation-only BAs</w:t>
      </w:r>
      <w:r w:rsidR="002B77BF">
        <w:rPr>
          <w:iCs/>
        </w:rPr>
        <w:t xml:space="preserve"> that serve no load, </w:t>
      </w:r>
      <w:r w:rsidR="006B3434">
        <w:rPr>
          <w:iCs/>
        </w:rPr>
        <w:t xml:space="preserve">consisting of </w:t>
      </w:r>
      <w:r w:rsidR="00E93479">
        <w:rPr>
          <w:iCs/>
        </w:rPr>
        <w:t>power plant owners</w:t>
      </w:r>
      <w:r w:rsidR="006B3434">
        <w:rPr>
          <w:iCs/>
        </w:rPr>
        <w:t xml:space="preserve"> </w:t>
      </w:r>
      <w:r w:rsidR="00850184">
        <w:rPr>
          <w:iCs/>
        </w:rPr>
        <w:t xml:space="preserve">who </w:t>
      </w:r>
      <w:r w:rsidR="006B3434">
        <w:rPr>
          <w:iCs/>
        </w:rPr>
        <w:t xml:space="preserve">made the business decision to </w:t>
      </w:r>
      <w:r w:rsidR="00A330CF">
        <w:rPr>
          <w:iCs/>
        </w:rPr>
        <w:t>provide their own</w:t>
      </w:r>
      <w:r w:rsidR="006B3434">
        <w:rPr>
          <w:iCs/>
        </w:rPr>
        <w:t xml:space="preserve"> </w:t>
      </w:r>
      <w:r w:rsidR="00A330CF">
        <w:rPr>
          <w:iCs/>
        </w:rPr>
        <w:t xml:space="preserve">required </w:t>
      </w:r>
      <w:r w:rsidR="006B3434">
        <w:rPr>
          <w:iCs/>
        </w:rPr>
        <w:t xml:space="preserve">reliability services rather than purchase them from and integrate into </w:t>
      </w:r>
      <w:r w:rsidR="00031FF4">
        <w:rPr>
          <w:iCs/>
        </w:rPr>
        <w:t>an available pre-</w:t>
      </w:r>
      <w:r w:rsidR="009344FA">
        <w:rPr>
          <w:iCs/>
        </w:rPr>
        <w:t xml:space="preserve">existing </w:t>
      </w:r>
      <w:r w:rsidR="003A26FB">
        <w:rPr>
          <w:iCs/>
        </w:rPr>
        <w:t xml:space="preserve">balancing authority </w:t>
      </w:r>
      <w:r w:rsidR="00031FF4">
        <w:rPr>
          <w:iCs/>
        </w:rPr>
        <w:t xml:space="preserve">in </w:t>
      </w:r>
      <w:r w:rsidR="003A26FB">
        <w:rPr>
          <w:iCs/>
        </w:rPr>
        <w:t>their territory</w:t>
      </w:r>
      <w:r w:rsidR="00031FF4">
        <w:rPr>
          <w:iCs/>
        </w:rPr>
        <w:t xml:space="preserve"> </w:t>
      </w:r>
      <w:r w:rsidR="002D4BEA">
        <w:rPr>
          <w:iCs/>
        </w:rPr>
        <w:fldChar w:fldCharType="begin"/>
      </w:r>
      <w:r w:rsidR="00A64E5B">
        <w:rPr>
          <w:iCs/>
        </w:rPr>
        <w:instrText xml:space="preserve"> ADDIN ZOTERO_ITEM CSL_CITATION {"citationID":"6VKpKGoC","properties":{"formattedCitation":"[57]","plainCitation":"[57]","noteIndex":0},"citationItems":[{"id":505,"uris":["http://zotero.org/users/9332412/items/ETVPADP5"],"itemData":{"id":505,"type":"article-journal","abstract":"The introduction of new power generation, including intermittent resources, into the North American electric grid is exposing the fact that the traditional approach to resource integration is not necessarily cost-effective. At the forefront of analysis is the electric balancing authority; the functional structure that is responsible for maintaining the continuous balance of the demand for and supply of electric power. Electric balancing authorities perform this function according to standards developed by the North American Electric Reliability Corporation and the Federal Energy Regulatory Commission. These services can significantly affect the cost of power. Rather than blindly purchasing balancing services from the local balancing authority, power generators and loads are proactively affecting their cost structure by purchasing balancing services from an adjacent balancing authority or forming a separate balancing authority and self-supplying services. These options do not undermine reliability and the cost controls enabled by competition ensure efficient resource integration.","container-title":"Washington Journal of Environmental Law &amp; Policy","title":"Maintaining A Balance: Innovation in Power System Balancing Authorities","author":[{"family":"Mclellan","given":"Malcolm"},{"family":"Opatrny","given":"Carol"}],"issued":{"date-parts":[["2011"]]}}}],"schema":"https://github.com/citation-style-language/schema/raw/master/csl-citation.json"} </w:instrText>
      </w:r>
      <w:r w:rsidR="002D4BEA">
        <w:rPr>
          <w:iCs/>
        </w:rPr>
        <w:fldChar w:fldCharType="separate"/>
      </w:r>
      <w:r w:rsidR="00A64E5B" w:rsidRPr="00A64E5B">
        <w:t>[57]</w:t>
      </w:r>
      <w:r w:rsidR="002D4BEA">
        <w:rPr>
          <w:iCs/>
        </w:rPr>
        <w:fldChar w:fldCharType="end"/>
      </w:r>
      <w:r w:rsidR="00010318">
        <w:rPr>
          <w:iCs/>
        </w:rPr>
        <w:t xml:space="preserve">. </w:t>
      </w:r>
    </w:p>
    <w:p w14:paraId="317BF8FC" w14:textId="49D37498" w:rsidR="00F76057" w:rsidRDefault="003F792F" w:rsidP="00263D9B">
      <w:pPr>
        <w:rPr>
          <w:iCs/>
        </w:rPr>
      </w:pPr>
      <w:r>
        <w:rPr>
          <w:iCs/>
        </w:rPr>
        <w:t xml:space="preserve">Some large </w:t>
      </w:r>
      <w:r w:rsidR="005C3501">
        <w:rPr>
          <w:iCs/>
        </w:rPr>
        <w:t>balancing authorities</w:t>
      </w:r>
      <w:r>
        <w:rPr>
          <w:iCs/>
        </w:rPr>
        <w:t xml:space="preserve"> in this analysis</w:t>
      </w:r>
      <w:r w:rsidR="00AD0771">
        <w:rPr>
          <w:iCs/>
        </w:rPr>
        <w:t xml:space="preserve"> consist of</w:t>
      </w:r>
      <w:r>
        <w:rPr>
          <w:iCs/>
        </w:rPr>
        <w:t xml:space="preserve"> several </w:t>
      </w:r>
      <w:r w:rsidR="00F17ABA">
        <w:rPr>
          <w:iCs/>
        </w:rPr>
        <w:t>local systems</w:t>
      </w:r>
      <w:r w:rsidR="00DA63D1">
        <w:rPr>
          <w:iCs/>
        </w:rPr>
        <w:t>,</w:t>
      </w:r>
      <w:r w:rsidR="00F17ABA">
        <w:rPr>
          <w:iCs/>
        </w:rPr>
        <w:t xml:space="preserve"> </w:t>
      </w:r>
      <w:r>
        <w:rPr>
          <w:iCs/>
        </w:rPr>
        <w:t xml:space="preserve">which may be a more </w:t>
      </w:r>
      <w:r w:rsidR="00625747">
        <w:rPr>
          <w:iCs/>
        </w:rPr>
        <w:t xml:space="preserve">suitable </w:t>
      </w:r>
      <w:r>
        <w:rPr>
          <w:iCs/>
        </w:rPr>
        <w:t xml:space="preserve">unit of analysis to compare with other small </w:t>
      </w:r>
      <w:r w:rsidR="00F72FB0">
        <w:rPr>
          <w:iCs/>
        </w:rPr>
        <w:t>balancing authorities</w:t>
      </w:r>
      <w:r>
        <w:rPr>
          <w:iCs/>
        </w:rPr>
        <w:t xml:space="preserve">. For example, </w:t>
      </w:r>
      <w:r w:rsidR="00404EEB">
        <w:rPr>
          <w:iCs/>
        </w:rPr>
        <w:t>MISO</w:t>
      </w:r>
      <w:r w:rsidR="009B35B3">
        <w:rPr>
          <w:iCs/>
        </w:rPr>
        <w:t xml:space="preserve"> is a balancing authority which</w:t>
      </w:r>
      <w:r w:rsidR="00404EEB">
        <w:rPr>
          <w:iCs/>
        </w:rPr>
        <w:t xml:space="preserve"> has many “local balancing authorities” (LBAs)</w:t>
      </w:r>
      <w:r w:rsidR="00252937">
        <w:rPr>
          <w:iCs/>
        </w:rPr>
        <w:t>, many of which are electric operating companies roughly comparable to</w:t>
      </w:r>
      <w:r w:rsidR="001A53F8">
        <w:rPr>
          <w:iCs/>
        </w:rPr>
        <w:t xml:space="preserve"> </w:t>
      </w:r>
      <w:r w:rsidR="00BF5F8C">
        <w:rPr>
          <w:iCs/>
        </w:rPr>
        <w:t>balancing authorities</w:t>
      </w:r>
      <w:r w:rsidR="00252937">
        <w:rPr>
          <w:iCs/>
        </w:rPr>
        <w:t xml:space="preserve"> </w:t>
      </w:r>
      <w:r w:rsidR="007C0434">
        <w:rPr>
          <w:iCs/>
        </w:rPr>
        <w:t>outside of regional transmission organization</w:t>
      </w:r>
      <w:r w:rsidR="00BF5F8C">
        <w:rPr>
          <w:iCs/>
        </w:rPr>
        <w:t>s</w:t>
      </w:r>
      <w:r w:rsidR="000219A8">
        <w:rPr>
          <w:iCs/>
        </w:rPr>
        <w:t>. However,</w:t>
      </w:r>
      <w:r w:rsidR="00C2595F">
        <w:rPr>
          <w:iCs/>
        </w:rPr>
        <w:t xml:space="preserve"> </w:t>
      </w:r>
      <w:r w:rsidR="000219A8">
        <w:rPr>
          <w:iCs/>
        </w:rPr>
        <w:t xml:space="preserve">electricity </w:t>
      </w:r>
      <w:r w:rsidR="005F3832">
        <w:rPr>
          <w:iCs/>
        </w:rPr>
        <w:t>trade</w:t>
      </w:r>
      <w:r w:rsidR="00C2595F">
        <w:rPr>
          <w:iCs/>
        </w:rPr>
        <w:t xml:space="preserve"> </w:t>
      </w:r>
      <w:r w:rsidR="000219A8">
        <w:rPr>
          <w:iCs/>
        </w:rPr>
        <w:t xml:space="preserve">data are </w:t>
      </w:r>
      <w:r w:rsidR="00C2595F">
        <w:rPr>
          <w:iCs/>
        </w:rPr>
        <w:t xml:space="preserve">not available at </w:t>
      </w:r>
      <w:r w:rsidR="000219A8">
        <w:rPr>
          <w:iCs/>
        </w:rPr>
        <w:t xml:space="preserve">the LBA </w:t>
      </w:r>
      <w:r w:rsidR="00C2595F">
        <w:rPr>
          <w:iCs/>
        </w:rPr>
        <w:t>level.</w:t>
      </w:r>
      <w:r w:rsidR="00DE4C7D">
        <w:rPr>
          <w:iCs/>
        </w:rPr>
        <w:t xml:space="preserve"> Thus, </w:t>
      </w:r>
      <w:r w:rsidR="00454DBD">
        <w:rPr>
          <w:iCs/>
        </w:rPr>
        <w:t xml:space="preserve">additional analysis </w:t>
      </w:r>
      <w:r w:rsidR="00464C19">
        <w:rPr>
          <w:iCs/>
        </w:rPr>
        <w:t xml:space="preserve">that dives </w:t>
      </w:r>
      <w:r w:rsidR="00A637DF">
        <w:rPr>
          <w:iCs/>
        </w:rPr>
        <w:t xml:space="preserve">deeper </w:t>
      </w:r>
      <w:r w:rsidR="00464C19">
        <w:rPr>
          <w:iCs/>
        </w:rPr>
        <w:t xml:space="preserve">into </w:t>
      </w:r>
      <w:r w:rsidR="00A637DF">
        <w:rPr>
          <w:iCs/>
        </w:rPr>
        <w:t xml:space="preserve">local systems </w:t>
      </w:r>
      <w:r w:rsidR="00454DBD">
        <w:rPr>
          <w:iCs/>
        </w:rPr>
        <w:t xml:space="preserve">of interest is important </w:t>
      </w:r>
      <w:r w:rsidR="000A193A">
        <w:rPr>
          <w:iCs/>
        </w:rPr>
        <w:t xml:space="preserve">to </w:t>
      </w:r>
      <w:r w:rsidR="00A637DF">
        <w:rPr>
          <w:iCs/>
        </w:rPr>
        <w:t xml:space="preserve">reflect </w:t>
      </w:r>
      <w:r w:rsidR="00DE138E">
        <w:rPr>
          <w:iCs/>
        </w:rPr>
        <w:t xml:space="preserve">the </w:t>
      </w:r>
      <w:r w:rsidR="0077196C">
        <w:rPr>
          <w:iCs/>
        </w:rPr>
        <w:t xml:space="preserve">varying characteristics of </w:t>
      </w:r>
      <w:r w:rsidR="000A193A">
        <w:rPr>
          <w:iCs/>
        </w:rPr>
        <w:t>balancing authorities across the industry</w:t>
      </w:r>
      <w:r w:rsidR="0077196C">
        <w:rPr>
          <w:iCs/>
        </w:rPr>
        <w:t>.</w:t>
      </w:r>
    </w:p>
    <w:p w14:paraId="5D2E80D5" w14:textId="7ACFD81C" w:rsidR="00E1458F" w:rsidRDefault="0080747C" w:rsidP="00454DBD">
      <w:pPr>
        <w:pStyle w:val="Heading1"/>
      </w:pPr>
      <w:r>
        <w:t>Considering</w:t>
      </w:r>
      <w:r w:rsidR="00A85FAE">
        <w:t xml:space="preserve"> </w:t>
      </w:r>
      <w:r w:rsidR="00760CEF">
        <w:t xml:space="preserve">Electricity </w:t>
      </w:r>
      <w:r w:rsidR="00766113">
        <w:t xml:space="preserve">Import Reliance and Diversity </w:t>
      </w:r>
      <w:r>
        <w:t>Jointly</w:t>
      </w:r>
    </w:p>
    <w:p w14:paraId="22969473" w14:textId="652ECF99" w:rsidR="00CC60FF" w:rsidRDefault="00CC60FF">
      <w:r>
        <w:t xml:space="preserve">One pattern </w:t>
      </w:r>
      <w:r w:rsidR="00E1458F">
        <w:t xml:space="preserve">observed in the results </w:t>
      </w:r>
      <w:r w:rsidR="00572FF6">
        <w:t xml:space="preserve">from </w:t>
      </w:r>
      <w:r w:rsidR="009C0BE6">
        <w:t xml:space="preserve">Appendix </w:t>
      </w:r>
      <w:r w:rsidR="00E1458F">
        <w:fldChar w:fldCharType="begin"/>
      </w:r>
      <w:r w:rsidR="00E1458F">
        <w:instrText xml:space="preserve"> REF _Ref177631128 \h </w:instrText>
      </w:r>
      <w:r w:rsidR="00E1458F">
        <w:fldChar w:fldCharType="separate"/>
      </w:r>
      <w:r w:rsidR="00E1458F">
        <w:t xml:space="preserve">Table </w:t>
      </w:r>
      <w:r w:rsidR="00E1458F">
        <w:rPr>
          <w:noProof/>
        </w:rPr>
        <w:t>2</w:t>
      </w:r>
      <w:r w:rsidR="00E1458F">
        <w:fldChar w:fldCharType="end"/>
      </w:r>
      <w:r w:rsidR="004C104C">
        <w:t xml:space="preserve"> </w:t>
      </w:r>
      <w:r w:rsidR="00F14B52">
        <w:t xml:space="preserve">is a correlation between a balancing authority’s size and its diversity </w:t>
      </w:r>
      <w:r w:rsidR="00793074">
        <w:t>index</w:t>
      </w:r>
      <w:r w:rsidR="00F14B52">
        <w:t>.</w:t>
      </w:r>
      <w:r w:rsidR="00CC2ECB">
        <w:rPr>
          <w:rStyle w:val="FootnoteReference"/>
        </w:rPr>
        <w:footnoteReference w:id="1"/>
      </w:r>
      <w:r w:rsidR="00F14B52">
        <w:t xml:space="preserve"> </w:t>
      </w:r>
      <w:r w:rsidR="00910705">
        <w:t>L</w:t>
      </w:r>
      <w:r w:rsidR="001A50A4">
        <w:t xml:space="preserve">arger </w:t>
      </w:r>
      <w:r w:rsidR="00625F61">
        <w:t>systems</w:t>
      </w:r>
      <w:r w:rsidR="001A50A4">
        <w:t xml:space="preserve"> tend to have </w:t>
      </w:r>
      <w:r w:rsidR="0018723C">
        <w:t xml:space="preserve">higher numbers of trading partners to import from, contributing to a larger diversity </w:t>
      </w:r>
      <w:r w:rsidR="00BA3941">
        <w:t>index</w:t>
      </w:r>
      <w:r w:rsidR="0018723C">
        <w:t xml:space="preserve">. </w:t>
      </w:r>
      <w:r w:rsidR="00F53522">
        <w:t>Furthermore (and perhaps relatedly)</w:t>
      </w:r>
      <w:r w:rsidR="00082A64">
        <w:t xml:space="preserve"> </w:t>
      </w:r>
      <w:r w:rsidR="00F53522">
        <w:t xml:space="preserve">some large </w:t>
      </w:r>
      <w:r w:rsidR="00625F61">
        <w:t>balancing authorities</w:t>
      </w:r>
      <w:r w:rsidR="00082A64">
        <w:t xml:space="preserve"> with higher diversity</w:t>
      </w:r>
      <w:r w:rsidR="00380A24">
        <w:t xml:space="preserve"> </w:t>
      </w:r>
      <w:r w:rsidR="00935056">
        <w:t>have low import reliance</w:t>
      </w:r>
      <w:r w:rsidR="00F87278">
        <w:t xml:space="preserve">. Bonneville Power Administration, Salt River Project, </w:t>
      </w:r>
      <w:r w:rsidR="00D72422">
        <w:t xml:space="preserve">Southwest Power Pool, and PJM are among the </w:t>
      </w:r>
      <w:r w:rsidR="00A50358">
        <w:t xml:space="preserve">strongest examples of </w:t>
      </w:r>
      <w:r w:rsidR="00F621A4">
        <w:t>systems with</w:t>
      </w:r>
      <w:r w:rsidR="005F65E9">
        <w:t xml:space="preserve"> high </w:t>
      </w:r>
      <w:r w:rsidR="00A87C09">
        <w:t xml:space="preserve">import </w:t>
      </w:r>
      <w:r w:rsidR="005F65E9">
        <w:t xml:space="preserve">diversity but </w:t>
      </w:r>
      <w:r w:rsidR="00BD1A23">
        <w:t>minimal import reliance</w:t>
      </w:r>
      <w:r w:rsidR="00A50358">
        <w:t>, though there are other examples as well.</w:t>
      </w:r>
      <w:r w:rsidR="005F67C3">
        <w:t xml:space="preserve"> </w:t>
      </w:r>
      <w:r w:rsidR="0023626F">
        <w:t xml:space="preserve">Across </w:t>
      </w:r>
      <w:r w:rsidR="004A7ACA">
        <w:t>all U.S. balancing authorities</w:t>
      </w:r>
      <w:r w:rsidR="0023626F">
        <w:t>, t</w:t>
      </w:r>
      <w:r w:rsidR="00323D57">
        <w:t>he correlation between import diversity and reliance is -0.42.</w:t>
      </w:r>
    </w:p>
    <w:p w14:paraId="6239C776" w14:textId="429D68CD" w:rsidR="00D426C8" w:rsidRDefault="008E5BBD">
      <w:r>
        <w:t>In cases</w:t>
      </w:r>
      <w:r w:rsidR="000B56B7">
        <w:t xml:space="preserve"> like the above examples</w:t>
      </w:r>
      <w:r>
        <w:t xml:space="preserve"> where import reliance is low</w:t>
      </w:r>
      <w:r w:rsidR="00D34A00">
        <w:t xml:space="preserve">, diversity may be of less concern to an electric company or policymaker </w:t>
      </w:r>
      <w:r w:rsidR="00876E47">
        <w:t xml:space="preserve">from a reliability perspective because </w:t>
      </w:r>
      <w:r w:rsidR="007D1134">
        <w:t xml:space="preserve">local supply </w:t>
      </w:r>
      <w:r w:rsidR="00D3693E">
        <w:lastRenderedPageBreak/>
        <w:t xml:space="preserve">dispatchable by </w:t>
      </w:r>
      <w:r w:rsidR="007D1134">
        <w:t xml:space="preserve">the </w:t>
      </w:r>
      <w:r w:rsidR="00D3693E">
        <w:t>system operator</w:t>
      </w:r>
      <w:r w:rsidR="007D1134">
        <w:t xml:space="preserve"> </w:t>
      </w:r>
      <w:r w:rsidR="004E16E1">
        <w:t>serves a large share of demand.</w:t>
      </w:r>
      <w:r w:rsidR="001D6C5D">
        <w:t xml:space="preserve"> Conversely, </w:t>
      </w:r>
      <w:r w:rsidR="00034B04">
        <w:t xml:space="preserve">diversity may be more important for systems </w:t>
      </w:r>
      <w:r w:rsidR="0062268B">
        <w:t>with high levels of imports</w:t>
      </w:r>
      <w:r w:rsidR="001202B9">
        <w:t xml:space="preserve">. An electricity system that relies heavily on imports could </w:t>
      </w:r>
      <w:r w:rsidR="00294DE9">
        <w:t xml:space="preserve">have a higher risk </w:t>
      </w:r>
      <w:r w:rsidR="001202B9">
        <w:t xml:space="preserve">of </w:t>
      </w:r>
      <w:proofErr w:type="gramStart"/>
      <w:r w:rsidR="001202B9">
        <w:t>a supply</w:t>
      </w:r>
      <w:proofErr w:type="gramEnd"/>
      <w:r w:rsidR="001202B9">
        <w:t xml:space="preserve"> disruption if they rely on a less diverse set of </w:t>
      </w:r>
      <w:r w:rsidR="006D3286">
        <w:t>imports concentrated amongst a smaller set of trading partners</w:t>
      </w:r>
      <w:r w:rsidR="00B16EFA">
        <w:t>.</w:t>
      </w:r>
    </w:p>
    <w:p w14:paraId="5F3ACB6B" w14:textId="1E8324E5" w:rsidR="00DB165F" w:rsidRPr="007829EA" w:rsidRDefault="00384058">
      <w:r>
        <w:t xml:space="preserve">Consider </w:t>
      </w:r>
      <w:r>
        <w:fldChar w:fldCharType="begin"/>
      </w:r>
      <w:r>
        <w:instrText xml:space="preserve"> REF _Ref179539912 \h </w:instrText>
      </w:r>
      <w:r>
        <w:fldChar w:fldCharType="separate"/>
      </w:r>
      <w:r>
        <w:t xml:space="preserve">Figure </w:t>
      </w:r>
      <w:r>
        <w:rPr>
          <w:noProof/>
        </w:rPr>
        <w:t>3</w:t>
      </w:r>
      <w:r>
        <w:fldChar w:fldCharType="end"/>
      </w:r>
      <w:r w:rsidR="008616C3">
        <w:t xml:space="preserve">, which includes a scatterplot of import reliance versus import diversity for each US balancing authority. </w:t>
      </w:r>
      <w:r w:rsidR="000A0545">
        <w:t xml:space="preserve">In this sample, among </w:t>
      </w:r>
      <w:r w:rsidR="00D12440">
        <w:t xml:space="preserve">the </w:t>
      </w:r>
      <w:r w:rsidR="009672C5">
        <w:t>balancing authorities</w:t>
      </w:r>
      <w:r w:rsidR="00D12440">
        <w:t xml:space="preserve"> with low import reliance there is wide variation in </w:t>
      </w:r>
      <w:r w:rsidR="000A0545">
        <w:t>the corresponding diversity</w:t>
      </w:r>
      <w:r w:rsidR="00120921">
        <w:t xml:space="preserve">, </w:t>
      </w:r>
      <w:r w:rsidR="003B6D57">
        <w:t>categorized</w:t>
      </w:r>
      <w:r w:rsidR="00120921">
        <w:t xml:space="preserve"> in </w:t>
      </w:r>
      <w:r w:rsidR="003B6D57">
        <w:t>blue</w:t>
      </w:r>
      <w:r w:rsidR="0083126B">
        <w:t xml:space="preserve">. </w:t>
      </w:r>
      <w:r w:rsidR="00EE0533">
        <w:t>On average, d</w:t>
      </w:r>
      <w:r w:rsidR="0083126B">
        <w:t xml:space="preserve">iversity may be less important to the overall system for the BAs in the blue region relative to others. </w:t>
      </w:r>
      <w:r w:rsidR="00CD2F9C">
        <w:t xml:space="preserve">A diverse set of imports may be more important </w:t>
      </w:r>
      <w:r w:rsidR="0056732B">
        <w:t>for systems with higher levels of import reliance</w:t>
      </w:r>
      <w:r w:rsidR="00C56709">
        <w:t xml:space="preserve"> (the green region). Conversely,</w:t>
      </w:r>
      <w:r w:rsidR="000F5131">
        <w:t xml:space="preserve"> a system highly reliant </w:t>
      </w:r>
      <w:r w:rsidR="00222046">
        <w:t xml:space="preserve">on </w:t>
      </w:r>
      <w:r w:rsidR="00E363E7">
        <w:t xml:space="preserve">a concentrated (less diverse) </w:t>
      </w:r>
      <w:r w:rsidR="00C56709">
        <w:t>set of imports may be more susceptible to reliability issues (red region).</w:t>
      </w:r>
    </w:p>
    <w:p w14:paraId="106CCEC6" w14:textId="77777777" w:rsidR="00D426C8" w:rsidRDefault="00D426C8" w:rsidP="00D426C8">
      <w:pPr>
        <w:keepNext/>
      </w:pPr>
      <w:r>
        <w:rPr>
          <w:noProof/>
        </w:rPr>
        <w:drawing>
          <wp:inline distT="0" distB="0" distL="0" distR="0" wp14:anchorId="5427C070" wp14:editId="58D65515">
            <wp:extent cx="3771900" cy="2419497"/>
            <wp:effectExtent l="0" t="0" r="0" b="0"/>
            <wp:docPr id="150368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2293" name=""/>
                    <pic:cNvPicPr/>
                  </pic:nvPicPr>
                  <pic:blipFill>
                    <a:blip r:embed="rId11"/>
                    <a:stretch>
                      <a:fillRect/>
                    </a:stretch>
                  </pic:blipFill>
                  <pic:spPr>
                    <a:xfrm>
                      <a:off x="0" y="0"/>
                      <a:ext cx="3777832" cy="2423302"/>
                    </a:xfrm>
                    <a:prstGeom prst="rect">
                      <a:avLst/>
                    </a:prstGeom>
                  </pic:spPr>
                </pic:pic>
              </a:graphicData>
            </a:graphic>
          </wp:inline>
        </w:drawing>
      </w:r>
    </w:p>
    <w:p w14:paraId="42A57FA7" w14:textId="1E463D7D" w:rsidR="00D426C8" w:rsidRPr="00D16FB2" w:rsidRDefault="00D426C8" w:rsidP="00D426C8">
      <w:pPr>
        <w:pStyle w:val="Caption"/>
      </w:pPr>
      <w:bookmarkStart w:id="4" w:name="_Ref179539912"/>
      <w:r>
        <w:t xml:space="preserve">Figure </w:t>
      </w:r>
      <w:fldSimple w:instr=" SEQ Figure \* ARABIC ">
        <w:r w:rsidR="00672EC5">
          <w:rPr>
            <w:noProof/>
          </w:rPr>
          <w:t>3</w:t>
        </w:r>
      </w:fldSimple>
      <w:bookmarkEnd w:id="4"/>
      <w:r>
        <w:t xml:space="preserve"> Scatter plot of U.S. balancing authority</w:t>
      </w:r>
      <w:r>
        <w:rPr>
          <w:noProof/>
        </w:rPr>
        <w:t xml:space="preserve"> import reliance versus import diversity metrics, partitioned into three spaces.</w:t>
      </w:r>
    </w:p>
    <w:p w14:paraId="39C9BF83" w14:textId="59F3E872" w:rsidR="00125268" w:rsidRPr="0014445F" w:rsidRDefault="00A33168">
      <w:r>
        <w:t xml:space="preserve">Following the premise that import diversity is more important for electricity systems that </w:t>
      </w:r>
      <w:r w:rsidR="003C37DF">
        <w:t xml:space="preserve">rely more heavily on imports, </w:t>
      </w:r>
      <w:r w:rsidR="003F69A5">
        <w:t xml:space="preserve">a third metric is applied that </w:t>
      </w:r>
      <w:r w:rsidR="00572759">
        <w:t>rescales the balancing authority diversity score by its import reliance.</w:t>
      </w:r>
      <w:r w:rsidR="00EA0A10">
        <w:t xml:space="preserve"> Th</w:t>
      </w:r>
      <w:r w:rsidR="00651F29">
        <w:t xml:space="preserve">e </w:t>
      </w:r>
      <w:r w:rsidR="00EA0A10">
        <w:t xml:space="preserve">new joint import reliance-diversity metric </w:t>
      </w:r>
      <w:r w:rsidR="00651F29">
        <w:t>for U.S. BAs is reported in</w:t>
      </w:r>
      <w:r w:rsidR="00C32C83">
        <w:t xml:space="preserve"> Appendix</w:t>
      </w:r>
      <w:r w:rsidR="00651F29">
        <w:t xml:space="preserve"> </w:t>
      </w:r>
      <w:r w:rsidR="00C32C83">
        <w:rPr>
          <w:highlight w:val="yellow"/>
        </w:rPr>
        <w:fldChar w:fldCharType="begin"/>
      </w:r>
      <w:r w:rsidR="00C32C83">
        <w:instrText xml:space="preserve"> REF _Ref179611009 \h </w:instrText>
      </w:r>
      <w:r w:rsidR="00C32C83">
        <w:rPr>
          <w:highlight w:val="yellow"/>
        </w:rPr>
      </w:r>
      <w:r w:rsidR="00C32C83">
        <w:rPr>
          <w:highlight w:val="yellow"/>
        </w:rPr>
        <w:fldChar w:fldCharType="separate"/>
      </w:r>
      <w:r w:rsidR="00C32C83">
        <w:t xml:space="preserve">Table </w:t>
      </w:r>
      <w:r w:rsidR="00C32C83">
        <w:rPr>
          <w:noProof/>
        </w:rPr>
        <w:t>3</w:t>
      </w:r>
      <w:r w:rsidR="00C32C83">
        <w:rPr>
          <w:highlight w:val="yellow"/>
        </w:rPr>
        <w:fldChar w:fldCharType="end"/>
      </w:r>
      <w:r w:rsidR="00816E51">
        <w:t>, which</w:t>
      </w:r>
      <w:r w:rsidR="00CF0537">
        <w:t xml:space="preserve"> is</w:t>
      </w:r>
      <w:r w:rsidR="00816E51">
        <w:t xml:space="preserve"> calculated by simply </w:t>
      </w:r>
      <w:r w:rsidR="00C32C83">
        <w:t xml:space="preserve">multiplying </w:t>
      </w:r>
      <w:r w:rsidR="0073700B">
        <w:t xml:space="preserve">the import reliance value in </w:t>
      </w:r>
      <w:r w:rsidR="00C32C83">
        <w:rPr>
          <w:highlight w:val="yellow"/>
        </w:rPr>
        <w:fldChar w:fldCharType="begin"/>
      </w:r>
      <w:r w:rsidR="00C32C83">
        <w:instrText xml:space="preserve"> REF _Ref177631068 \h </w:instrText>
      </w:r>
      <w:r w:rsidR="00C32C83">
        <w:rPr>
          <w:highlight w:val="yellow"/>
        </w:rPr>
      </w:r>
      <w:r w:rsidR="00C32C83">
        <w:rPr>
          <w:highlight w:val="yellow"/>
        </w:rPr>
        <w:fldChar w:fldCharType="separate"/>
      </w:r>
      <w:r w:rsidR="00C32C83">
        <w:t xml:space="preserve">Table </w:t>
      </w:r>
      <w:r w:rsidR="00C32C83">
        <w:rPr>
          <w:noProof/>
        </w:rPr>
        <w:t>1</w:t>
      </w:r>
      <w:r w:rsidR="00C32C83">
        <w:rPr>
          <w:highlight w:val="yellow"/>
        </w:rPr>
        <w:fldChar w:fldCharType="end"/>
      </w:r>
      <w:r w:rsidR="0073700B">
        <w:t xml:space="preserve"> by import diversity in </w:t>
      </w:r>
      <w:r w:rsidR="00C32C83">
        <w:rPr>
          <w:highlight w:val="yellow"/>
        </w:rPr>
        <w:fldChar w:fldCharType="begin"/>
      </w:r>
      <w:r w:rsidR="00C32C83">
        <w:instrText xml:space="preserve"> REF _Ref179611033 \h </w:instrText>
      </w:r>
      <w:r w:rsidR="00C32C83">
        <w:rPr>
          <w:highlight w:val="yellow"/>
        </w:rPr>
      </w:r>
      <w:r w:rsidR="00C32C83">
        <w:rPr>
          <w:highlight w:val="yellow"/>
        </w:rPr>
        <w:fldChar w:fldCharType="separate"/>
      </w:r>
      <w:r w:rsidR="00C32C83">
        <w:t xml:space="preserve">Table </w:t>
      </w:r>
      <w:r w:rsidR="00C32C83">
        <w:rPr>
          <w:noProof/>
        </w:rPr>
        <w:t>2</w:t>
      </w:r>
      <w:r w:rsidR="00C32C83">
        <w:rPr>
          <w:highlight w:val="yellow"/>
        </w:rPr>
        <w:fldChar w:fldCharType="end"/>
      </w:r>
      <w:r w:rsidR="00FF57E9">
        <w:t>.</w:t>
      </w:r>
      <w:r w:rsidR="00066B07">
        <w:t xml:space="preserve"> The </w:t>
      </w:r>
      <w:r w:rsidR="00CF0537">
        <w:t>balancing authorities</w:t>
      </w:r>
      <w:r w:rsidR="00066B07">
        <w:t xml:space="preserve"> with </w:t>
      </w:r>
      <w:r w:rsidR="00CF0537">
        <w:t xml:space="preserve">the </w:t>
      </w:r>
      <w:r w:rsidR="00066B07">
        <w:t xml:space="preserve">highest </w:t>
      </w:r>
      <w:r w:rsidR="00CF0537">
        <w:t xml:space="preserve">reliance-diversity </w:t>
      </w:r>
      <w:r w:rsidR="00066B07">
        <w:t xml:space="preserve">metric values in </w:t>
      </w:r>
      <w:r w:rsidR="00066B07">
        <w:fldChar w:fldCharType="begin"/>
      </w:r>
      <w:r w:rsidR="00066B07">
        <w:instrText xml:space="preserve"> REF _Ref179611009 \h </w:instrText>
      </w:r>
      <w:r w:rsidR="00066B07">
        <w:fldChar w:fldCharType="separate"/>
      </w:r>
      <w:r w:rsidR="00066B07">
        <w:t xml:space="preserve">Table </w:t>
      </w:r>
      <w:r w:rsidR="00066B07">
        <w:rPr>
          <w:noProof/>
        </w:rPr>
        <w:t>3</w:t>
      </w:r>
      <w:r w:rsidR="00066B07">
        <w:fldChar w:fldCharType="end"/>
      </w:r>
      <w:r w:rsidR="00066B07">
        <w:t xml:space="preserve"> are those in the upper right frontier </w:t>
      </w:r>
      <w:r w:rsidR="00D62C81">
        <w:t xml:space="preserve">of the </w:t>
      </w:r>
      <w:r w:rsidR="00D62C81">
        <w:fldChar w:fldCharType="begin"/>
      </w:r>
      <w:r w:rsidR="00D62C81">
        <w:instrText xml:space="preserve"> REF _Ref179539912 \h </w:instrText>
      </w:r>
      <w:r w:rsidR="00D62C81">
        <w:fldChar w:fldCharType="separate"/>
      </w:r>
      <w:r w:rsidR="00D62C81">
        <w:t xml:space="preserve">Figure </w:t>
      </w:r>
      <w:r w:rsidR="00D62C81">
        <w:rPr>
          <w:noProof/>
        </w:rPr>
        <w:t>3</w:t>
      </w:r>
      <w:r w:rsidR="00D62C81">
        <w:fldChar w:fldCharType="end"/>
      </w:r>
      <w:r w:rsidR="00D62C81">
        <w:t xml:space="preserve"> scatterplot</w:t>
      </w:r>
      <w:r w:rsidR="004D40FC">
        <w:t xml:space="preserve">. These are the </w:t>
      </w:r>
      <w:r w:rsidR="00517E85">
        <w:t xml:space="preserve">balancing authorities </w:t>
      </w:r>
      <w:r w:rsidR="004D40FC">
        <w:t xml:space="preserve">that have </w:t>
      </w:r>
      <w:r w:rsidR="005B0452">
        <w:t>high</w:t>
      </w:r>
      <w:r w:rsidR="007E78D2">
        <w:t xml:space="preserve"> reliance on imports from a diverse set of trading partners, and include California ISO, Tucson Electric Power, </w:t>
      </w:r>
      <w:r w:rsidR="00917797">
        <w:t>PacifiCorp, and Duke.</w:t>
      </w:r>
    </w:p>
    <w:p w14:paraId="1DEA5455" w14:textId="548FE5D7" w:rsidR="00283A0A" w:rsidRPr="009A0C3A" w:rsidRDefault="00FE0A38">
      <w:r w:rsidRPr="009A0C3A">
        <w:t xml:space="preserve">To summarize this analysis of </w:t>
      </w:r>
      <w:r w:rsidR="006E2AF8">
        <w:t xml:space="preserve">electricity </w:t>
      </w:r>
      <w:r w:rsidR="00453D62">
        <w:t xml:space="preserve">import </w:t>
      </w:r>
      <w:r w:rsidR="0052104B" w:rsidRPr="009A0C3A">
        <w:t>metrics across the U.S.</w:t>
      </w:r>
      <w:r w:rsidRPr="009A0C3A">
        <w:t>,</w:t>
      </w:r>
      <w:r w:rsidR="009A0C3A" w:rsidRPr="009A0C3A">
        <w:t xml:space="preserve"> quantifying</w:t>
      </w:r>
      <w:r w:rsidRPr="009A0C3A">
        <w:t xml:space="preserve"> import reliance </w:t>
      </w:r>
      <w:r w:rsidR="009A0C3A" w:rsidRPr="009A0C3A">
        <w:t xml:space="preserve">and diversity </w:t>
      </w:r>
      <w:r w:rsidRPr="009A0C3A">
        <w:t xml:space="preserve">highlights key patterns that can inform understanding of </w:t>
      </w:r>
      <w:r w:rsidR="00C968DF">
        <w:t>a system’s operating risks</w:t>
      </w:r>
      <w:r w:rsidRPr="009A0C3A">
        <w:t xml:space="preserve">. Larger </w:t>
      </w:r>
      <w:r w:rsidR="004B0614">
        <w:t>balancing authorities</w:t>
      </w:r>
      <w:r w:rsidRPr="009A0C3A">
        <w:t xml:space="preserve">, with a wider range of trading partners, tend to have higher diversity scores, and those with high diversity often show lower reliance on imports, indicating strong local supply. However, the value of diversity varies across systems; for </w:t>
      </w:r>
      <w:r w:rsidR="00E458E8">
        <w:t>balancing authorities</w:t>
      </w:r>
      <w:r w:rsidRPr="009A0C3A">
        <w:t xml:space="preserve"> with high import reliance, a diverse set of import sources can be </w:t>
      </w:r>
      <w:r w:rsidR="00E458E8">
        <w:t xml:space="preserve">more important for </w:t>
      </w:r>
      <w:r w:rsidRPr="009A0C3A">
        <w:t xml:space="preserve">maintaining reliability. While the metrics used in this analysis offer a useful means of comparative assessment across balancing authorities, they do not fully capture the complexities of system reliability. Specifically, </w:t>
      </w:r>
      <w:r w:rsidRPr="009A0C3A">
        <w:lastRenderedPageBreak/>
        <w:t>they overlook the role of available imports during periods of extreme demand, especially when considering net demand after accounting for wind and solar variability.</w:t>
      </w:r>
    </w:p>
    <w:p w14:paraId="5D4CB558" w14:textId="45BDF288" w:rsidR="00C62334" w:rsidRDefault="004E3F60" w:rsidP="00E908AB">
      <w:pPr>
        <w:pStyle w:val="Heading1"/>
      </w:pPr>
      <w:r>
        <w:t>Electricity i</w:t>
      </w:r>
      <w:r w:rsidR="00164B3C">
        <w:t>mports during stressful events</w:t>
      </w:r>
    </w:p>
    <w:p w14:paraId="4DAA9823" w14:textId="4C984EB8" w:rsidR="009021B3" w:rsidRDefault="00941331" w:rsidP="009021B3">
      <w:r>
        <w:t>T</w:t>
      </w:r>
      <w:r w:rsidR="00EB58F9">
        <w:t xml:space="preserve">he </w:t>
      </w:r>
      <w:r w:rsidR="00562D10">
        <w:t xml:space="preserve">import reliance and diversity </w:t>
      </w:r>
      <w:r w:rsidR="00EB58F9">
        <w:t>metrics</w:t>
      </w:r>
      <w:r w:rsidR="00C909BA">
        <w:t xml:space="preserve"> </w:t>
      </w:r>
      <w:r>
        <w:t xml:space="preserve">discussed in prior sections </w:t>
      </w:r>
      <w:r w:rsidR="00562D10">
        <w:t>describe conditions across all operating periods</w:t>
      </w:r>
      <w:r w:rsidR="00F370F2">
        <w:t xml:space="preserve">. This section </w:t>
      </w:r>
      <w:r w:rsidR="002B0AC5">
        <w:t xml:space="preserve">analyzes </w:t>
      </w:r>
      <w:r w:rsidR="00693726">
        <w:t>import</w:t>
      </w:r>
      <w:r w:rsidR="003654FF">
        <w:t xml:space="preserve">s </w:t>
      </w:r>
      <w:r w:rsidR="00B570DE">
        <w:t xml:space="preserve">during </w:t>
      </w:r>
      <w:r w:rsidR="004D6B45">
        <w:t xml:space="preserve">periods of high </w:t>
      </w:r>
      <w:r w:rsidR="005D4C80">
        <w:t xml:space="preserve">net </w:t>
      </w:r>
      <w:r w:rsidR="00381A17">
        <w:t>electricity demand</w:t>
      </w:r>
      <w:r w:rsidR="0007205D">
        <w:t xml:space="preserve"> when availability of imports alongside other resources becomes more important</w:t>
      </w:r>
      <w:r w:rsidR="005D4C80">
        <w:t>.</w:t>
      </w:r>
      <w:r w:rsidR="00D14A0E">
        <w:t xml:space="preserve"> Specifically, average import shares for U.S. balancing authorities during hours when net electricity demand is at or above the 95</w:t>
      </w:r>
      <w:r w:rsidR="00D14A0E" w:rsidRPr="00D14A0E">
        <w:rPr>
          <w:vertAlign w:val="superscript"/>
        </w:rPr>
        <w:t>th</w:t>
      </w:r>
      <w:r w:rsidR="00D14A0E">
        <w:t xml:space="preserve"> percentile across are calculated and reported in the </w:t>
      </w:r>
      <w:r w:rsidR="00054FE2">
        <w:t>A</w:t>
      </w:r>
      <w:r w:rsidR="00D14A0E">
        <w:t xml:space="preserve">ppendix </w:t>
      </w:r>
      <w:r w:rsidR="00D14A0E">
        <w:fldChar w:fldCharType="begin"/>
      </w:r>
      <w:r w:rsidR="00D14A0E">
        <w:instrText xml:space="preserve"> REF _Ref183551621 \h </w:instrText>
      </w:r>
      <w:r w:rsidR="00D14A0E">
        <w:fldChar w:fldCharType="separate"/>
      </w:r>
      <w:r w:rsidR="00D14A0E">
        <w:t xml:space="preserve">Table </w:t>
      </w:r>
      <w:r w:rsidR="00D14A0E">
        <w:rPr>
          <w:noProof/>
        </w:rPr>
        <w:t>4</w:t>
      </w:r>
      <w:r w:rsidR="00D14A0E">
        <w:fldChar w:fldCharType="end"/>
      </w:r>
      <w:r w:rsidR="00D14A0E">
        <w:t xml:space="preserve"> .</w:t>
      </w:r>
      <w:r w:rsidR="005D4C80">
        <w:t xml:space="preserve"> Net </w:t>
      </w:r>
      <w:r w:rsidR="00381A17">
        <w:t xml:space="preserve">demand </w:t>
      </w:r>
      <w:r w:rsidR="005D4C80">
        <w:t xml:space="preserve">is </w:t>
      </w:r>
      <w:r w:rsidR="0021255C">
        <w:t xml:space="preserve">used </w:t>
      </w:r>
      <w:r w:rsidR="00381A17">
        <w:t xml:space="preserve">to determine stressful periods </w:t>
      </w:r>
      <w:r w:rsidR="0021255C">
        <w:t>because it represents the</w:t>
      </w:r>
      <w:r w:rsidR="00357C73">
        <w:t xml:space="preserve"> share of demand</w:t>
      </w:r>
      <w:r w:rsidR="001C09DB">
        <w:t xml:space="preserve"> net of variable wind and solar generation</w:t>
      </w:r>
      <w:r w:rsidR="00357C73">
        <w:t xml:space="preserve"> to be served by imports and other dispatchable </w:t>
      </w:r>
      <w:r w:rsidR="001C09DB">
        <w:t>resources.</w:t>
      </w:r>
      <w:r w:rsidR="00295DAD">
        <w:t xml:space="preserve"> High electricity demand is less of a reliability concern during a period of high </w:t>
      </w:r>
      <w:r w:rsidR="008A028B">
        <w:t>variable renewable</w:t>
      </w:r>
      <w:r w:rsidR="00295DAD">
        <w:t xml:space="preserve"> production</w:t>
      </w:r>
      <w:r w:rsidR="00A02411">
        <w:t xml:space="preserve">. </w:t>
      </w:r>
      <w:r w:rsidR="008A028B">
        <w:t xml:space="preserve">For these reasons, grid operators and planners </w:t>
      </w:r>
      <w:r w:rsidR="00575D5D">
        <w:t>o</w:t>
      </w:r>
      <w:r w:rsidR="0002776C">
        <w:t>perators often</w:t>
      </w:r>
      <w:r w:rsidR="0043152C">
        <w:t xml:space="preserve"> focus on net load</w:t>
      </w:r>
      <w:r w:rsidR="008A028B">
        <w:t xml:space="preserve">, especially on systems with growing wind and solar penetrations </w:t>
      </w:r>
      <w:r w:rsidR="00575D5D">
        <w:fldChar w:fldCharType="begin"/>
      </w:r>
      <w:r w:rsidR="00A64E5B">
        <w:instrText xml:space="preserve"> ADDIN ZOTERO_ITEM CSL_CITATION {"citationID":"p9bsgvnj","properties":{"formattedCitation":"[58]","plainCitation":"[58]","noteIndex":0},"citationItems":[{"id":1349,"uris":["http://zotero.org/users/9332412/items/729Q7ZPQ"],"itemData":{"id":1349,"type":"article-journal","abstract":"Integration of wind- and solar-based generation into the electric grid has significantly grown over the past decade and is expected to grow to unprecedented levels in coming years. Several jurisdictions have set high targets for renewable energy integration. While electric grid operators have managed the variable and non-dispatchable nature of wind and solar power at current levels, large-scale integration of these resources would pose new challenges. In particular, the variable nature of wind and solar may lead to new electric grid operation and planning procedures. Net load in electric grids is defined as the conventional load minus the non-dispatchable generation. Net load is the basis of operation planning in day-to-day delivery of electricity to the consumers. With large-scale integration of wind and solar power, the net load in the system would be significantly affected. In this paper, we focus on characteristics of net load in electric grids when a large amount of wind and solar power generation is integrated into the grid. We use the data from California</w:instrText>
      </w:r>
      <w:r w:rsidR="00A64E5B">
        <w:rPr>
          <w:rFonts w:ascii="Arial" w:hAnsi="Arial" w:cs="Arial"/>
        </w:rPr>
        <w:instrText>׳</w:instrText>
      </w:r>
      <w:r w:rsidR="00A64E5B">
        <w:instrText>s power system. California intends to produce 33% of its electricity from renewable resources by 2020, 80% of which is expected to come from wind and solar power. We use both historical data and simulated scenarios of future wind and solar power generation. For future scenarios, we use the data provided by National Renewable Energy Laboratory to generate wind and solar power integration scenarios for years 2018 and 2023. The simulated net load data are analyzed from a variety of perspectives, such as average daily shapes, load and net load factor, duration curves, volatility, and hourly ramps. The results showed that compared to conventional load, characteristics of net load would be significantly different and need to be taken into account when designing measures and mechanisms for operating electric grids with high penetration of renewables.","container-title":"Renewable and Sustainable Energy Reviews","DOI":"10.1016/j.rser.2015.12.287","ISSN":"1364-0321","journalAbbreviation":"Renewable and Sustainable Energy Reviews","page":"761-774","source":"ScienceDirect","title":"Impacts of large-scale wind and solar power integration on California</w:instrText>
      </w:r>
      <w:r w:rsidR="00A64E5B">
        <w:rPr>
          <w:rFonts w:ascii="Arial" w:hAnsi="Arial" w:cs="Arial"/>
        </w:rPr>
        <w:instrText>׳</w:instrText>
      </w:r>
      <w:r w:rsidR="00A64E5B">
        <w:instrText xml:space="preserve">s net electrical load","volume":"58","author":[{"family":"Shaker","given":"Hamid"},{"family":"Zareipour","given":"Hamidreza"},{"family":"Wood","given":"David"}],"issued":{"date-parts":[["2016",5,1]]}}}],"schema":"https://github.com/citation-style-language/schema/raw/master/csl-citation.json"} </w:instrText>
      </w:r>
      <w:r w:rsidR="00575D5D">
        <w:fldChar w:fldCharType="separate"/>
      </w:r>
      <w:r w:rsidR="00A64E5B" w:rsidRPr="00A64E5B">
        <w:t>[58]</w:t>
      </w:r>
      <w:r w:rsidR="00575D5D">
        <w:fldChar w:fldCharType="end"/>
      </w:r>
      <w:r w:rsidR="00295DAD">
        <w:t>.</w:t>
      </w:r>
      <w:r w:rsidR="001C09DB">
        <w:t xml:space="preserve"> </w:t>
      </w:r>
    </w:p>
    <w:p w14:paraId="0D1E61CA" w14:textId="34D18ADD" w:rsidR="00672EC5" w:rsidRDefault="008A028B" w:rsidP="009021B3">
      <w:r>
        <w:t xml:space="preserve">The sample period used to calculate import shares during periods of high demand is </w:t>
      </w:r>
      <w:r w:rsidR="00C77D64">
        <w:t xml:space="preserve">smaller than </w:t>
      </w:r>
      <w:r w:rsidR="00523BCB">
        <w:t xml:space="preserve">the sample used </w:t>
      </w:r>
      <w:r w:rsidR="00C77D64">
        <w:t>in prior sections</w:t>
      </w:r>
      <w:r w:rsidR="00AB2C1A">
        <w:t xml:space="preserve"> of this article</w:t>
      </w:r>
      <w:r w:rsidR="00AE6529">
        <w:t>,</w:t>
      </w:r>
      <w:r w:rsidR="006B1207">
        <w:t xml:space="preserve"> because </w:t>
      </w:r>
      <w:r w:rsidR="000B32BB">
        <w:t xml:space="preserve">hourly </w:t>
      </w:r>
      <w:r w:rsidR="00626E57">
        <w:t xml:space="preserve">data on </w:t>
      </w:r>
      <w:r w:rsidR="006B1207">
        <w:t>technology</w:t>
      </w:r>
      <w:r w:rsidR="00626E57">
        <w:t xml:space="preserve">-level </w:t>
      </w:r>
      <w:r w:rsidR="00226BBD">
        <w:t xml:space="preserve">electric </w:t>
      </w:r>
      <w:r w:rsidR="00626E57">
        <w:t>generation</w:t>
      </w:r>
      <w:r w:rsidR="006B1207">
        <w:t xml:space="preserve"> at the balancing authority level </w:t>
      </w:r>
      <w:r w:rsidR="00BB015D">
        <w:t>is available starting July 1, 2018</w:t>
      </w:r>
      <w:r w:rsidR="00C77D64">
        <w:t>.</w:t>
      </w:r>
      <w:r w:rsidR="001C33DF">
        <w:t xml:space="preserve"> It is interesting to compare</w:t>
      </w:r>
      <w:r w:rsidR="009D79C2">
        <w:t xml:space="preserve"> the difference between</w:t>
      </w:r>
      <w:r w:rsidR="001C33DF">
        <w:t xml:space="preserve"> import shares during </w:t>
      </w:r>
      <w:r w:rsidR="009D79C2">
        <w:t>high net-demand</w:t>
      </w:r>
      <w:r w:rsidR="001C33DF">
        <w:t xml:space="preserve"> periods with average import shares, which </w:t>
      </w:r>
      <w:proofErr w:type="gramStart"/>
      <w:r w:rsidR="001C33DF">
        <w:t>is</w:t>
      </w:r>
      <w:proofErr w:type="gramEnd"/>
      <w:r w:rsidR="001C33DF">
        <w:t xml:space="preserve"> done in </w:t>
      </w:r>
      <w:r w:rsidR="001C33DF">
        <w:fldChar w:fldCharType="begin"/>
      </w:r>
      <w:r w:rsidR="001C33DF">
        <w:instrText xml:space="preserve"> REF _Ref183551621 \h </w:instrText>
      </w:r>
      <w:r w:rsidR="001C33DF">
        <w:fldChar w:fldCharType="separate"/>
      </w:r>
      <w:r w:rsidR="001C33DF">
        <w:t xml:space="preserve">Table </w:t>
      </w:r>
      <w:r w:rsidR="001C33DF">
        <w:rPr>
          <w:noProof/>
        </w:rPr>
        <w:t>4</w:t>
      </w:r>
      <w:r w:rsidR="001C33DF">
        <w:fldChar w:fldCharType="end"/>
      </w:r>
      <w:r w:rsidR="009D79C2">
        <w:t xml:space="preserve"> and plotted in </w:t>
      </w:r>
      <w:r w:rsidR="00672EC5">
        <w:fldChar w:fldCharType="begin"/>
      </w:r>
      <w:r w:rsidR="00672EC5">
        <w:instrText xml:space="preserve"> REF _Ref183554327 \h </w:instrText>
      </w:r>
      <w:r w:rsidR="00672EC5">
        <w:fldChar w:fldCharType="separate"/>
      </w:r>
      <w:r w:rsidR="00672EC5">
        <w:t xml:space="preserve">Figure </w:t>
      </w:r>
      <w:r w:rsidR="00672EC5">
        <w:rPr>
          <w:noProof/>
        </w:rPr>
        <w:t>4</w:t>
      </w:r>
      <w:r w:rsidR="00672EC5">
        <w:fldChar w:fldCharType="end"/>
      </w:r>
      <w:r w:rsidR="00750B40">
        <w:t>. This</w:t>
      </w:r>
      <w:r w:rsidR="008415BE">
        <w:t xml:space="preserve"> shows 21 balancing authorities with a positive difference (e.g. their import shares increase during high net demand periods), and 22 balancing authorities with a negative difference</w:t>
      </w:r>
      <w:r w:rsidR="00672EC5">
        <w:t>.</w:t>
      </w:r>
    </w:p>
    <w:p w14:paraId="2495511F" w14:textId="77777777" w:rsidR="00672EC5" w:rsidRDefault="00672EC5" w:rsidP="00672EC5">
      <w:pPr>
        <w:keepNext/>
      </w:pPr>
      <w:r>
        <w:rPr>
          <w:noProof/>
        </w:rPr>
        <w:drawing>
          <wp:inline distT="0" distB="0" distL="0" distR="0" wp14:anchorId="5EC8D12A" wp14:editId="22239BAE">
            <wp:extent cx="3297555" cy="2709545"/>
            <wp:effectExtent l="0" t="0" r="0" b="0"/>
            <wp:docPr id="906025810" name="Chart 1">
              <a:extLst xmlns:a="http://schemas.openxmlformats.org/drawingml/2006/main">
                <a:ext uri="{FF2B5EF4-FFF2-40B4-BE49-F238E27FC236}">
                  <a16:creationId xmlns:a16="http://schemas.microsoft.com/office/drawing/2014/main" id="{4EB9FA2D-E590-0C81-B94B-9F70C58FB6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EBA6667" w14:textId="55EA8F1B" w:rsidR="00672EC5" w:rsidRDefault="00672EC5" w:rsidP="00672EC5">
      <w:pPr>
        <w:pStyle w:val="Caption"/>
      </w:pPr>
      <w:bookmarkStart w:id="5" w:name="_Ref183554327"/>
      <w:r>
        <w:t xml:space="preserve">Figure </w:t>
      </w:r>
      <w:fldSimple w:instr=" SEQ Figure \* ARABIC ">
        <w:r>
          <w:rPr>
            <w:noProof/>
          </w:rPr>
          <w:t>4</w:t>
        </w:r>
      </w:fldSimple>
      <w:bookmarkEnd w:id="5"/>
      <w:r>
        <w:t xml:space="preserve"> </w:t>
      </w:r>
      <w:r w:rsidRPr="0020742F">
        <w:t>Difference in average import share during high net load periods (&gt;=p95) and average net load across US balancing authorities, 2018-2023</w:t>
      </w:r>
    </w:p>
    <w:p w14:paraId="66F46C49" w14:textId="0A792B45" w:rsidR="009021B3" w:rsidRDefault="001C33DF" w:rsidP="00672EC5">
      <w:r>
        <w:t>Balancing authorities w</w:t>
      </w:r>
      <w:r w:rsidR="009D79C2">
        <w:t xml:space="preserve">ith larger import shares during high net demand periods </w:t>
      </w:r>
      <w:r w:rsidR="006D19CB">
        <w:t xml:space="preserve">were </w:t>
      </w:r>
      <w:r w:rsidR="009D79C2">
        <w:t>able to procure more imports</w:t>
      </w:r>
      <w:r w:rsidR="003268C0">
        <w:t xml:space="preserve"> when resources are most needed.</w:t>
      </w:r>
      <w:r w:rsidR="00672EC5">
        <w:t xml:space="preserve"> The balancing authorities with the largest increase</w:t>
      </w:r>
      <w:r w:rsidR="00EB5E04">
        <w:t>s</w:t>
      </w:r>
      <w:r w:rsidR="00672EC5">
        <w:t xml:space="preserve"> in import shares during high net demand periods include PacifiCorp, Associated Electric </w:t>
      </w:r>
      <w:r w:rsidR="00672EC5">
        <w:lastRenderedPageBreak/>
        <w:t>Coop., Idaho Power Company, Arizona Public Service Company, and Nevada Power Company. All these operators had increases in import shares of 10 percentage points or more during high net-demand periods.</w:t>
      </w:r>
      <w:r w:rsidR="008415BE">
        <w:t xml:space="preserve"> Conversely, balancing authorities with a decrease in average import shares</w:t>
      </w:r>
      <w:r w:rsidR="006F6074">
        <w:t xml:space="preserve"> during high net-demand periods are receiving less imports during periods when electricity supply is most needed. More local supply is required to maintain reliability in these areas during high demand periods to make up for the decrease in electricity imports. </w:t>
      </w:r>
      <w:r w:rsidR="006F6074" w:rsidRPr="006F6074">
        <w:t>These findings highlight the importance of understanding import behavior during high net-demand periods to inform strategies for maintaining reliability across diverse grid conditions.</w:t>
      </w:r>
    </w:p>
    <w:p w14:paraId="0579A69A" w14:textId="1F642F51" w:rsidR="00B544CF" w:rsidRDefault="003B483A" w:rsidP="003B483A">
      <w:pPr>
        <w:pStyle w:val="Heading1"/>
      </w:pPr>
      <w:r>
        <w:t>Conclusion</w:t>
      </w:r>
    </w:p>
    <w:p w14:paraId="12B57691" w14:textId="77777777" w:rsidR="003B483A" w:rsidRPr="003B483A" w:rsidRDefault="003B483A" w:rsidP="003B483A">
      <w:r w:rsidRPr="003B483A">
        <w:t>This study provides a comprehensive analysis of electricity import reliance and diversity across U.S. balancing authorities, shedding light on the interplay between trading relationships, local supply adequacy, and grid reliability. By applying formal metrics, including a diversity index, this research highlights patterns that can inform operating risk assessments and strategic planning. Larger BAs with diverse trading partners generally demonstrate lower import reliance, reflecting the benefits of robust local generation. However, for BAs with high import reliance, diversity of sources is crucial for maintaining reliability, particularly during times of stress.</w:t>
      </w:r>
    </w:p>
    <w:p w14:paraId="56925CC9" w14:textId="77777777" w:rsidR="003B483A" w:rsidRPr="003B483A" w:rsidRDefault="003B483A" w:rsidP="003B483A">
      <w:r w:rsidRPr="003B483A">
        <w:t>While these metrics offer valuable insights, they are not a panacea for evaluating system resilience. They must be complemented by further analyses that account for the temporal dynamics of supply and demand, particularly in the context of renewable energy variability and extreme weather events. Despite these limitations, this study provides a foundational framework for understanding the interdependencies in electricity imports across balancing authorities. By advancing these metrics, future research can refine our understanding of grid reliability in an evolving energy landscape, ensuring that system operators and policymakers are better equipped to manage the challenges of an interconnected grid.</w:t>
      </w:r>
    </w:p>
    <w:p w14:paraId="26712830" w14:textId="77777777" w:rsidR="004E75EE" w:rsidRPr="004E75EE" w:rsidRDefault="004E75EE" w:rsidP="004E75EE">
      <w:pPr>
        <w:sectPr w:rsidR="004E75EE" w:rsidRPr="004E75EE">
          <w:pgSz w:w="12240" w:h="15840"/>
          <w:pgMar w:top="1440" w:right="1440" w:bottom="1440" w:left="1440" w:header="720" w:footer="720" w:gutter="0"/>
          <w:pgNumType w:start="1"/>
          <w:cols w:space="720"/>
        </w:sectPr>
      </w:pPr>
    </w:p>
    <w:p w14:paraId="2122F45C" w14:textId="270B6EB7" w:rsidR="00611F5E" w:rsidRDefault="00C22B21" w:rsidP="00C22B21">
      <w:pPr>
        <w:pStyle w:val="Heading1"/>
      </w:pPr>
      <w:r>
        <w:lastRenderedPageBreak/>
        <w:t>Appendix</w:t>
      </w:r>
    </w:p>
    <w:p w14:paraId="2D9BC250" w14:textId="75A82D3F" w:rsidR="00CD404A" w:rsidRDefault="00055BEF" w:rsidP="006B2BBA">
      <w:pPr>
        <w:pStyle w:val="Caption"/>
        <w:keepNext/>
      </w:pPr>
      <w:bookmarkStart w:id="6" w:name="_Ref177631068"/>
      <w:r>
        <w:t xml:space="preserve">Table </w:t>
      </w:r>
      <w:fldSimple w:instr=" SEQ Table \* ARABIC ">
        <w:r w:rsidR="00630ADB">
          <w:rPr>
            <w:noProof/>
          </w:rPr>
          <w:t>1</w:t>
        </w:r>
      </w:fldSimple>
      <w:bookmarkEnd w:id="6"/>
      <w:r>
        <w:t xml:space="preserve"> Import </w:t>
      </w:r>
      <w:r w:rsidR="005472CA">
        <w:t xml:space="preserve">reliance (net imports divided by domestic consumption) </w:t>
      </w:r>
      <w:r w:rsidR="00423B94">
        <w:t>for</w:t>
      </w:r>
      <w:r>
        <w:t xml:space="preserve"> USA balancing authorit</w:t>
      </w:r>
      <w:r w:rsidR="000D0D91">
        <w:t>ies</w:t>
      </w:r>
      <w:r w:rsidR="001B35E7">
        <w:t xml:space="preserve"> with</w:t>
      </w:r>
      <w:r w:rsidR="000D0D91">
        <w:t xml:space="preserve"> annual average demand &gt;500 MW</w:t>
      </w:r>
      <w:r>
        <w:t>.</w:t>
      </w:r>
    </w:p>
    <w:tbl>
      <w:tblPr>
        <w:tblW w:w="12020" w:type="dxa"/>
        <w:tblLook w:val="04A0" w:firstRow="1" w:lastRow="0" w:firstColumn="1" w:lastColumn="0" w:noHBand="0" w:noVBand="1"/>
      </w:tblPr>
      <w:tblGrid>
        <w:gridCol w:w="6260"/>
        <w:gridCol w:w="669"/>
        <w:gridCol w:w="663"/>
        <w:gridCol w:w="663"/>
        <w:gridCol w:w="663"/>
        <w:gridCol w:w="663"/>
        <w:gridCol w:w="663"/>
        <w:gridCol w:w="663"/>
        <w:gridCol w:w="663"/>
        <w:gridCol w:w="663"/>
      </w:tblGrid>
      <w:tr w:rsidR="006B2BBA" w:rsidRPr="006B2BBA" w14:paraId="7429BF95" w14:textId="77777777" w:rsidTr="006B2BBA">
        <w:trPr>
          <w:trHeight w:val="285"/>
        </w:trPr>
        <w:tc>
          <w:tcPr>
            <w:tcW w:w="6260" w:type="dxa"/>
            <w:tcBorders>
              <w:top w:val="single" w:sz="4" w:space="0" w:color="8ED973"/>
              <w:left w:val="nil"/>
              <w:bottom w:val="single" w:sz="4" w:space="0" w:color="8ED973"/>
              <w:right w:val="nil"/>
            </w:tcBorders>
            <w:shd w:val="clear" w:color="4EA72E" w:fill="4EA72E"/>
            <w:noWrap/>
            <w:vAlign w:val="bottom"/>
            <w:hideMark/>
          </w:tcPr>
          <w:p w14:paraId="24ABFF54"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Name</w:t>
            </w:r>
          </w:p>
        </w:tc>
        <w:tc>
          <w:tcPr>
            <w:tcW w:w="640" w:type="dxa"/>
            <w:tcBorders>
              <w:top w:val="single" w:sz="4" w:space="0" w:color="8ED973"/>
              <w:left w:val="nil"/>
              <w:bottom w:val="single" w:sz="4" w:space="0" w:color="8ED973"/>
              <w:right w:val="nil"/>
            </w:tcBorders>
            <w:shd w:val="clear" w:color="4EA72E" w:fill="4EA72E"/>
            <w:noWrap/>
            <w:vAlign w:val="bottom"/>
            <w:hideMark/>
          </w:tcPr>
          <w:p w14:paraId="756F0DA8"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Total</w:t>
            </w:r>
          </w:p>
        </w:tc>
        <w:tc>
          <w:tcPr>
            <w:tcW w:w="640" w:type="dxa"/>
            <w:tcBorders>
              <w:top w:val="single" w:sz="4" w:space="0" w:color="8ED973"/>
              <w:left w:val="nil"/>
              <w:bottom w:val="single" w:sz="4" w:space="0" w:color="8ED973"/>
              <w:right w:val="nil"/>
            </w:tcBorders>
            <w:shd w:val="clear" w:color="4EA72E" w:fill="4EA72E"/>
            <w:noWrap/>
            <w:vAlign w:val="bottom"/>
            <w:hideMark/>
          </w:tcPr>
          <w:p w14:paraId="406BE58F"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2016</w:t>
            </w:r>
          </w:p>
        </w:tc>
        <w:tc>
          <w:tcPr>
            <w:tcW w:w="640" w:type="dxa"/>
            <w:tcBorders>
              <w:top w:val="single" w:sz="4" w:space="0" w:color="8ED973"/>
              <w:left w:val="nil"/>
              <w:bottom w:val="single" w:sz="4" w:space="0" w:color="8ED973"/>
              <w:right w:val="nil"/>
            </w:tcBorders>
            <w:shd w:val="clear" w:color="4EA72E" w:fill="4EA72E"/>
            <w:noWrap/>
            <w:vAlign w:val="bottom"/>
            <w:hideMark/>
          </w:tcPr>
          <w:p w14:paraId="06527EC9"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2017</w:t>
            </w:r>
          </w:p>
        </w:tc>
        <w:tc>
          <w:tcPr>
            <w:tcW w:w="640" w:type="dxa"/>
            <w:tcBorders>
              <w:top w:val="single" w:sz="4" w:space="0" w:color="8ED973"/>
              <w:left w:val="nil"/>
              <w:bottom w:val="single" w:sz="4" w:space="0" w:color="8ED973"/>
              <w:right w:val="nil"/>
            </w:tcBorders>
            <w:shd w:val="clear" w:color="4EA72E" w:fill="4EA72E"/>
            <w:noWrap/>
            <w:vAlign w:val="bottom"/>
            <w:hideMark/>
          </w:tcPr>
          <w:p w14:paraId="25D6A4B6"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2018</w:t>
            </w:r>
          </w:p>
        </w:tc>
        <w:tc>
          <w:tcPr>
            <w:tcW w:w="640" w:type="dxa"/>
            <w:tcBorders>
              <w:top w:val="single" w:sz="4" w:space="0" w:color="8ED973"/>
              <w:left w:val="nil"/>
              <w:bottom w:val="single" w:sz="4" w:space="0" w:color="8ED973"/>
              <w:right w:val="nil"/>
            </w:tcBorders>
            <w:shd w:val="clear" w:color="4EA72E" w:fill="4EA72E"/>
            <w:noWrap/>
            <w:vAlign w:val="bottom"/>
            <w:hideMark/>
          </w:tcPr>
          <w:p w14:paraId="36799CBB"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2019</w:t>
            </w:r>
          </w:p>
        </w:tc>
        <w:tc>
          <w:tcPr>
            <w:tcW w:w="640" w:type="dxa"/>
            <w:tcBorders>
              <w:top w:val="single" w:sz="4" w:space="0" w:color="8ED973"/>
              <w:left w:val="nil"/>
              <w:bottom w:val="single" w:sz="4" w:space="0" w:color="8ED973"/>
              <w:right w:val="nil"/>
            </w:tcBorders>
            <w:shd w:val="clear" w:color="4EA72E" w:fill="4EA72E"/>
            <w:noWrap/>
            <w:vAlign w:val="bottom"/>
            <w:hideMark/>
          </w:tcPr>
          <w:p w14:paraId="727E77C4"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2020</w:t>
            </w:r>
          </w:p>
        </w:tc>
        <w:tc>
          <w:tcPr>
            <w:tcW w:w="640" w:type="dxa"/>
            <w:tcBorders>
              <w:top w:val="single" w:sz="4" w:space="0" w:color="8ED973"/>
              <w:left w:val="nil"/>
              <w:bottom w:val="single" w:sz="4" w:space="0" w:color="8ED973"/>
              <w:right w:val="nil"/>
            </w:tcBorders>
            <w:shd w:val="clear" w:color="4EA72E" w:fill="4EA72E"/>
            <w:noWrap/>
            <w:vAlign w:val="bottom"/>
            <w:hideMark/>
          </w:tcPr>
          <w:p w14:paraId="78C57F21"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2021</w:t>
            </w:r>
          </w:p>
        </w:tc>
        <w:tc>
          <w:tcPr>
            <w:tcW w:w="640" w:type="dxa"/>
            <w:tcBorders>
              <w:top w:val="single" w:sz="4" w:space="0" w:color="8ED973"/>
              <w:left w:val="nil"/>
              <w:bottom w:val="single" w:sz="4" w:space="0" w:color="8ED973"/>
              <w:right w:val="nil"/>
            </w:tcBorders>
            <w:shd w:val="clear" w:color="4EA72E" w:fill="4EA72E"/>
            <w:noWrap/>
            <w:vAlign w:val="bottom"/>
            <w:hideMark/>
          </w:tcPr>
          <w:p w14:paraId="4BAB089A"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2022</w:t>
            </w:r>
          </w:p>
        </w:tc>
        <w:tc>
          <w:tcPr>
            <w:tcW w:w="640" w:type="dxa"/>
            <w:tcBorders>
              <w:top w:val="single" w:sz="4" w:space="0" w:color="8ED973"/>
              <w:left w:val="nil"/>
              <w:bottom w:val="single" w:sz="4" w:space="0" w:color="8ED973"/>
              <w:right w:val="nil"/>
            </w:tcBorders>
            <w:shd w:val="clear" w:color="4EA72E" w:fill="4EA72E"/>
            <w:noWrap/>
            <w:vAlign w:val="bottom"/>
            <w:hideMark/>
          </w:tcPr>
          <w:p w14:paraId="7B75E045"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2023</w:t>
            </w:r>
          </w:p>
        </w:tc>
      </w:tr>
      <w:tr w:rsidR="006B2BBA" w:rsidRPr="006B2BBA" w14:paraId="48A14977"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00A7B58A"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Portland General Electric Company</w:t>
            </w:r>
          </w:p>
        </w:tc>
        <w:tc>
          <w:tcPr>
            <w:tcW w:w="640" w:type="dxa"/>
            <w:tcBorders>
              <w:top w:val="single" w:sz="4" w:space="0" w:color="8ED973"/>
              <w:left w:val="nil"/>
              <w:bottom w:val="single" w:sz="4" w:space="0" w:color="8ED973"/>
              <w:right w:val="nil"/>
            </w:tcBorders>
            <w:shd w:val="clear" w:color="DAF2D0" w:fill="DAF2D0"/>
            <w:noWrap/>
            <w:vAlign w:val="bottom"/>
            <w:hideMark/>
          </w:tcPr>
          <w:p w14:paraId="3CEC0CB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0.70</w:t>
            </w:r>
          </w:p>
        </w:tc>
        <w:tc>
          <w:tcPr>
            <w:tcW w:w="640" w:type="dxa"/>
            <w:tcBorders>
              <w:top w:val="single" w:sz="4" w:space="0" w:color="8ED973"/>
              <w:left w:val="nil"/>
              <w:bottom w:val="single" w:sz="4" w:space="0" w:color="8ED973"/>
              <w:right w:val="nil"/>
            </w:tcBorders>
            <w:shd w:val="clear" w:color="DAF2D0" w:fill="DAF2D0"/>
            <w:noWrap/>
            <w:vAlign w:val="bottom"/>
            <w:hideMark/>
          </w:tcPr>
          <w:p w14:paraId="46B1321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0.71</w:t>
            </w:r>
          </w:p>
        </w:tc>
        <w:tc>
          <w:tcPr>
            <w:tcW w:w="640" w:type="dxa"/>
            <w:tcBorders>
              <w:top w:val="single" w:sz="4" w:space="0" w:color="8ED973"/>
              <w:left w:val="nil"/>
              <w:bottom w:val="single" w:sz="4" w:space="0" w:color="8ED973"/>
              <w:right w:val="nil"/>
            </w:tcBorders>
            <w:shd w:val="clear" w:color="DAF2D0" w:fill="DAF2D0"/>
            <w:noWrap/>
            <w:vAlign w:val="bottom"/>
            <w:hideMark/>
          </w:tcPr>
          <w:p w14:paraId="16DC28C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0.75</w:t>
            </w:r>
          </w:p>
        </w:tc>
        <w:tc>
          <w:tcPr>
            <w:tcW w:w="640" w:type="dxa"/>
            <w:tcBorders>
              <w:top w:val="single" w:sz="4" w:space="0" w:color="8ED973"/>
              <w:left w:val="nil"/>
              <w:bottom w:val="single" w:sz="4" w:space="0" w:color="8ED973"/>
              <w:right w:val="nil"/>
            </w:tcBorders>
            <w:shd w:val="clear" w:color="DAF2D0" w:fill="DAF2D0"/>
            <w:noWrap/>
            <w:vAlign w:val="bottom"/>
            <w:hideMark/>
          </w:tcPr>
          <w:p w14:paraId="171419A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0.67</w:t>
            </w:r>
          </w:p>
        </w:tc>
        <w:tc>
          <w:tcPr>
            <w:tcW w:w="640" w:type="dxa"/>
            <w:tcBorders>
              <w:top w:val="single" w:sz="4" w:space="0" w:color="8ED973"/>
              <w:left w:val="nil"/>
              <w:bottom w:val="single" w:sz="4" w:space="0" w:color="8ED973"/>
              <w:right w:val="nil"/>
            </w:tcBorders>
            <w:shd w:val="clear" w:color="DAF2D0" w:fill="DAF2D0"/>
            <w:noWrap/>
            <w:vAlign w:val="bottom"/>
            <w:hideMark/>
          </w:tcPr>
          <w:p w14:paraId="7928F59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0.73</w:t>
            </w:r>
          </w:p>
        </w:tc>
        <w:tc>
          <w:tcPr>
            <w:tcW w:w="640" w:type="dxa"/>
            <w:tcBorders>
              <w:top w:val="single" w:sz="4" w:space="0" w:color="8ED973"/>
              <w:left w:val="nil"/>
              <w:bottom w:val="single" w:sz="4" w:space="0" w:color="8ED973"/>
              <w:right w:val="nil"/>
            </w:tcBorders>
            <w:shd w:val="clear" w:color="DAF2D0" w:fill="DAF2D0"/>
            <w:noWrap/>
            <w:vAlign w:val="bottom"/>
            <w:hideMark/>
          </w:tcPr>
          <w:p w14:paraId="33622DC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0.75</w:t>
            </w:r>
          </w:p>
        </w:tc>
        <w:tc>
          <w:tcPr>
            <w:tcW w:w="640" w:type="dxa"/>
            <w:tcBorders>
              <w:top w:val="single" w:sz="4" w:space="0" w:color="8ED973"/>
              <w:left w:val="nil"/>
              <w:bottom w:val="single" w:sz="4" w:space="0" w:color="8ED973"/>
              <w:right w:val="nil"/>
            </w:tcBorders>
            <w:shd w:val="clear" w:color="DAF2D0" w:fill="DAF2D0"/>
            <w:noWrap/>
            <w:vAlign w:val="bottom"/>
            <w:hideMark/>
          </w:tcPr>
          <w:p w14:paraId="5882B3E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0.71</w:t>
            </w:r>
          </w:p>
        </w:tc>
        <w:tc>
          <w:tcPr>
            <w:tcW w:w="640" w:type="dxa"/>
            <w:tcBorders>
              <w:top w:val="single" w:sz="4" w:space="0" w:color="8ED973"/>
              <w:left w:val="nil"/>
              <w:bottom w:val="single" w:sz="4" w:space="0" w:color="8ED973"/>
              <w:right w:val="nil"/>
            </w:tcBorders>
            <w:shd w:val="clear" w:color="DAF2D0" w:fill="DAF2D0"/>
            <w:noWrap/>
            <w:vAlign w:val="bottom"/>
            <w:hideMark/>
          </w:tcPr>
          <w:p w14:paraId="293CC73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0.75</w:t>
            </w:r>
          </w:p>
        </w:tc>
        <w:tc>
          <w:tcPr>
            <w:tcW w:w="640" w:type="dxa"/>
            <w:tcBorders>
              <w:top w:val="single" w:sz="4" w:space="0" w:color="8ED973"/>
              <w:left w:val="nil"/>
              <w:bottom w:val="single" w:sz="4" w:space="0" w:color="8ED973"/>
              <w:right w:val="nil"/>
            </w:tcBorders>
            <w:shd w:val="clear" w:color="DAF2D0" w:fill="DAF2D0"/>
            <w:noWrap/>
            <w:vAlign w:val="bottom"/>
            <w:hideMark/>
          </w:tcPr>
          <w:p w14:paraId="1BB34D1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0.65</w:t>
            </w:r>
          </w:p>
        </w:tc>
      </w:tr>
      <w:tr w:rsidR="006B2BBA" w:rsidRPr="006B2BBA" w14:paraId="25F9640A"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6E8C3976"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Puget Sound Energy, Inc.</w:t>
            </w:r>
          </w:p>
        </w:tc>
        <w:tc>
          <w:tcPr>
            <w:tcW w:w="640" w:type="dxa"/>
            <w:tcBorders>
              <w:top w:val="single" w:sz="4" w:space="0" w:color="8ED973"/>
              <w:left w:val="nil"/>
              <w:bottom w:val="single" w:sz="4" w:space="0" w:color="8ED973"/>
              <w:right w:val="nil"/>
            </w:tcBorders>
            <w:shd w:val="clear" w:color="auto" w:fill="auto"/>
            <w:noWrap/>
            <w:vAlign w:val="bottom"/>
            <w:hideMark/>
          </w:tcPr>
          <w:p w14:paraId="14855EE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0.57</w:t>
            </w:r>
          </w:p>
        </w:tc>
        <w:tc>
          <w:tcPr>
            <w:tcW w:w="640" w:type="dxa"/>
            <w:tcBorders>
              <w:top w:val="single" w:sz="4" w:space="0" w:color="8ED973"/>
              <w:left w:val="nil"/>
              <w:bottom w:val="single" w:sz="4" w:space="0" w:color="8ED973"/>
              <w:right w:val="nil"/>
            </w:tcBorders>
            <w:shd w:val="clear" w:color="auto" w:fill="auto"/>
            <w:noWrap/>
            <w:vAlign w:val="bottom"/>
            <w:hideMark/>
          </w:tcPr>
          <w:p w14:paraId="5B96814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0.47</w:t>
            </w:r>
          </w:p>
        </w:tc>
        <w:tc>
          <w:tcPr>
            <w:tcW w:w="640" w:type="dxa"/>
            <w:tcBorders>
              <w:top w:val="single" w:sz="4" w:space="0" w:color="8ED973"/>
              <w:left w:val="nil"/>
              <w:bottom w:val="single" w:sz="4" w:space="0" w:color="8ED973"/>
              <w:right w:val="nil"/>
            </w:tcBorders>
            <w:shd w:val="clear" w:color="auto" w:fill="auto"/>
            <w:noWrap/>
            <w:vAlign w:val="bottom"/>
            <w:hideMark/>
          </w:tcPr>
          <w:p w14:paraId="37EA9E4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0.51</w:t>
            </w:r>
          </w:p>
        </w:tc>
        <w:tc>
          <w:tcPr>
            <w:tcW w:w="640" w:type="dxa"/>
            <w:tcBorders>
              <w:top w:val="single" w:sz="4" w:space="0" w:color="8ED973"/>
              <w:left w:val="nil"/>
              <w:bottom w:val="single" w:sz="4" w:space="0" w:color="8ED973"/>
              <w:right w:val="nil"/>
            </w:tcBorders>
            <w:shd w:val="clear" w:color="auto" w:fill="auto"/>
            <w:noWrap/>
            <w:vAlign w:val="bottom"/>
            <w:hideMark/>
          </w:tcPr>
          <w:p w14:paraId="3EC775B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0.54</w:t>
            </w:r>
          </w:p>
        </w:tc>
        <w:tc>
          <w:tcPr>
            <w:tcW w:w="640" w:type="dxa"/>
            <w:tcBorders>
              <w:top w:val="single" w:sz="4" w:space="0" w:color="8ED973"/>
              <w:left w:val="nil"/>
              <w:bottom w:val="single" w:sz="4" w:space="0" w:color="8ED973"/>
              <w:right w:val="nil"/>
            </w:tcBorders>
            <w:shd w:val="clear" w:color="auto" w:fill="auto"/>
            <w:noWrap/>
            <w:vAlign w:val="bottom"/>
            <w:hideMark/>
          </w:tcPr>
          <w:p w14:paraId="04FCD35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0.44</w:t>
            </w:r>
          </w:p>
        </w:tc>
        <w:tc>
          <w:tcPr>
            <w:tcW w:w="640" w:type="dxa"/>
            <w:tcBorders>
              <w:top w:val="single" w:sz="4" w:space="0" w:color="8ED973"/>
              <w:left w:val="nil"/>
              <w:bottom w:val="single" w:sz="4" w:space="0" w:color="8ED973"/>
              <w:right w:val="nil"/>
            </w:tcBorders>
            <w:shd w:val="clear" w:color="auto" w:fill="auto"/>
            <w:noWrap/>
            <w:vAlign w:val="bottom"/>
            <w:hideMark/>
          </w:tcPr>
          <w:p w14:paraId="724477D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0.30</w:t>
            </w:r>
          </w:p>
        </w:tc>
        <w:tc>
          <w:tcPr>
            <w:tcW w:w="640" w:type="dxa"/>
            <w:tcBorders>
              <w:top w:val="single" w:sz="4" w:space="0" w:color="8ED973"/>
              <w:left w:val="nil"/>
              <w:bottom w:val="single" w:sz="4" w:space="0" w:color="8ED973"/>
              <w:right w:val="nil"/>
            </w:tcBorders>
            <w:shd w:val="clear" w:color="auto" w:fill="auto"/>
            <w:noWrap/>
            <w:vAlign w:val="bottom"/>
            <w:hideMark/>
          </w:tcPr>
          <w:p w14:paraId="47B7292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0.73</w:t>
            </w:r>
          </w:p>
        </w:tc>
        <w:tc>
          <w:tcPr>
            <w:tcW w:w="640" w:type="dxa"/>
            <w:tcBorders>
              <w:top w:val="single" w:sz="4" w:space="0" w:color="8ED973"/>
              <w:left w:val="nil"/>
              <w:bottom w:val="single" w:sz="4" w:space="0" w:color="8ED973"/>
              <w:right w:val="nil"/>
            </w:tcBorders>
            <w:shd w:val="clear" w:color="auto" w:fill="auto"/>
            <w:noWrap/>
            <w:vAlign w:val="bottom"/>
            <w:hideMark/>
          </w:tcPr>
          <w:p w14:paraId="58B2D5A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0.79</w:t>
            </w:r>
          </w:p>
        </w:tc>
        <w:tc>
          <w:tcPr>
            <w:tcW w:w="640" w:type="dxa"/>
            <w:tcBorders>
              <w:top w:val="single" w:sz="4" w:space="0" w:color="8ED973"/>
              <w:left w:val="nil"/>
              <w:bottom w:val="single" w:sz="4" w:space="0" w:color="8ED973"/>
              <w:right w:val="nil"/>
            </w:tcBorders>
            <w:shd w:val="clear" w:color="auto" w:fill="auto"/>
            <w:noWrap/>
            <w:vAlign w:val="bottom"/>
            <w:hideMark/>
          </w:tcPr>
          <w:p w14:paraId="5FBB0D4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0.68</w:t>
            </w:r>
          </w:p>
        </w:tc>
      </w:tr>
      <w:tr w:rsidR="006B2BBA" w:rsidRPr="006B2BBA" w14:paraId="2608C5CF"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6B7FA826"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City of Tacoma, Department of Public Utilities, Light Division</w:t>
            </w:r>
          </w:p>
        </w:tc>
        <w:tc>
          <w:tcPr>
            <w:tcW w:w="640" w:type="dxa"/>
            <w:tcBorders>
              <w:top w:val="single" w:sz="4" w:space="0" w:color="8ED973"/>
              <w:left w:val="nil"/>
              <w:bottom w:val="single" w:sz="4" w:space="0" w:color="8ED973"/>
              <w:right w:val="nil"/>
            </w:tcBorders>
            <w:shd w:val="clear" w:color="DAF2D0" w:fill="DAF2D0"/>
            <w:noWrap/>
            <w:vAlign w:val="bottom"/>
            <w:hideMark/>
          </w:tcPr>
          <w:p w14:paraId="1B62B5D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0.48</w:t>
            </w:r>
          </w:p>
        </w:tc>
        <w:tc>
          <w:tcPr>
            <w:tcW w:w="640" w:type="dxa"/>
            <w:tcBorders>
              <w:top w:val="single" w:sz="4" w:space="0" w:color="8ED973"/>
              <w:left w:val="nil"/>
              <w:bottom w:val="single" w:sz="4" w:space="0" w:color="8ED973"/>
              <w:right w:val="nil"/>
            </w:tcBorders>
            <w:shd w:val="clear" w:color="DAF2D0" w:fill="DAF2D0"/>
            <w:noWrap/>
            <w:vAlign w:val="bottom"/>
            <w:hideMark/>
          </w:tcPr>
          <w:p w14:paraId="34E5B7B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0.36</w:t>
            </w:r>
          </w:p>
        </w:tc>
        <w:tc>
          <w:tcPr>
            <w:tcW w:w="640" w:type="dxa"/>
            <w:tcBorders>
              <w:top w:val="single" w:sz="4" w:space="0" w:color="8ED973"/>
              <w:left w:val="nil"/>
              <w:bottom w:val="single" w:sz="4" w:space="0" w:color="8ED973"/>
              <w:right w:val="nil"/>
            </w:tcBorders>
            <w:shd w:val="clear" w:color="DAF2D0" w:fill="DAF2D0"/>
            <w:noWrap/>
            <w:vAlign w:val="bottom"/>
            <w:hideMark/>
          </w:tcPr>
          <w:p w14:paraId="6BC5C86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0.38</w:t>
            </w:r>
          </w:p>
        </w:tc>
        <w:tc>
          <w:tcPr>
            <w:tcW w:w="640" w:type="dxa"/>
            <w:tcBorders>
              <w:top w:val="single" w:sz="4" w:space="0" w:color="8ED973"/>
              <w:left w:val="nil"/>
              <w:bottom w:val="single" w:sz="4" w:space="0" w:color="8ED973"/>
              <w:right w:val="nil"/>
            </w:tcBorders>
            <w:shd w:val="clear" w:color="DAF2D0" w:fill="DAF2D0"/>
            <w:noWrap/>
            <w:vAlign w:val="bottom"/>
            <w:hideMark/>
          </w:tcPr>
          <w:p w14:paraId="1DA74C2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0.51</w:t>
            </w:r>
          </w:p>
        </w:tc>
        <w:tc>
          <w:tcPr>
            <w:tcW w:w="640" w:type="dxa"/>
            <w:tcBorders>
              <w:top w:val="single" w:sz="4" w:space="0" w:color="8ED973"/>
              <w:left w:val="nil"/>
              <w:bottom w:val="single" w:sz="4" w:space="0" w:color="8ED973"/>
              <w:right w:val="nil"/>
            </w:tcBorders>
            <w:shd w:val="clear" w:color="DAF2D0" w:fill="DAF2D0"/>
            <w:noWrap/>
            <w:vAlign w:val="bottom"/>
            <w:hideMark/>
          </w:tcPr>
          <w:p w14:paraId="36222BF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0.67</w:t>
            </w:r>
          </w:p>
        </w:tc>
        <w:tc>
          <w:tcPr>
            <w:tcW w:w="640" w:type="dxa"/>
            <w:tcBorders>
              <w:top w:val="single" w:sz="4" w:space="0" w:color="8ED973"/>
              <w:left w:val="nil"/>
              <w:bottom w:val="single" w:sz="4" w:space="0" w:color="8ED973"/>
              <w:right w:val="nil"/>
            </w:tcBorders>
            <w:shd w:val="clear" w:color="DAF2D0" w:fill="DAF2D0"/>
            <w:noWrap/>
            <w:vAlign w:val="bottom"/>
            <w:hideMark/>
          </w:tcPr>
          <w:p w14:paraId="57FCB55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0.45</w:t>
            </w:r>
          </w:p>
        </w:tc>
        <w:tc>
          <w:tcPr>
            <w:tcW w:w="640" w:type="dxa"/>
            <w:tcBorders>
              <w:top w:val="single" w:sz="4" w:space="0" w:color="8ED973"/>
              <w:left w:val="nil"/>
              <w:bottom w:val="single" w:sz="4" w:space="0" w:color="8ED973"/>
              <w:right w:val="nil"/>
            </w:tcBorders>
            <w:shd w:val="clear" w:color="DAF2D0" w:fill="DAF2D0"/>
            <w:noWrap/>
            <w:vAlign w:val="bottom"/>
            <w:hideMark/>
          </w:tcPr>
          <w:p w14:paraId="14C5769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0.46</w:t>
            </w:r>
          </w:p>
        </w:tc>
        <w:tc>
          <w:tcPr>
            <w:tcW w:w="640" w:type="dxa"/>
            <w:tcBorders>
              <w:top w:val="single" w:sz="4" w:space="0" w:color="8ED973"/>
              <w:left w:val="nil"/>
              <w:bottom w:val="single" w:sz="4" w:space="0" w:color="8ED973"/>
              <w:right w:val="nil"/>
            </w:tcBorders>
            <w:shd w:val="clear" w:color="DAF2D0" w:fill="DAF2D0"/>
            <w:noWrap/>
            <w:vAlign w:val="bottom"/>
            <w:hideMark/>
          </w:tcPr>
          <w:p w14:paraId="76634A3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0.45</w:t>
            </w:r>
          </w:p>
        </w:tc>
        <w:tc>
          <w:tcPr>
            <w:tcW w:w="640" w:type="dxa"/>
            <w:tcBorders>
              <w:top w:val="single" w:sz="4" w:space="0" w:color="8ED973"/>
              <w:left w:val="nil"/>
              <w:bottom w:val="single" w:sz="4" w:space="0" w:color="8ED973"/>
              <w:right w:val="nil"/>
            </w:tcBorders>
            <w:shd w:val="clear" w:color="DAF2D0" w:fill="DAF2D0"/>
            <w:noWrap/>
            <w:vAlign w:val="bottom"/>
            <w:hideMark/>
          </w:tcPr>
          <w:p w14:paraId="5A23AF4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0.58</w:t>
            </w:r>
          </w:p>
        </w:tc>
      </w:tr>
      <w:tr w:rsidR="006B2BBA" w:rsidRPr="006B2BBA" w14:paraId="5841B1FE"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39996FD0"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El Paso Electric Company</w:t>
            </w:r>
          </w:p>
        </w:tc>
        <w:tc>
          <w:tcPr>
            <w:tcW w:w="640" w:type="dxa"/>
            <w:tcBorders>
              <w:top w:val="single" w:sz="4" w:space="0" w:color="8ED973"/>
              <w:left w:val="nil"/>
              <w:bottom w:val="single" w:sz="4" w:space="0" w:color="8ED973"/>
              <w:right w:val="nil"/>
            </w:tcBorders>
            <w:shd w:val="clear" w:color="auto" w:fill="auto"/>
            <w:noWrap/>
            <w:vAlign w:val="bottom"/>
            <w:hideMark/>
          </w:tcPr>
          <w:p w14:paraId="4E6361B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0.44</w:t>
            </w:r>
          </w:p>
        </w:tc>
        <w:tc>
          <w:tcPr>
            <w:tcW w:w="640" w:type="dxa"/>
            <w:tcBorders>
              <w:top w:val="single" w:sz="4" w:space="0" w:color="8ED973"/>
              <w:left w:val="nil"/>
              <w:bottom w:val="single" w:sz="4" w:space="0" w:color="8ED973"/>
              <w:right w:val="nil"/>
            </w:tcBorders>
            <w:shd w:val="clear" w:color="auto" w:fill="auto"/>
            <w:noWrap/>
            <w:vAlign w:val="bottom"/>
            <w:hideMark/>
          </w:tcPr>
          <w:p w14:paraId="55A7A90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0.55</w:t>
            </w:r>
          </w:p>
        </w:tc>
        <w:tc>
          <w:tcPr>
            <w:tcW w:w="640" w:type="dxa"/>
            <w:tcBorders>
              <w:top w:val="single" w:sz="4" w:space="0" w:color="8ED973"/>
              <w:left w:val="nil"/>
              <w:bottom w:val="single" w:sz="4" w:space="0" w:color="8ED973"/>
              <w:right w:val="nil"/>
            </w:tcBorders>
            <w:shd w:val="clear" w:color="auto" w:fill="auto"/>
            <w:noWrap/>
            <w:vAlign w:val="bottom"/>
            <w:hideMark/>
          </w:tcPr>
          <w:p w14:paraId="1C0D4B3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0.52</w:t>
            </w:r>
          </w:p>
        </w:tc>
        <w:tc>
          <w:tcPr>
            <w:tcW w:w="640" w:type="dxa"/>
            <w:tcBorders>
              <w:top w:val="single" w:sz="4" w:space="0" w:color="8ED973"/>
              <w:left w:val="nil"/>
              <w:bottom w:val="single" w:sz="4" w:space="0" w:color="8ED973"/>
              <w:right w:val="nil"/>
            </w:tcBorders>
            <w:shd w:val="clear" w:color="auto" w:fill="auto"/>
            <w:noWrap/>
            <w:vAlign w:val="bottom"/>
            <w:hideMark/>
          </w:tcPr>
          <w:p w14:paraId="450A46C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0.39</w:t>
            </w:r>
          </w:p>
        </w:tc>
        <w:tc>
          <w:tcPr>
            <w:tcW w:w="640" w:type="dxa"/>
            <w:tcBorders>
              <w:top w:val="single" w:sz="4" w:space="0" w:color="8ED973"/>
              <w:left w:val="nil"/>
              <w:bottom w:val="single" w:sz="4" w:space="0" w:color="8ED973"/>
              <w:right w:val="nil"/>
            </w:tcBorders>
            <w:shd w:val="clear" w:color="auto" w:fill="auto"/>
            <w:noWrap/>
            <w:vAlign w:val="bottom"/>
            <w:hideMark/>
          </w:tcPr>
          <w:p w14:paraId="36493D8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0.36</w:t>
            </w:r>
          </w:p>
        </w:tc>
        <w:tc>
          <w:tcPr>
            <w:tcW w:w="640" w:type="dxa"/>
            <w:tcBorders>
              <w:top w:val="single" w:sz="4" w:space="0" w:color="8ED973"/>
              <w:left w:val="nil"/>
              <w:bottom w:val="single" w:sz="4" w:space="0" w:color="8ED973"/>
              <w:right w:val="nil"/>
            </w:tcBorders>
            <w:shd w:val="clear" w:color="auto" w:fill="auto"/>
            <w:noWrap/>
            <w:vAlign w:val="bottom"/>
            <w:hideMark/>
          </w:tcPr>
          <w:p w14:paraId="32CAD8C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0.42</w:t>
            </w:r>
          </w:p>
        </w:tc>
        <w:tc>
          <w:tcPr>
            <w:tcW w:w="640" w:type="dxa"/>
            <w:tcBorders>
              <w:top w:val="single" w:sz="4" w:space="0" w:color="8ED973"/>
              <w:left w:val="nil"/>
              <w:bottom w:val="single" w:sz="4" w:space="0" w:color="8ED973"/>
              <w:right w:val="nil"/>
            </w:tcBorders>
            <w:shd w:val="clear" w:color="auto" w:fill="auto"/>
            <w:noWrap/>
            <w:vAlign w:val="bottom"/>
            <w:hideMark/>
          </w:tcPr>
          <w:p w14:paraId="2AEA6D7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0.44</w:t>
            </w:r>
          </w:p>
        </w:tc>
        <w:tc>
          <w:tcPr>
            <w:tcW w:w="640" w:type="dxa"/>
            <w:tcBorders>
              <w:top w:val="single" w:sz="4" w:space="0" w:color="8ED973"/>
              <w:left w:val="nil"/>
              <w:bottom w:val="single" w:sz="4" w:space="0" w:color="8ED973"/>
              <w:right w:val="nil"/>
            </w:tcBorders>
            <w:shd w:val="clear" w:color="auto" w:fill="auto"/>
            <w:noWrap/>
            <w:vAlign w:val="bottom"/>
            <w:hideMark/>
          </w:tcPr>
          <w:p w14:paraId="7E75F95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0.46</w:t>
            </w:r>
          </w:p>
        </w:tc>
        <w:tc>
          <w:tcPr>
            <w:tcW w:w="640" w:type="dxa"/>
            <w:tcBorders>
              <w:top w:val="single" w:sz="4" w:space="0" w:color="8ED973"/>
              <w:left w:val="nil"/>
              <w:bottom w:val="single" w:sz="4" w:space="0" w:color="8ED973"/>
              <w:right w:val="nil"/>
            </w:tcBorders>
            <w:shd w:val="clear" w:color="auto" w:fill="auto"/>
            <w:noWrap/>
            <w:vAlign w:val="bottom"/>
            <w:hideMark/>
          </w:tcPr>
          <w:p w14:paraId="0EEA942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0.36</w:t>
            </w:r>
          </w:p>
        </w:tc>
      </w:tr>
      <w:tr w:rsidR="006B2BBA" w:rsidRPr="006B2BBA" w14:paraId="73A6918E"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6B564EB6"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Duke Energy Progress West</w:t>
            </w:r>
          </w:p>
        </w:tc>
        <w:tc>
          <w:tcPr>
            <w:tcW w:w="640" w:type="dxa"/>
            <w:tcBorders>
              <w:top w:val="single" w:sz="4" w:space="0" w:color="8ED973"/>
              <w:left w:val="nil"/>
              <w:bottom w:val="single" w:sz="4" w:space="0" w:color="8ED973"/>
              <w:right w:val="nil"/>
            </w:tcBorders>
            <w:shd w:val="clear" w:color="DAF2D0" w:fill="DAF2D0"/>
            <w:noWrap/>
            <w:vAlign w:val="bottom"/>
            <w:hideMark/>
          </w:tcPr>
          <w:p w14:paraId="69169C7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0.42</w:t>
            </w:r>
          </w:p>
        </w:tc>
        <w:tc>
          <w:tcPr>
            <w:tcW w:w="640" w:type="dxa"/>
            <w:tcBorders>
              <w:top w:val="single" w:sz="4" w:space="0" w:color="8ED973"/>
              <w:left w:val="nil"/>
              <w:bottom w:val="single" w:sz="4" w:space="0" w:color="8ED973"/>
              <w:right w:val="nil"/>
            </w:tcBorders>
            <w:shd w:val="clear" w:color="DAF2D0" w:fill="DAF2D0"/>
            <w:noWrap/>
            <w:vAlign w:val="bottom"/>
            <w:hideMark/>
          </w:tcPr>
          <w:p w14:paraId="237D874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0.64</w:t>
            </w:r>
          </w:p>
        </w:tc>
        <w:tc>
          <w:tcPr>
            <w:tcW w:w="640" w:type="dxa"/>
            <w:tcBorders>
              <w:top w:val="single" w:sz="4" w:space="0" w:color="8ED973"/>
              <w:left w:val="nil"/>
              <w:bottom w:val="single" w:sz="4" w:space="0" w:color="8ED973"/>
              <w:right w:val="nil"/>
            </w:tcBorders>
            <w:shd w:val="clear" w:color="DAF2D0" w:fill="DAF2D0"/>
            <w:noWrap/>
            <w:vAlign w:val="bottom"/>
            <w:hideMark/>
          </w:tcPr>
          <w:p w14:paraId="21BB86E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0.66</w:t>
            </w:r>
          </w:p>
        </w:tc>
        <w:tc>
          <w:tcPr>
            <w:tcW w:w="640" w:type="dxa"/>
            <w:tcBorders>
              <w:top w:val="single" w:sz="4" w:space="0" w:color="8ED973"/>
              <w:left w:val="nil"/>
              <w:bottom w:val="single" w:sz="4" w:space="0" w:color="8ED973"/>
              <w:right w:val="nil"/>
            </w:tcBorders>
            <w:shd w:val="clear" w:color="DAF2D0" w:fill="DAF2D0"/>
            <w:noWrap/>
            <w:vAlign w:val="bottom"/>
            <w:hideMark/>
          </w:tcPr>
          <w:p w14:paraId="3233638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0.56</w:t>
            </w:r>
          </w:p>
        </w:tc>
        <w:tc>
          <w:tcPr>
            <w:tcW w:w="640" w:type="dxa"/>
            <w:tcBorders>
              <w:top w:val="single" w:sz="4" w:space="0" w:color="8ED973"/>
              <w:left w:val="nil"/>
              <w:bottom w:val="single" w:sz="4" w:space="0" w:color="8ED973"/>
              <w:right w:val="nil"/>
            </w:tcBorders>
            <w:shd w:val="clear" w:color="DAF2D0" w:fill="DAF2D0"/>
            <w:noWrap/>
            <w:vAlign w:val="bottom"/>
            <w:hideMark/>
          </w:tcPr>
          <w:p w14:paraId="787CEA9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0.58</w:t>
            </w:r>
          </w:p>
        </w:tc>
        <w:tc>
          <w:tcPr>
            <w:tcW w:w="640" w:type="dxa"/>
            <w:tcBorders>
              <w:top w:val="single" w:sz="4" w:space="0" w:color="8ED973"/>
              <w:left w:val="nil"/>
              <w:bottom w:val="single" w:sz="4" w:space="0" w:color="8ED973"/>
              <w:right w:val="nil"/>
            </w:tcBorders>
            <w:shd w:val="clear" w:color="DAF2D0" w:fill="DAF2D0"/>
            <w:noWrap/>
            <w:vAlign w:val="bottom"/>
            <w:hideMark/>
          </w:tcPr>
          <w:p w14:paraId="6B40421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0.26</w:t>
            </w:r>
          </w:p>
        </w:tc>
        <w:tc>
          <w:tcPr>
            <w:tcW w:w="640" w:type="dxa"/>
            <w:tcBorders>
              <w:top w:val="single" w:sz="4" w:space="0" w:color="8ED973"/>
              <w:left w:val="nil"/>
              <w:bottom w:val="single" w:sz="4" w:space="0" w:color="8ED973"/>
              <w:right w:val="nil"/>
            </w:tcBorders>
            <w:shd w:val="clear" w:color="DAF2D0" w:fill="DAF2D0"/>
            <w:noWrap/>
            <w:vAlign w:val="bottom"/>
            <w:hideMark/>
          </w:tcPr>
          <w:p w14:paraId="1B34AF8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0.19</w:t>
            </w:r>
          </w:p>
        </w:tc>
        <w:tc>
          <w:tcPr>
            <w:tcW w:w="640" w:type="dxa"/>
            <w:tcBorders>
              <w:top w:val="single" w:sz="4" w:space="0" w:color="8ED973"/>
              <w:left w:val="nil"/>
              <w:bottom w:val="single" w:sz="4" w:space="0" w:color="8ED973"/>
              <w:right w:val="nil"/>
            </w:tcBorders>
            <w:shd w:val="clear" w:color="DAF2D0" w:fill="DAF2D0"/>
            <w:noWrap/>
            <w:vAlign w:val="bottom"/>
            <w:hideMark/>
          </w:tcPr>
          <w:p w14:paraId="4F3F481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0.19</w:t>
            </w:r>
          </w:p>
        </w:tc>
        <w:tc>
          <w:tcPr>
            <w:tcW w:w="640" w:type="dxa"/>
            <w:tcBorders>
              <w:top w:val="single" w:sz="4" w:space="0" w:color="8ED973"/>
              <w:left w:val="nil"/>
              <w:bottom w:val="single" w:sz="4" w:space="0" w:color="8ED973"/>
              <w:right w:val="nil"/>
            </w:tcBorders>
            <w:shd w:val="clear" w:color="DAF2D0" w:fill="DAF2D0"/>
            <w:noWrap/>
            <w:vAlign w:val="bottom"/>
            <w:hideMark/>
          </w:tcPr>
          <w:p w14:paraId="49BD064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r>
      <w:tr w:rsidR="006B2BBA" w:rsidRPr="006B2BBA" w14:paraId="03B241B9"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582AE487"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Avista Corporation</w:t>
            </w:r>
          </w:p>
        </w:tc>
        <w:tc>
          <w:tcPr>
            <w:tcW w:w="640" w:type="dxa"/>
            <w:tcBorders>
              <w:top w:val="single" w:sz="4" w:space="0" w:color="8ED973"/>
              <w:left w:val="nil"/>
              <w:bottom w:val="single" w:sz="4" w:space="0" w:color="8ED973"/>
              <w:right w:val="nil"/>
            </w:tcBorders>
            <w:shd w:val="clear" w:color="auto" w:fill="auto"/>
            <w:noWrap/>
            <w:vAlign w:val="bottom"/>
            <w:hideMark/>
          </w:tcPr>
          <w:p w14:paraId="008DF74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c>
          <w:tcPr>
            <w:tcW w:w="640" w:type="dxa"/>
            <w:tcBorders>
              <w:top w:val="single" w:sz="4" w:space="0" w:color="8ED973"/>
              <w:left w:val="nil"/>
              <w:bottom w:val="single" w:sz="4" w:space="0" w:color="8ED973"/>
              <w:right w:val="nil"/>
            </w:tcBorders>
            <w:shd w:val="clear" w:color="auto" w:fill="auto"/>
            <w:noWrap/>
            <w:vAlign w:val="bottom"/>
            <w:hideMark/>
          </w:tcPr>
          <w:p w14:paraId="6153DEF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0.43</w:t>
            </w:r>
          </w:p>
        </w:tc>
        <w:tc>
          <w:tcPr>
            <w:tcW w:w="640" w:type="dxa"/>
            <w:tcBorders>
              <w:top w:val="single" w:sz="4" w:space="0" w:color="8ED973"/>
              <w:left w:val="nil"/>
              <w:bottom w:val="single" w:sz="4" w:space="0" w:color="8ED973"/>
              <w:right w:val="nil"/>
            </w:tcBorders>
            <w:shd w:val="clear" w:color="auto" w:fill="auto"/>
            <w:noWrap/>
            <w:vAlign w:val="bottom"/>
            <w:hideMark/>
          </w:tcPr>
          <w:p w14:paraId="699CAB5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0.46</w:t>
            </w:r>
          </w:p>
        </w:tc>
        <w:tc>
          <w:tcPr>
            <w:tcW w:w="640" w:type="dxa"/>
            <w:tcBorders>
              <w:top w:val="single" w:sz="4" w:space="0" w:color="8ED973"/>
              <w:left w:val="nil"/>
              <w:bottom w:val="single" w:sz="4" w:space="0" w:color="8ED973"/>
              <w:right w:val="nil"/>
            </w:tcBorders>
            <w:shd w:val="clear" w:color="auto" w:fill="auto"/>
            <w:noWrap/>
            <w:vAlign w:val="bottom"/>
            <w:hideMark/>
          </w:tcPr>
          <w:p w14:paraId="3A658A6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c>
          <w:tcPr>
            <w:tcW w:w="640" w:type="dxa"/>
            <w:tcBorders>
              <w:top w:val="single" w:sz="4" w:space="0" w:color="8ED973"/>
              <w:left w:val="nil"/>
              <w:bottom w:val="single" w:sz="4" w:space="0" w:color="8ED973"/>
              <w:right w:val="nil"/>
            </w:tcBorders>
            <w:shd w:val="clear" w:color="auto" w:fill="auto"/>
            <w:noWrap/>
            <w:vAlign w:val="bottom"/>
            <w:hideMark/>
          </w:tcPr>
          <w:p w14:paraId="647BB04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c>
          <w:tcPr>
            <w:tcW w:w="640" w:type="dxa"/>
            <w:tcBorders>
              <w:top w:val="single" w:sz="4" w:space="0" w:color="8ED973"/>
              <w:left w:val="nil"/>
              <w:bottom w:val="single" w:sz="4" w:space="0" w:color="8ED973"/>
              <w:right w:val="nil"/>
            </w:tcBorders>
            <w:shd w:val="clear" w:color="auto" w:fill="auto"/>
            <w:noWrap/>
            <w:vAlign w:val="bottom"/>
            <w:hideMark/>
          </w:tcPr>
          <w:p w14:paraId="7825FD8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0.35</w:t>
            </w:r>
          </w:p>
        </w:tc>
        <w:tc>
          <w:tcPr>
            <w:tcW w:w="640" w:type="dxa"/>
            <w:tcBorders>
              <w:top w:val="single" w:sz="4" w:space="0" w:color="8ED973"/>
              <w:left w:val="nil"/>
              <w:bottom w:val="single" w:sz="4" w:space="0" w:color="8ED973"/>
              <w:right w:val="nil"/>
            </w:tcBorders>
            <w:shd w:val="clear" w:color="auto" w:fill="auto"/>
            <w:noWrap/>
            <w:vAlign w:val="bottom"/>
            <w:hideMark/>
          </w:tcPr>
          <w:p w14:paraId="647C72F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0.33</w:t>
            </w:r>
          </w:p>
        </w:tc>
        <w:tc>
          <w:tcPr>
            <w:tcW w:w="640" w:type="dxa"/>
            <w:tcBorders>
              <w:top w:val="single" w:sz="4" w:space="0" w:color="8ED973"/>
              <w:left w:val="nil"/>
              <w:bottom w:val="single" w:sz="4" w:space="0" w:color="8ED973"/>
              <w:right w:val="nil"/>
            </w:tcBorders>
            <w:shd w:val="clear" w:color="auto" w:fill="auto"/>
            <w:noWrap/>
            <w:vAlign w:val="bottom"/>
            <w:hideMark/>
          </w:tcPr>
          <w:p w14:paraId="15546EC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0.36</w:t>
            </w:r>
          </w:p>
        </w:tc>
        <w:tc>
          <w:tcPr>
            <w:tcW w:w="640" w:type="dxa"/>
            <w:tcBorders>
              <w:top w:val="single" w:sz="4" w:space="0" w:color="8ED973"/>
              <w:left w:val="nil"/>
              <w:bottom w:val="single" w:sz="4" w:space="0" w:color="8ED973"/>
              <w:right w:val="nil"/>
            </w:tcBorders>
            <w:shd w:val="clear" w:color="auto" w:fill="auto"/>
            <w:noWrap/>
            <w:vAlign w:val="bottom"/>
            <w:hideMark/>
          </w:tcPr>
          <w:p w14:paraId="632B002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0.38</w:t>
            </w:r>
          </w:p>
        </w:tc>
      </w:tr>
      <w:tr w:rsidR="006B2BBA" w:rsidRPr="006B2BBA" w14:paraId="08C9AC03"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68901059"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Seattle City Light</w:t>
            </w:r>
          </w:p>
        </w:tc>
        <w:tc>
          <w:tcPr>
            <w:tcW w:w="640" w:type="dxa"/>
            <w:tcBorders>
              <w:top w:val="single" w:sz="4" w:space="0" w:color="8ED973"/>
              <w:left w:val="nil"/>
              <w:bottom w:val="single" w:sz="4" w:space="0" w:color="8ED973"/>
              <w:right w:val="nil"/>
            </w:tcBorders>
            <w:shd w:val="clear" w:color="DAF2D0" w:fill="DAF2D0"/>
            <w:noWrap/>
            <w:vAlign w:val="bottom"/>
            <w:hideMark/>
          </w:tcPr>
          <w:p w14:paraId="79D024B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0.39</w:t>
            </w:r>
          </w:p>
        </w:tc>
        <w:tc>
          <w:tcPr>
            <w:tcW w:w="640" w:type="dxa"/>
            <w:tcBorders>
              <w:top w:val="single" w:sz="4" w:space="0" w:color="8ED973"/>
              <w:left w:val="nil"/>
              <w:bottom w:val="single" w:sz="4" w:space="0" w:color="8ED973"/>
              <w:right w:val="nil"/>
            </w:tcBorders>
            <w:shd w:val="clear" w:color="DAF2D0" w:fill="DAF2D0"/>
            <w:noWrap/>
            <w:vAlign w:val="bottom"/>
            <w:hideMark/>
          </w:tcPr>
          <w:p w14:paraId="411E2A8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0.29</w:t>
            </w:r>
          </w:p>
        </w:tc>
        <w:tc>
          <w:tcPr>
            <w:tcW w:w="640" w:type="dxa"/>
            <w:tcBorders>
              <w:top w:val="single" w:sz="4" w:space="0" w:color="8ED973"/>
              <w:left w:val="nil"/>
              <w:bottom w:val="single" w:sz="4" w:space="0" w:color="8ED973"/>
              <w:right w:val="nil"/>
            </w:tcBorders>
            <w:shd w:val="clear" w:color="DAF2D0" w:fill="DAF2D0"/>
            <w:noWrap/>
            <w:vAlign w:val="bottom"/>
            <w:hideMark/>
          </w:tcPr>
          <w:p w14:paraId="3D53063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0.35</w:t>
            </w:r>
          </w:p>
        </w:tc>
        <w:tc>
          <w:tcPr>
            <w:tcW w:w="640" w:type="dxa"/>
            <w:tcBorders>
              <w:top w:val="single" w:sz="4" w:space="0" w:color="8ED973"/>
              <w:left w:val="nil"/>
              <w:bottom w:val="single" w:sz="4" w:space="0" w:color="8ED973"/>
              <w:right w:val="nil"/>
            </w:tcBorders>
            <w:shd w:val="clear" w:color="DAF2D0" w:fill="DAF2D0"/>
            <w:noWrap/>
            <w:vAlign w:val="bottom"/>
            <w:hideMark/>
          </w:tcPr>
          <w:p w14:paraId="35223F2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0.35</w:t>
            </w:r>
          </w:p>
        </w:tc>
        <w:tc>
          <w:tcPr>
            <w:tcW w:w="640" w:type="dxa"/>
            <w:tcBorders>
              <w:top w:val="single" w:sz="4" w:space="0" w:color="8ED973"/>
              <w:left w:val="nil"/>
              <w:bottom w:val="single" w:sz="4" w:space="0" w:color="8ED973"/>
              <w:right w:val="nil"/>
            </w:tcBorders>
            <w:shd w:val="clear" w:color="DAF2D0" w:fill="DAF2D0"/>
            <w:noWrap/>
            <w:vAlign w:val="bottom"/>
            <w:hideMark/>
          </w:tcPr>
          <w:p w14:paraId="7DDD867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0.45</w:t>
            </w:r>
          </w:p>
        </w:tc>
        <w:tc>
          <w:tcPr>
            <w:tcW w:w="640" w:type="dxa"/>
            <w:tcBorders>
              <w:top w:val="single" w:sz="4" w:space="0" w:color="8ED973"/>
              <w:left w:val="nil"/>
              <w:bottom w:val="single" w:sz="4" w:space="0" w:color="8ED973"/>
              <w:right w:val="nil"/>
            </w:tcBorders>
            <w:shd w:val="clear" w:color="DAF2D0" w:fill="DAF2D0"/>
            <w:noWrap/>
            <w:vAlign w:val="bottom"/>
            <w:hideMark/>
          </w:tcPr>
          <w:p w14:paraId="367C987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0.37</w:t>
            </w:r>
          </w:p>
        </w:tc>
        <w:tc>
          <w:tcPr>
            <w:tcW w:w="640" w:type="dxa"/>
            <w:tcBorders>
              <w:top w:val="single" w:sz="4" w:space="0" w:color="8ED973"/>
              <w:left w:val="nil"/>
              <w:bottom w:val="single" w:sz="4" w:space="0" w:color="8ED973"/>
              <w:right w:val="nil"/>
            </w:tcBorders>
            <w:shd w:val="clear" w:color="DAF2D0" w:fill="DAF2D0"/>
            <w:noWrap/>
            <w:vAlign w:val="bottom"/>
            <w:hideMark/>
          </w:tcPr>
          <w:p w14:paraId="64F2C6A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0.37</w:t>
            </w:r>
          </w:p>
        </w:tc>
        <w:tc>
          <w:tcPr>
            <w:tcW w:w="640" w:type="dxa"/>
            <w:tcBorders>
              <w:top w:val="single" w:sz="4" w:space="0" w:color="8ED973"/>
              <w:left w:val="nil"/>
              <w:bottom w:val="single" w:sz="4" w:space="0" w:color="8ED973"/>
              <w:right w:val="nil"/>
            </w:tcBorders>
            <w:shd w:val="clear" w:color="DAF2D0" w:fill="DAF2D0"/>
            <w:noWrap/>
            <w:vAlign w:val="bottom"/>
            <w:hideMark/>
          </w:tcPr>
          <w:p w14:paraId="50BBED4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0.39</w:t>
            </w:r>
          </w:p>
        </w:tc>
        <w:tc>
          <w:tcPr>
            <w:tcW w:w="640" w:type="dxa"/>
            <w:tcBorders>
              <w:top w:val="single" w:sz="4" w:space="0" w:color="8ED973"/>
              <w:left w:val="nil"/>
              <w:bottom w:val="single" w:sz="4" w:space="0" w:color="8ED973"/>
              <w:right w:val="nil"/>
            </w:tcBorders>
            <w:shd w:val="clear" w:color="DAF2D0" w:fill="DAF2D0"/>
            <w:noWrap/>
            <w:vAlign w:val="bottom"/>
            <w:hideMark/>
          </w:tcPr>
          <w:p w14:paraId="548B8DB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0.52</w:t>
            </w:r>
          </w:p>
        </w:tc>
      </w:tr>
      <w:tr w:rsidR="006B2BBA" w:rsidRPr="006B2BBA" w14:paraId="4DCA0192"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3BD8977A"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PacifiCorp West</w:t>
            </w:r>
          </w:p>
        </w:tc>
        <w:tc>
          <w:tcPr>
            <w:tcW w:w="640" w:type="dxa"/>
            <w:tcBorders>
              <w:top w:val="single" w:sz="4" w:space="0" w:color="8ED973"/>
              <w:left w:val="nil"/>
              <w:bottom w:val="single" w:sz="4" w:space="0" w:color="8ED973"/>
              <w:right w:val="nil"/>
            </w:tcBorders>
            <w:shd w:val="clear" w:color="auto" w:fill="auto"/>
            <w:noWrap/>
            <w:vAlign w:val="bottom"/>
            <w:hideMark/>
          </w:tcPr>
          <w:p w14:paraId="7F37F97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0.37</w:t>
            </w:r>
          </w:p>
        </w:tc>
        <w:tc>
          <w:tcPr>
            <w:tcW w:w="640" w:type="dxa"/>
            <w:tcBorders>
              <w:top w:val="single" w:sz="4" w:space="0" w:color="8ED973"/>
              <w:left w:val="nil"/>
              <w:bottom w:val="single" w:sz="4" w:space="0" w:color="8ED973"/>
              <w:right w:val="nil"/>
            </w:tcBorders>
            <w:shd w:val="clear" w:color="auto" w:fill="auto"/>
            <w:noWrap/>
            <w:vAlign w:val="bottom"/>
            <w:hideMark/>
          </w:tcPr>
          <w:p w14:paraId="216B05E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0.14</w:t>
            </w:r>
          </w:p>
        </w:tc>
        <w:tc>
          <w:tcPr>
            <w:tcW w:w="640" w:type="dxa"/>
            <w:tcBorders>
              <w:top w:val="single" w:sz="4" w:space="0" w:color="8ED973"/>
              <w:left w:val="nil"/>
              <w:bottom w:val="single" w:sz="4" w:space="0" w:color="8ED973"/>
              <w:right w:val="nil"/>
            </w:tcBorders>
            <w:shd w:val="clear" w:color="auto" w:fill="auto"/>
            <w:noWrap/>
            <w:vAlign w:val="bottom"/>
            <w:hideMark/>
          </w:tcPr>
          <w:p w14:paraId="21CE528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0.13</w:t>
            </w:r>
          </w:p>
        </w:tc>
        <w:tc>
          <w:tcPr>
            <w:tcW w:w="640" w:type="dxa"/>
            <w:tcBorders>
              <w:top w:val="single" w:sz="4" w:space="0" w:color="8ED973"/>
              <w:left w:val="nil"/>
              <w:bottom w:val="single" w:sz="4" w:space="0" w:color="8ED973"/>
              <w:right w:val="nil"/>
            </w:tcBorders>
            <w:shd w:val="clear" w:color="auto" w:fill="auto"/>
            <w:noWrap/>
            <w:vAlign w:val="bottom"/>
            <w:hideMark/>
          </w:tcPr>
          <w:p w14:paraId="033FBB5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0.22</w:t>
            </w:r>
          </w:p>
        </w:tc>
        <w:tc>
          <w:tcPr>
            <w:tcW w:w="640" w:type="dxa"/>
            <w:tcBorders>
              <w:top w:val="single" w:sz="4" w:space="0" w:color="8ED973"/>
              <w:left w:val="nil"/>
              <w:bottom w:val="single" w:sz="4" w:space="0" w:color="8ED973"/>
              <w:right w:val="nil"/>
            </w:tcBorders>
            <w:shd w:val="clear" w:color="auto" w:fill="auto"/>
            <w:noWrap/>
            <w:vAlign w:val="bottom"/>
            <w:hideMark/>
          </w:tcPr>
          <w:p w14:paraId="3F02ACF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0.36</w:t>
            </w:r>
          </w:p>
        </w:tc>
        <w:tc>
          <w:tcPr>
            <w:tcW w:w="640" w:type="dxa"/>
            <w:tcBorders>
              <w:top w:val="single" w:sz="4" w:space="0" w:color="8ED973"/>
              <w:left w:val="nil"/>
              <w:bottom w:val="single" w:sz="4" w:space="0" w:color="8ED973"/>
              <w:right w:val="nil"/>
            </w:tcBorders>
            <w:shd w:val="clear" w:color="auto" w:fill="auto"/>
            <w:noWrap/>
            <w:vAlign w:val="bottom"/>
            <w:hideMark/>
          </w:tcPr>
          <w:p w14:paraId="64B2F1C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c>
          <w:tcPr>
            <w:tcW w:w="640" w:type="dxa"/>
            <w:tcBorders>
              <w:top w:val="single" w:sz="4" w:space="0" w:color="8ED973"/>
              <w:left w:val="nil"/>
              <w:bottom w:val="single" w:sz="4" w:space="0" w:color="8ED973"/>
              <w:right w:val="nil"/>
            </w:tcBorders>
            <w:shd w:val="clear" w:color="auto" w:fill="auto"/>
            <w:noWrap/>
            <w:vAlign w:val="bottom"/>
            <w:hideMark/>
          </w:tcPr>
          <w:p w14:paraId="3FF1380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0.39</w:t>
            </w:r>
          </w:p>
        </w:tc>
        <w:tc>
          <w:tcPr>
            <w:tcW w:w="640" w:type="dxa"/>
            <w:tcBorders>
              <w:top w:val="single" w:sz="4" w:space="0" w:color="8ED973"/>
              <w:left w:val="nil"/>
              <w:bottom w:val="single" w:sz="4" w:space="0" w:color="8ED973"/>
              <w:right w:val="nil"/>
            </w:tcBorders>
            <w:shd w:val="clear" w:color="auto" w:fill="auto"/>
            <w:noWrap/>
            <w:vAlign w:val="bottom"/>
            <w:hideMark/>
          </w:tcPr>
          <w:p w14:paraId="24003AB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0.61</w:t>
            </w:r>
          </w:p>
        </w:tc>
        <w:tc>
          <w:tcPr>
            <w:tcW w:w="640" w:type="dxa"/>
            <w:tcBorders>
              <w:top w:val="single" w:sz="4" w:space="0" w:color="8ED973"/>
              <w:left w:val="nil"/>
              <w:bottom w:val="single" w:sz="4" w:space="0" w:color="8ED973"/>
              <w:right w:val="nil"/>
            </w:tcBorders>
            <w:shd w:val="clear" w:color="auto" w:fill="auto"/>
            <w:noWrap/>
            <w:vAlign w:val="bottom"/>
            <w:hideMark/>
          </w:tcPr>
          <w:p w14:paraId="37DA53B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0.75</w:t>
            </w:r>
          </w:p>
        </w:tc>
      </w:tr>
      <w:tr w:rsidR="006B2BBA" w:rsidRPr="006B2BBA" w14:paraId="60F80C8F"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59AB2E6E"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South Carolina Public Service Authority</w:t>
            </w:r>
          </w:p>
        </w:tc>
        <w:tc>
          <w:tcPr>
            <w:tcW w:w="640" w:type="dxa"/>
            <w:tcBorders>
              <w:top w:val="single" w:sz="4" w:space="0" w:color="8ED973"/>
              <w:left w:val="nil"/>
              <w:bottom w:val="single" w:sz="4" w:space="0" w:color="8ED973"/>
              <w:right w:val="nil"/>
            </w:tcBorders>
            <w:shd w:val="clear" w:color="DAF2D0" w:fill="DAF2D0"/>
            <w:noWrap/>
            <w:vAlign w:val="bottom"/>
            <w:hideMark/>
          </w:tcPr>
          <w:p w14:paraId="17211D7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0.32</w:t>
            </w:r>
          </w:p>
        </w:tc>
        <w:tc>
          <w:tcPr>
            <w:tcW w:w="640" w:type="dxa"/>
            <w:tcBorders>
              <w:top w:val="single" w:sz="4" w:space="0" w:color="8ED973"/>
              <w:left w:val="nil"/>
              <w:bottom w:val="single" w:sz="4" w:space="0" w:color="8ED973"/>
              <w:right w:val="nil"/>
            </w:tcBorders>
            <w:shd w:val="clear" w:color="DAF2D0" w:fill="DAF2D0"/>
            <w:noWrap/>
            <w:vAlign w:val="bottom"/>
            <w:hideMark/>
          </w:tcPr>
          <w:p w14:paraId="6C74EA9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0.27</w:t>
            </w:r>
          </w:p>
        </w:tc>
        <w:tc>
          <w:tcPr>
            <w:tcW w:w="640" w:type="dxa"/>
            <w:tcBorders>
              <w:top w:val="single" w:sz="4" w:space="0" w:color="8ED973"/>
              <w:left w:val="nil"/>
              <w:bottom w:val="single" w:sz="4" w:space="0" w:color="8ED973"/>
              <w:right w:val="nil"/>
            </w:tcBorders>
            <w:shd w:val="clear" w:color="DAF2D0" w:fill="DAF2D0"/>
            <w:noWrap/>
            <w:vAlign w:val="bottom"/>
            <w:hideMark/>
          </w:tcPr>
          <w:p w14:paraId="5C59C80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0.32</w:t>
            </w:r>
          </w:p>
        </w:tc>
        <w:tc>
          <w:tcPr>
            <w:tcW w:w="640" w:type="dxa"/>
            <w:tcBorders>
              <w:top w:val="single" w:sz="4" w:space="0" w:color="8ED973"/>
              <w:left w:val="nil"/>
              <w:bottom w:val="single" w:sz="4" w:space="0" w:color="8ED973"/>
              <w:right w:val="nil"/>
            </w:tcBorders>
            <w:shd w:val="clear" w:color="DAF2D0" w:fill="DAF2D0"/>
            <w:noWrap/>
            <w:vAlign w:val="bottom"/>
            <w:hideMark/>
          </w:tcPr>
          <w:p w14:paraId="7B5B8E8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0.28</w:t>
            </w:r>
          </w:p>
        </w:tc>
        <w:tc>
          <w:tcPr>
            <w:tcW w:w="640" w:type="dxa"/>
            <w:tcBorders>
              <w:top w:val="single" w:sz="4" w:space="0" w:color="8ED973"/>
              <w:left w:val="nil"/>
              <w:bottom w:val="single" w:sz="4" w:space="0" w:color="8ED973"/>
              <w:right w:val="nil"/>
            </w:tcBorders>
            <w:shd w:val="clear" w:color="DAF2D0" w:fill="DAF2D0"/>
            <w:noWrap/>
            <w:vAlign w:val="bottom"/>
            <w:hideMark/>
          </w:tcPr>
          <w:p w14:paraId="0277D70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0.39</w:t>
            </w:r>
          </w:p>
        </w:tc>
        <w:tc>
          <w:tcPr>
            <w:tcW w:w="640" w:type="dxa"/>
            <w:tcBorders>
              <w:top w:val="single" w:sz="4" w:space="0" w:color="8ED973"/>
              <w:left w:val="nil"/>
              <w:bottom w:val="single" w:sz="4" w:space="0" w:color="8ED973"/>
              <w:right w:val="nil"/>
            </w:tcBorders>
            <w:shd w:val="clear" w:color="DAF2D0" w:fill="DAF2D0"/>
            <w:noWrap/>
            <w:vAlign w:val="bottom"/>
            <w:hideMark/>
          </w:tcPr>
          <w:p w14:paraId="4A80859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0.38</w:t>
            </w:r>
          </w:p>
        </w:tc>
        <w:tc>
          <w:tcPr>
            <w:tcW w:w="640" w:type="dxa"/>
            <w:tcBorders>
              <w:top w:val="single" w:sz="4" w:space="0" w:color="8ED973"/>
              <w:left w:val="nil"/>
              <w:bottom w:val="single" w:sz="4" w:space="0" w:color="8ED973"/>
              <w:right w:val="nil"/>
            </w:tcBorders>
            <w:shd w:val="clear" w:color="DAF2D0" w:fill="DAF2D0"/>
            <w:noWrap/>
            <w:vAlign w:val="bottom"/>
            <w:hideMark/>
          </w:tcPr>
          <w:p w14:paraId="3F9233E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0.33</w:t>
            </w:r>
          </w:p>
        </w:tc>
        <w:tc>
          <w:tcPr>
            <w:tcW w:w="640" w:type="dxa"/>
            <w:tcBorders>
              <w:top w:val="single" w:sz="4" w:space="0" w:color="8ED973"/>
              <w:left w:val="nil"/>
              <w:bottom w:val="single" w:sz="4" w:space="0" w:color="8ED973"/>
              <w:right w:val="nil"/>
            </w:tcBorders>
            <w:shd w:val="clear" w:color="DAF2D0" w:fill="DAF2D0"/>
            <w:noWrap/>
            <w:vAlign w:val="bottom"/>
            <w:hideMark/>
          </w:tcPr>
          <w:p w14:paraId="66DEC07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0.36</w:t>
            </w:r>
          </w:p>
        </w:tc>
        <w:tc>
          <w:tcPr>
            <w:tcW w:w="640" w:type="dxa"/>
            <w:tcBorders>
              <w:top w:val="single" w:sz="4" w:space="0" w:color="8ED973"/>
              <w:left w:val="nil"/>
              <w:bottom w:val="single" w:sz="4" w:space="0" w:color="8ED973"/>
              <w:right w:val="nil"/>
            </w:tcBorders>
            <w:shd w:val="clear" w:color="DAF2D0" w:fill="DAF2D0"/>
            <w:noWrap/>
            <w:vAlign w:val="bottom"/>
            <w:hideMark/>
          </w:tcPr>
          <w:p w14:paraId="0A89BBD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0.30</w:t>
            </w:r>
          </w:p>
        </w:tc>
      </w:tr>
      <w:tr w:rsidR="006B2BBA" w:rsidRPr="006B2BBA" w14:paraId="59E2D1AA"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2706A18B"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Tucson Electric Power</w:t>
            </w:r>
          </w:p>
        </w:tc>
        <w:tc>
          <w:tcPr>
            <w:tcW w:w="640" w:type="dxa"/>
            <w:tcBorders>
              <w:top w:val="single" w:sz="4" w:space="0" w:color="8ED973"/>
              <w:left w:val="nil"/>
              <w:bottom w:val="single" w:sz="4" w:space="0" w:color="8ED973"/>
              <w:right w:val="nil"/>
            </w:tcBorders>
            <w:shd w:val="clear" w:color="auto" w:fill="auto"/>
            <w:noWrap/>
            <w:vAlign w:val="bottom"/>
            <w:hideMark/>
          </w:tcPr>
          <w:p w14:paraId="447011E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0.30</w:t>
            </w:r>
          </w:p>
        </w:tc>
        <w:tc>
          <w:tcPr>
            <w:tcW w:w="640" w:type="dxa"/>
            <w:tcBorders>
              <w:top w:val="single" w:sz="4" w:space="0" w:color="8ED973"/>
              <w:left w:val="nil"/>
              <w:bottom w:val="single" w:sz="4" w:space="0" w:color="8ED973"/>
              <w:right w:val="nil"/>
            </w:tcBorders>
            <w:shd w:val="clear" w:color="auto" w:fill="auto"/>
            <w:noWrap/>
            <w:vAlign w:val="bottom"/>
            <w:hideMark/>
          </w:tcPr>
          <w:p w14:paraId="1A6CDFC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0.38</w:t>
            </w:r>
          </w:p>
        </w:tc>
        <w:tc>
          <w:tcPr>
            <w:tcW w:w="640" w:type="dxa"/>
            <w:tcBorders>
              <w:top w:val="single" w:sz="4" w:space="0" w:color="8ED973"/>
              <w:left w:val="nil"/>
              <w:bottom w:val="single" w:sz="4" w:space="0" w:color="8ED973"/>
              <w:right w:val="nil"/>
            </w:tcBorders>
            <w:shd w:val="clear" w:color="auto" w:fill="auto"/>
            <w:noWrap/>
            <w:vAlign w:val="bottom"/>
            <w:hideMark/>
          </w:tcPr>
          <w:p w14:paraId="5DD0D87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c>
          <w:tcPr>
            <w:tcW w:w="640" w:type="dxa"/>
            <w:tcBorders>
              <w:top w:val="single" w:sz="4" w:space="0" w:color="8ED973"/>
              <w:left w:val="nil"/>
              <w:bottom w:val="single" w:sz="4" w:space="0" w:color="8ED973"/>
              <w:right w:val="nil"/>
            </w:tcBorders>
            <w:shd w:val="clear" w:color="auto" w:fill="auto"/>
            <w:noWrap/>
            <w:vAlign w:val="bottom"/>
            <w:hideMark/>
          </w:tcPr>
          <w:p w14:paraId="300D0F8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0.24</w:t>
            </w:r>
          </w:p>
        </w:tc>
        <w:tc>
          <w:tcPr>
            <w:tcW w:w="640" w:type="dxa"/>
            <w:tcBorders>
              <w:top w:val="single" w:sz="4" w:space="0" w:color="8ED973"/>
              <w:left w:val="nil"/>
              <w:bottom w:val="single" w:sz="4" w:space="0" w:color="8ED973"/>
              <w:right w:val="nil"/>
            </w:tcBorders>
            <w:shd w:val="clear" w:color="auto" w:fill="auto"/>
            <w:noWrap/>
            <w:vAlign w:val="bottom"/>
            <w:hideMark/>
          </w:tcPr>
          <w:p w14:paraId="001A17D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0.28</w:t>
            </w:r>
          </w:p>
        </w:tc>
        <w:tc>
          <w:tcPr>
            <w:tcW w:w="640" w:type="dxa"/>
            <w:tcBorders>
              <w:top w:val="single" w:sz="4" w:space="0" w:color="8ED973"/>
              <w:left w:val="nil"/>
              <w:bottom w:val="single" w:sz="4" w:space="0" w:color="8ED973"/>
              <w:right w:val="nil"/>
            </w:tcBorders>
            <w:shd w:val="clear" w:color="auto" w:fill="auto"/>
            <w:noWrap/>
            <w:vAlign w:val="bottom"/>
            <w:hideMark/>
          </w:tcPr>
          <w:p w14:paraId="0410A25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0.32</w:t>
            </w:r>
          </w:p>
        </w:tc>
        <w:tc>
          <w:tcPr>
            <w:tcW w:w="640" w:type="dxa"/>
            <w:tcBorders>
              <w:top w:val="single" w:sz="4" w:space="0" w:color="8ED973"/>
              <w:left w:val="nil"/>
              <w:bottom w:val="single" w:sz="4" w:space="0" w:color="8ED973"/>
              <w:right w:val="nil"/>
            </w:tcBorders>
            <w:shd w:val="clear" w:color="auto" w:fill="auto"/>
            <w:noWrap/>
            <w:vAlign w:val="bottom"/>
            <w:hideMark/>
          </w:tcPr>
          <w:p w14:paraId="0D30AF4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0.28</w:t>
            </w:r>
          </w:p>
        </w:tc>
        <w:tc>
          <w:tcPr>
            <w:tcW w:w="640" w:type="dxa"/>
            <w:tcBorders>
              <w:top w:val="single" w:sz="4" w:space="0" w:color="8ED973"/>
              <w:left w:val="nil"/>
              <w:bottom w:val="single" w:sz="4" w:space="0" w:color="8ED973"/>
              <w:right w:val="nil"/>
            </w:tcBorders>
            <w:shd w:val="clear" w:color="auto" w:fill="auto"/>
            <w:noWrap/>
            <w:vAlign w:val="bottom"/>
            <w:hideMark/>
          </w:tcPr>
          <w:p w14:paraId="1FC156E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0.30</w:t>
            </w:r>
          </w:p>
        </w:tc>
        <w:tc>
          <w:tcPr>
            <w:tcW w:w="640" w:type="dxa"/>
            <w:tcBorders>
              <w:top w:val="single" w:sz="4" w:space="0" w:color="8ED973"/>
              <w:left w:val="nil"/>
              <w:bottom w:val="single" w:sz="4" w:space="0" w:color="8ED973"/>
              <w:right w:val="nil"/>
            </w:tcBorders>
            <w:shd w:val="clear" w:color="auto" w:fill="auto"/>
            <w:noWrap/>
            <w:vAlign w:val="bottom"/>
            <w:hideMark/>
          </w:tcPr>
          <w:p w14:paraId="572FA53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0.22</w:t>
            </w:r>
          </w:p>
        </w:tc>
      </w:tr>
      <w:tr w:rsidR="006B2BBA" w:rsidRPr="006B2BBA" w14:paraId="708CAFB7"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6D924743"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Idaho Power Company</w:t>
            </w:r>
          </w:p>
        </w:tc>
        <w:tc>
          <w:tcPr>
            <w:tcW w:w="640" w:type="dxa"/>
            <w:tcBorders>
              <w:top w:val="single" w:sz="4" w:space="0" w:color="8ED973"/>
              <w:left w:val="nil"/>
              <w:bottom w:val="single" w:sz="4" w:space="0" w:color="8ED973"/>
              <w:right w:val="nil"/>
            </w:tcBorders>
            <w:shd w:val="clear" w:color="DAF2D0" w:fill="DAF2D0"/>
            <w:noWrap/>
            <w:vAlign w:val="bottom"/>
            <w:hideMark/>
          </w:tcPr>
          <w:p w14:paraId="1FC4D3B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0.29</w:t>
            </w:r>
          </w:p>
        </w:tc>
        <w:tc>
          <w:tcPr>
            <w:tcW w:w="640" w:type="dxa"/>
            <w:tcBorders>
              <w:top w:val="single" w:sz="4" w:space="0" w:color="8ED973"/>
              <w:left w:val="nil"/>
              <w:bottom w:val="single" w:sz="4" w:space="0" w:color="8ED973"/>
              <w:right w:val="nil"/>
            </w:tcBorders>
            <w:shd w:val="clear" w:color="DAF2D0" w:fill="DAF2D0"/>
            <w:noWrap/>
            <w:vAlign w:val="bottom"/>
            <w:hideMark/>
          </w:tcPr>
          <w:p w14:paraId="5CFC0A5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0.32</w:t>
            </w:r>
          </w:p>
        </w:tc>
        <w:tc>
          <w:tcPr>
            <w:tcW w:w="640" w:type="dxa"/>
            <w:tcBorders>
              <w:top w:val="single" w:sz="4" w:space="0" w:color="8ED973"/>
              <w:left w:val="nil"/>
              <w:bottom w:val="single" w:sz="4" w:space="0" w:color="8ED973"/>
              <w:right w:val="nil"/>
            </w:tcBorders>
            <w:shd w:val="clear" w:color="DAF2D0" w:fill="DAF2D0"/>
            <w:noWrap/>
            <w:vAlign w:val="bottom"/>
            <w:hideMark/>
          </w:tcPr>
          <w:p w14:paraId="4C25C88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0.22</w:t>
            </w:r>
          </w:p>
        </w:tc>
        <w:tc>
          <w:tcPr>
            <w:tcW w:w="640" w:type="dxa"/>
            <w:tcBorders>
              <w:top w:val="single" w:sz="4" w:space="0" w:color="8ED973"/>
              <w:left w:val="nil"/>
              <w:bottom w:val="single" w:sz="4" w:space="0" w:color="8ED973"/>
              <w:right w:val="nil"/>
            </w:tcBorders>
            <w:shd w:val="clear" w:color="DAF2D0" w:fill="DAF2D0"/>
            <w:noWrap/>
            <w:vAlign w:val="bottom"/>
            <w:hideMark/>
          </w:tcPr>
          <w:p w14:paraId="6089E45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0.23</w:t>
            </w:r>
          </w:p>
        </w:tc>
        <w:tc>
          <w:tcPr>
            <w:tcW w:w="640" w:type="dxa"/>
            <w:tcBorders>
              <w:top w:val="single" w:sz="4" w:space="0" w:color="8ED973"/>
              <w:left w:val="nil"/>
              <w:bottom w:val="single" w:sz="4" w:space="0" w:color="8ED973"/>
              <w:right w:val="nil"/>
            </w:tcBorders>
            <w:shd w:val="clear" w:color="DAF2D0" w:fill="DAF2D0"/>
            <w:noWrap/>
            <w:vAlign w:val="bottom"/>
            <w:hideMark/>
          </w:tcPr>
          <w:p w14:paraId="2509B18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0.22</w:t>
            </w:r>
          </w:p>
        </w:tc>
        <w:tc>
          <w:tcPr>
            <w:tcW w:w="640" w:type="dxa"/>
            <w:tcBorders>
              <w:top w:val="single" w:sz="4" w:space="0" w:color="8ED973"/>
              <w:left w:val="nil"/>
              <w:bottom w:val="single" w:sz="4" w:space="0" w:color="8ED973"/>
              <w:right w:val="nil"/>
            </w:tcBorders>
            <w:shd w:val="clear" w:color="DAF2D0" w:fill="DAF2D0"/>
            <w:noWrap/>
            <w:vAlign w:val="bottom"/>
            <w:hideMark/>
          </w:tcPr>
          <w:p w14:paraId="7FEC4C4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0.27</w:t>
            </w:r>
          </w:p>
        </w:tc>
        <w:tc>
          <w:tcPr>
            <w:tcW w:w="640" w:type="dxa"/>
            <w:tcBorders>
              <w:top w:val="single" w:sz="4" w:space="0" w:color="8ED973"/>
              <w:left w:val="nil"/>
              <w:bottom w:val="single" w:sz="4" w:space="0" w:color="8ED973"/>
              <w:right w:val="nil"/>
            </w:tcBorders>
            <w:shd w:val="clear" w:color="DAF2D0" w:fill="DAF2D0"/>
            <w:noWrap/>
            <w:vAlign w:val="bottom"/>
            <w:hideMark/>
          </w:tcPr>
          <w:p w14:paraId="2738120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0.34</w:t>
            </w:r>
          </w:p>
        </w:tc>
        <w:tc>
          <w:tcPr>
            <w:tcW w:w="640" w:type="dxa"/>
            <w:tcBorders>
              <w:top w:val="single" w:sz="4" w:space="0" w:color="8ED973"/>
              <w:left w:val="nil"/>
              <w:bottom w:val="single" w:sz="4" w:space="0" w:color="8ED973"/>
              <w:right w:val="nil"/>
            </w:tcBorders>
            <w:shd w:val="clear" w:color="DAF2D0" w:fill="DAF2D0"/>
            <w:noWrap/>
            <w:vAlign w:val="bottom"/>
            <w:hideMark/>
          </w:tcPr>
          <w:p w14:paraId="2D1820F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c>
          <w:tcPr>
            <w:tcW w:w="640" w:type="dxa"/>
            <w:tcBorders>
              <w:top w:val="single" w:sz="4" w:space="0" w:color="8ED973"/>
              <w:left w:val="nil"/>
              <w:bottom w:val="single" w:sz="4" w:space="0" w:color="8ED973"/>
              <w:right w:val="nil"/>
            </w:tcBorders>
            <w:shd w:val="clear" w:color="DAF2D0" w:fill="DAF2D0"/>
            <w:noWrap/>
            <w:vAlign w:val="bottom"/>
            <w:hideMark/>
          </w:tcPr>
          <w:p w14:paraId="11B53A5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0.27</w:t>
            </w:r>
          </w:p>
        </w:tc>
      </w:tr>
      <w:tr w:rsidR="006B2BBA" w:rsidRPr="006B2BBA" w14:paraId="53136E09"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603DE695"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Balancing Authority of Northern California</w:t>
            </w:r>
          </w:p>
        </w:tc>
        <w:tc>
          <w:tcPr>
            <w:tcW w:w="640" w:type="dxa"/>
            <w:tcBorders>
              <w:top w:val="single" w:sz="4" w:space="0" w:color="8ED973"/>
              <w:left w:val="nil"/>
              <w:bottom w:val="single" w:sz="4" w:space="0" w:color="8ED973"/>
              <w:right w:val="nil"/>
            </w:tcBorders>
            <w:shd w:val="clear" w:color="auto" w:fill="auto"/>
            <w:noWrap/>
            <w:vAlign w:val="bottom"/>
            <w:hideMark/>
          </w:tcPr>
          <w:p w14:paraId="41C3B99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auto" w:fill="auto"/>
            <w:noWrap/>
            <w:vAlign w:val="bottom"/>
            <w:hideMark/>
          </w:tcPr>
          <w:p w14:paraId="0CB2EEE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auto" w:fill="auto"/>
            <w:noWrap/>
            <w:vAlign w:val="bottom"/>
            <w:hideMark/>
          </w:tcPr>
          <w:p w14:paraId="4783FE1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0.23</w:t>
            </w:r>
          </w:p>
        </w:tc>
        <w:tc>
          <w:tcPr>
            <w:tcW w:w="640" w:type="dxa"/>
            <w:tcBorders>
              <w:top w:val="single" w:sz="4" w:space="0" w:color="8ED973"/>
              <w:left w:val="nil"/>
              <w:bottom w:val="single" w:sz="4" w:space="0" w:color="8ED973"/>
              <w:right w:val="nil"/>
            </w:tcBorders>
            <w:shd w:val="clear" w:color="auto" w:fill="auto"/>
            <w:noWrap/>
            <w:vAlign w:val="bottom"/>
            <w:hideMark/>
          </w:tcPr>
          <w:p w14:paraId="2DB7A0F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0.26</w:t>
            </w:r>
          </w:p>
        </w:tc>
        <w:tc>
          <w:tcPr>
            <w:tcW w:w="640" w:type="dxa"/>
            <w:tcBorders>
              <w:top w:val="single" w:sz="4" w:space="0" w:color="8ED973"/>
              <w:left w:val="nil"/>
              <w:bottom w:val="single" w:sz="4" w:space="0" w:color="8ED973"/>
              <w:right w:val="nil"/>
            </w:tcBorders>
            <w:shd w:val="clear" w:color="auto" w:fill="auto"/>
            <w:noWrap/>
            <w:vAlign w:val="bottom"/>
            <w:hideMark/>
          </w:tcPr>
          <w:p w14:paraId="78A6A05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auto" w:fill="auto"/>
            <w:noWrap/>
            <w:vAlign w:val="bottom"/>
            <w:hideMark/>
          </w:tcPr>
          <w:p w14:paraId="2B62BC9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0.28</w:t>
            </w:r>
          </w:p>
        </w:tc>
        <w:tc>
          <w:tcPr>
            <w:tcW w:w="640" w:type="dxa"/>
            <w:tcBorders>
              <w:top w:val="single" w:sz="4" w:space="0" w:color="8ED973"/>
              <w:left w:val="nil"/>
              <w:bottom w:val="single" w:sz="4" w:space="0" w:color="8ED973"/>
              <w:right w:val="nil"/>
            </w:tcBorders>
            <w:shd w:val="clear" w:color="auto" w:fill="auto"/>
            <w:noWrap/>
            <w:vAlign w:val="bottom"/>
            <w:hideMark/>
          </w:tcPr>
          <w:p w14:paraId="05E9DEA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auto" w:fill="auto"/>
            <w:noWrap/>
            <w:vAlign w:val="bottom"/>
            <w:hideMark/>
          </w:tcPr>
          <w:p w14:paraId="781042F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c>
          <w:tcPr>
            <w:tcW w:w="640" w:type="dxa"/>
            <w:tcBorders>
              <w:top w:val="single" w:sz="4" w:space="0" w:color="8ED973"/>
              <w:left w:val="nil"/>
              <w:bottom w:val="single" w:sz="4" w:space="0" w:color="8ED973"/>
              <w:right w:val="nil"/>
            </w:tcBorders>
            <w:shd w:val="clear" w:color="auto" w:fill="auto"/>
            <w:noWrap/>
            <w:vAlign w:val="bottom"/>
            <w:hideMark/>
          </w:tcPr>
          <w:p w14:paraId="22E555A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r>
      <w:tr w:rsidR="006B2BBA" w:rsidRPr="006B2BBA" w14:paraId="78D3F5B3"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2B7139F8"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California Independent System Operator</w:t>
            </w:r>
          </w:p>
        </w:tc>
        <w:tc>
          <w:tcPr>
            <w:tcW w:w="640" w:type="dxa"/>
            <w:tcBorders>
              <w:top w:val="single" w:sz="4" w:space="0" w:color="8ED973"/>
              <w:left w:val="nil"/>
              <w:bottom w:val="single" w:sz="4" w:space="0" w:color="8ED973"/>
              <w:right w:val="nil"/>
            </w:tcBorders>
            <w:shd w:val="clear" w:color="DAF2D0" w:fill="DAF2D0"/>
            <w:noWrap/>
            <w:vAlign w:val="bottom"/>
            <w:hideMark/>
          </w:tcPr>
          <w:p w14:paraId="31C9ABB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0.24</w:t>
            </w:r>
          </w:p>
        </w:tc>
        <w:tc>
          <w:tcPr>
            <w:tcW w:w="640" w:type="dxa"/>
            <w:tcBorders>
              <w:top w:val="single" w:sz="4" w:space="0" w:color="8ED973"/>
              <w:left w:val="nil"/>
              <w:bottom w:val="single" w:sz="4" w:space="0" w:color="8ED973"/>
              <w:right w:val="nil"/>
            </w:tcBorders>
            <w:shd w:val="clear" w:color="DAF2D0" w:fill="DAF2D0"/>
            <w:noWrap/>
            <w:vAlign w:val="bottom"/>
            <w:hideMark/>
          </w:tcPr>
          <w:p w14:paraId="20CE914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0.28</w:t>
            </w:r>
          </w:p>
        </w:tc>
        <w:tc>
          <w:tcPr>
            <w:tcW w:w="640" w:type="dxa"/>
            <w:tcBorders>
              <w:top w:val="single" w:sz="4" w:space="0" w:color="8ED973"/>
              <w:left w:val="nil"/>
              <w:bottom w:val="single" w:sz="4" w:space="0" w:color="8ED973"/>
              <w:right w:val="nil"/>
            </w:tcBorders>
            <w:shd w:val="clear" w:color="DAF2D0" w:fill="DAF2D0"/>
            <w:noWrap/>
            <w:vAlign w:val="bottom"/>
            <w:hideMark/>
          </w:tcPr>
          <w:p w14:paraId="2FA766C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0.26</w:t>
            </w:r>
          </w:p>
        </w:tc>
        <w:tc>
          <w:tcPr>
            <w:tcW w:w="640" w:type="dxa"/>
            <w:tcBorders>
              <w:top w:val="single" w:sz="4" w:space="0" w:color="8ED973"/>
              <w:left w:val="nil"/>
              <w:bottom w:val="single" w:sz="4" w:space="0" w:color="8ED973"/>
              <w:right w:val="nil"/>
            </w:tcBorders>
            <w:shd w:val="clear" w:color="DAF2D0" w:fill="DAF2D0"/>
            <w:noWrap/>
            <w:vAlign w:val="bottom"/>
            <w:hideMark/>
          </w:tcPr>
          <w:p w14:paraId="441E6C9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0.28</w:t>
            </w:r>
          </w:p>
        </w:tc>
        <w:tc>
          <w:tcPr>
            <w:tcW w:w="640" w:type="dxa"/>
            <w:tcBorders>
              <w:top w:val="single" w:sz="4" w:space="0" w:color="8ED973"/>
              <w:left w:val="nil"/>
              <w:bottom w:val="single" w:sz="4" w:space="0" w:color="8ED973"/>
              <w:right w:val="nil"/>
            </w:tcBorders>
            <w:shd w:val="clear" w:color="DAF2D0" w:fill="DAF2D0"/>
            <w:noWrap/>
            <w:vAlign w:val="bottom"/>
            <w:hideMark/>
          </w:tcPr>
          <w:p w14:paraId="5E3861E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DAF2D0" w:fill="DAF2D0"/>
            <w:noWrap/>
            <w:vAlign w:val="bottom"/>
            <w:hideMark/>
          </w:tcPr>
          <w:p w14:paraId="340FAEB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0.27</w:t>
            </w:r>
          </w:p>
        </w:tc>
        <w:tc>
          <w:tcPr>
            <w:tcW w:w="640" w:type="dxa"/>
            <w:tcBorders>
              <w:top w:val="single" w:sz="4" w:space="0" w:color="8ED973"/>
              <w:left w:val="nil"/>
              <w:bottom w:val="single" w:sz="4" w:space="0" w:color="8ED973"/>
              <w:right w:val="nil"/>
            </w:tcBorders>
            <w:shd w:val="clear" w:color="DAF2D0" w:fill="DAF2D0"/>
            <w:noWrap/>
            <w:vAlign w:val="bottom"/>
            <w:hideMark/>
          </w:tcPr>
          <w:p w14:paraId="58AF2C6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DAF2D0" w:fill="DAF2D0"/>
            <w:noWrap/>
            <w:vAlign w:val="bottom"/>
            <w:hideMark/>
          </w:tcPr>
          <w:p w14:paraId="5347378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0.22</w:t>
            </w:r>
          </w:p>
        </w:tc>
        <w:tc>
          <w:tcPr>
            <w:tcW w:w="640" w:type="dxa"/>
            <w:tcBorders>
              <w:top w:val="single" w:sz="4" w:space="0" w:color="8ED973"/>
              <w:left w:val="nil"/>
              <w:bottom w:val="single" w:sz="4" w:space="0" w:color="8ED973"/>
              <w:right w:val="nil"/>
            </w:tcBorders>
            <w:shd w:val="clear" w:color="DAF2D0" w:fill="DAF2D0"/>
            <w:noWrap/>
            <w:vAlign w:val="bottom"/>
            <w:hideMark/>
          </w:tcPr>
          <w:p w14:paraId="6E2ABE5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0.14</w:t>
            </w:r>
          </w:p>
        </w:tc>
      </w:tr>
      <w:tr w:rsidR="006B2BBA" w:rsidRPr="006B2BBA" w14:paraId="3168BE0A"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7685D0EE"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Duke Energy Florida, Inc.</w:t>
            </w:r>
          </w:p>
        </w:tc>
        <w:tc>
          <w:tcPr>
            <w:tcW w:w="640" w:type="dxa"/>
            <w:tcBorders>
              <w:top w:val="single" w:sz="4" w:space="0" w:color="8ED973"/>
              <w:left w:val="nil"/>
              <w:bottom w:val="single" w:sz="4" w:space="0" w:color="8ED973"/>
              <w:right w:val="nil"/>
            </w:tcBorders>
            <w:shd w:val="clear" w:color="auto" w:fill="auto"/>
            <w:noWrap/>
            <w:vAlign w:val="bottom"/>
            <w:hideMark/>
          </w:tcPr>
          <w:p w14:paraId="06AD32E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0.24</w:t>
            </w:r>
          </w:p>
        </w:tc>
        <w:tc>
          <w:tcPr>
            <w:tcW w:w="640" w:type="dxa"/>
            <w:tcBorders>
              <w:top w:val="single" w:sz="4" w:space="0" w:color="8ED973"/>
              <w:left w:val="nil"/>
              <w:bottom w:val="single" w:sz="4" w:space="0" w:color="8ED973"/>
              <w:right w:val="nil"/>
            </w:tcBorders>
            <w:shd w:val="clear" w:color="auto" w:fill="auto"/>
            <w:noWrap/>
            <w:vAlign w:val="bottom"/>
            <w:hideMark/>
          </w:tcPr>
          <w:p w14:paraId="3D856AF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0.26</w:t>
            </w:r>
          </w:p>
        </w:tc>
        <w:tc>
          <w:tcPr>
            <w:tcW w:w="640" w:type="dxa"/>
            <w:tcBorders>
              <w:top w:val="single" w:sz="4" w:space="0" w:color="8ED973"/>
              <w:left w:val="nil"/>
              <w:bottom w:val="single" w:sz="4" w:space="0" w:color="8ED973"/>
              <w:right w:val="nil"/>
            </w:tcBorders>
            <w:shd w:val="clear" w:color="auto" w:fill="auto"/>
            <w:noWrap/>
            <w:vAlign w:val="bottom"/>
            <w:hideMark/>
          </w:tcPr>
          <w:p w14:paraId="4264F99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0.26</w:t>
            </w:r>
          </w:p>
        </w:tc>
        <w:tc>
          <w:tcPr>
            <w:tcW w:w="640" w:type="dxa"/>
            <w:tcBorders>
              <w:top w:val="single" w:sz="4" w:space="0" w:color="8ED973"/>
              <w:left w:val="nil"/>
              <w:bottom w:val="single" w:sz="4" w:space="0" w:color="8ED973"/>
              <w:right w:val="nil"/>
            </w:tcBorders>
            <w:shd w:val="clear" w:color="auto" w:fill="auto"/>
            <w:noWrap/>
            <w:vAlign w:val="bottom"/>
            <w:hideMark/>
          </w:tcPr>
          <w:p w14:paraId="36C805B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0.26</w:t>
            </w:r>
          </w:p>
        </w:tc>
        <w:tc>
          <w:tcPr>
            <w:tcW w:w="640" w:type="dxa"/>
            <w:tcBorders>
              <w:top w:val="single" w:sz="4" w:space="0" w:color="8ED973"/>
              <w:left w:val="nil"/>
              <w:bottom w:val="single" w:sz="4" w:space="0" w:color="8ED973"/>
              <w:right w:val="nil"/>
            </w:tcBorders>
            <w:shd w:val="clear" w:color="auto" w:fill="auto"/>
            <w:noWrap/>
            <w:vAlign w:val="bottom"/>
            <w:hideMark/>
          </w:tcPr>
          <w:p w14:paraId="32906B5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auto" w:fill="auto"/>
            <w:noWrap/>
            <w:vAlign w:val="bottom"/>
            <w:hideMark/>
          </w:tcPr>
          <w:p w14:paraId="6971C57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auto" w:fill="auto"/>
            <w:noWrap/>
            <w:vAlign w:val="bottom"/>
            <w:hideMark/>
          </w:tcPr>
          <w:p w14:paraId="4CB215B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0.23</w:t>
            </w:r>
          </w:p>
        </w:tc>
        <w:tc>
          <w:tcPr>
            <w:tcW w:w="640" w:type="dxa"/>
            <w:tcBorders>
              <w:top w:val="single" w:sz="4" w:space="0" w:color="8ED973"/>
              <w:left w:val="nil"/>
              <w:bottom w:val="single" w:sz="4" w:space="0" w:color="8ED973"/>
              <w:right w:val="nil"/>
            </w:tcBorders>
            <w:shd w:val="clear" w:color="auto" w:fill="auto"/>
            <w:noWrap/>
            <w:vAlign w:val="bottom"/>
            <w:hideMark/>
          </w:tcPr>
          <w:p w14:paraId="66F6F38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0.20</w:t>
            </w:r>
          </w:p>
        </w:tc>
        <w:tc>
          <w:tcPr>
            <w:tcW w:w="640" w:type="dxa"/>
            <w:tcBorders>
              <w:top w:val="single" w:sz="4" w:space="0" w:color="8ED973"/>
              <w:left w:val="nil"/>
              <w:bottom w:val="single" w:sz="4" w:space="0" w:color="8ED973"/>
              <w:right w:val="nil"/>
            </w:tcBorders>
            <w:shd w:val="clear" w:color="auto" w:fill="auto"/>
            <w:noWrap/>
            <w:vAlign w:val="bottom"/>
            <w:hideMark/>
          </w:tcPr>
          <w:p w14:paraId="2AE86B4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0.24</w:t>
            </w:r>
          </w:p>
        </w:tc>
      </w:tr>
      <w:tr w:rsidR="006B2BBA" w:rsidRPr="006B2BBA" w14:paraId="6D10E495"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1A4F5C67"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JEA</w:t>
            </w:r>
          </w:p>
        </w:tc>
        <w:tc>
          <w:tcPr>
            <w:tcW w:w="640" w:type="dxa"/>
            <w:tcBorders>
              <w:top w:val="single" w:sz="4" w:space="0" w:color="8ED973"/>
              <w:left w:val="nil"/>
              <w:bottom w:val="single" w:sz="4" w:space="0" w:color="8ED973"/>
              <w:right w:val="nil"/>
            </w:tcBorders>
            <w:shd w:val="clear" w:color="DAF2D0" w:fill="DAF2D0"/>
            <w:noWrap/>
            <w:vAlign w:val="bottom"/>
            <w:hideMark/>
          </w:tcPr>
          <w:p w14:paraId="71989BE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0.20</w:t>
            </w:r>
          </w:p>
        </w:tc>
        <w:tc>
          <w:tcPr>
            <w:tcW w:w="640" w:type="dxa"/>
            <w:tcBorders>
              <w:top w:val="single" w:sz="4" w:space="0" w:color="8ED973"/>
              <w:left w:val="nil"/>
              <w:bottom w:val="single" w:sz="4" w:space="0" w:color="8ED973"/>
              <w:right w:val="nil"/>
            </w:tcBorders>
            <w:shd w:val="clear" w:color="DAF2D0" w:fill="DAF2D0"/>
            <w:noWrap/>
            <w:vAlign w:val="bottom"/>
            <w:hideMark/>
          </w:tcPr>
          <w:p w14:paraId="06A2E25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DAF2D0" w:fill="DAF2D0"/>
            <w:noWrap/>
            <w:vAlign w:val="bottom"/>
            <w:hideMark/>
          </w:tcPr>
          <w:p w14:paraId="31D2C8A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DAF2D0" w:fill="DAF2D0"/>
            <w:noWrap/>
            <w:vAlign w:val="bottom"/>
            <w:hideMark/>
          </w:tcPr>
          <w:p w14:paraId="7E68715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0.27</w:t>
            </w:r>
          </w:p>
        </w:tc>
        <w:tc>
          <w:tcPr>
            <w:tcW w:w="640" w:type="dxa"/>
            <w:tcBorders>
              <w:top w:val="single" w:sz="4" w:space="0" w:color="8ED973"/>
              <w:left w:val="nil"/>
              <w:bottom w:val="single" w:sz="4" w:space="0" w:color="8ED973"/>
              <w:right w:val="nil"/>
            </w:tcBorders>
            <w:shd w:val="clear" w:color="DAF2D0" w:fill="DAF2D0"/>
            <w:noWrap/>
            <w:vAlign w:val="bottom"/>
            <w:hideMark/>
          </w:tcPr>
          <w:p w14:paraId="07D17CD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0.33</w:t>
            </w:r>
          </w:p>
        </w:tc>
        <w:tc>
          <w:tcPr>
            <w:tcW w:w="640" w:type="dxa"/>
            <w:tcBorders>
              <w:top w:val="single" w:sz="4" w:space="0" w:color="8ED973"/>
              <w:left w:val="nil"/>
              <w:bottom w:val="single" w:sz="4" w:space="0" w:color="8ED973"/>
              <w:right w:val="nil"/>
            </w:tcBorders>
            <w:shd w:val="clear" w:color="DAF2D0" w:fill="DAF2D0"/>
            <w:noWrap/>
            <w:vAlign w:val="bottom"/>
            <w:hideMark/>
          </w:tcPr>
          <w:p w14:paraId="0AAFE4C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0.15</w:t>
            </w:r>
          </w:p>
        </w:tc>
        <w:tc>
          <w:tcPr>
            <w:tcW w:w="640" w:type="dxa"/>
            <w:tcBorders>
              <w:top w:val="single" w:sz="4" w:space="0" w:color="8ED973"/>
              <w:left w:val="nil"/>
              <w:bottom w:val="single" w:sz="4" w:space="0" w:color="8ED973"/>
              <w:right w:val="nil"/>
            </w:tcBorders>
            <w:shd w:val="clear" w:color="DAF2D0" w:fill="DAF2D0"/>
            <w:noWrap/>
            <w:vAlign w:val="bottom"/>
            <w:hideMark/>
          </w:tcPr>
          <w:p w14:paraId="18E9875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DAF2D0" w:fill="DAF2D0"/>
            <w:noWrap/>
            <w:vAlign w:val="bottom"/>
            <w:hideMark/>
          </w:tcPr>
          <w:p w14:paraId="51FA83B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0.28</w:t>
            </w:r>
          </w:p>
        </w:tc>
        <w:tc>
          <w:tcPr>
            <w:tcW w:w="640" w:type="dxa"/>
            <w:tcBorders>
              <w:top w:val="single" w:sz="4" w:space="0" w:color="8ED973"/>
              <w:left w:val="nil"/>
              <w:bottom w:val="single" w:sz="4" w:space="0" w:color="8ED973"/>
              <w:right w:val="nil"/>
            </w:tcBorders>
            <w:shd w:val="clear" w:color="DAF2D0" w:fill="DAF2D0"/>
            <w:noWrap/>
            <w:vAlign w:val="bottom"/>
            <w:hideMark/>
          </w:tcPr>
          <w:p w14:paraId="129B5B7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0.31</w:t>
            </w:r>
          </w:p>
        </w:tc>
      </w:tr>
      <w:tr w:rsidR="006B2BBA" w:rsidRPr="006B2BBA" w14:paraId="3E824707"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3C1E07BD"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Los Angeles Department of Water and Power</w:t>
            </w:r>
          </w:p>
        </w:tc>
        <w:tc>
          <w:tcPr>
            <w:tcW w:w="640" w:type="dxa"/>
            <w:tcBorders>
              <w:top w:val="single" w:sz="4" w:space="0" w:color="8ED973"/>
              <w:left w:val="nil"/>
              <w:bottom w:val="single" w:sz="4" w:space="0" w:color="8ED973"/>
              <w:right w:val="nil"/>
            </w:tcBorders>
            <w:shd w:val="clear" w:color="auto" w:fill="auto"/>
            <w:noWrap/>
            <w:vAlign w:val="bottom"/>
            <w:hideMark/>
          </w:tcPr>
          <w:p w14:paraId="671BAEC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0.19</w:t>
            </w:r>
          </w:p>
        </w:tc>
        <w:tc>
          <w:tcPr>
            <w:tcW w:w="640" w:type="dxa"/>
            <w:tcBorders>
              <w:top w:val="single" w:sz="4" w:space="0" w:color="8ED973"/>
              <w:left w:val="nil"/>
              <w:bottom w:val="single" w:sz="4" w:space="0" w:color="8ED973"/>
              <w:right w:val="nil"/>
            </w:tcBorders>
            <w:shd w:val="clear" w:color="auto" w:fill="auto"/>
            <w:noWrap/>
            <w:vAlign w:val="bottom"/>
            <w:hideMark/>
          </w:tcPr>
          <w:p w14:paraId="2C0E0A2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auto" w:fill="auto"/>
            <w:noWrap/>
            <w:vAlign w:val="bottom"/>
            <w:hideMark/>
          </w:tcPr>
          <w:p w14:paraId="31A9250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0.15</w:t>
            </w:r>
          </w:p>
        </w:tc>
        <w:tc>
          <w:tcPr>
            <w:tcW w:w="640" w:type="dxa"/>
            <w:tcBorders>
              <w:top w:val="single" w:sz="4" w:space="0" w:color="8ED973"/>
              <w:left w:val="nil"/>
              <w:bottom w:val="single" w:sz="4" w:space="0" w:color="8ED973"/>
              <w:right w:val="nil"/>
            </w:tcBorders>
            <w:shd w:val="clear" w:color="auto" w:fill="auto"/>
            <w:noWrap/>
            <w:vAlign w:val="bottom"/>
            <w:hideMark/>
          </w:tcPr>
          <w:p w14:paraId="40FF799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auto" w:fill="auto"/>
            <w:noWrap/>
            <w:vAlign w:val="bottom"/>
            <w:hideMark/>
          </w:tcPr>
          <w:p w14:paraId="23E8076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0.15</w:t>
            </w:r>
          </w:p>
        </w:tc>
        <w:tc>
          <w:tcPr>
            <w:tcW w:w="640" w:type="dxa"/>
            <w:tcBorders>
              <w:top w:val="single" w:sz="4" w:space="0" w:color="8ED973"/>
              <w:left w:val="nil"/>
              <w:bottom w:val="single" w:sz="4" w:space="0" w:color="8ED973"/>
              <w:right w:val="nil"/>
            </w:tcBorders>
            <w:shd w:val="clear" w:color="auto" w:fill="auto"/>
            <w:noWrap/>
            <w:vAlign w:val="bottom"/>
            <w:hideMark/>
          </w:tcPr>
          <w:p w14:paraId="1770855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auto" w:fill="auto"/>
            <w:noWrap/>
            <w:vAlign w:val="bottom"/>
            <w:hideMark/>
          </w:tcPr>
          <w:p w14:paraId="52B8E1D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0.19</w:t>
            </w:r>
          </w:p>
        </w:tc>
        <w:tc>
          <w:tcPr>
            <w:tcW w:w="640" w:type="dxa"/>
            <w:tcBorders>
              <w:top w:val="single" w:sz="4" w:space="0" w:color="8ED973"/>
              <w:left w:val="nil"/>
              <w:bottom w:val="single" w:sz="4" w:space="0" w:color="8ED973"/>
              <w:right w:val="nil"/>
            </w:tcBorders>
            <w:shd w:val="clear" w:color="auto" w:fill="auto"/>
            <w:noWrap/>
            <w:vAlign w:val="bottom"/>
            <w:hideMark/>
          </w:tcPr>
          <w:p w14:paraId="19BC5FD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auto" w:fill="auto"/>
            <w:noWrap/>
            <w:vAlign w:val="bottom"/>
            <w:hideMark/>
          </w:tcPr>
          <w:p w14:paraId="6AB50B6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0.27</w:t>
            </w:r>
          </w:p>
        </w:tc>
      </w:tr>
      <w:tr w:rsidR="006B2BBA" w:rsidRPr="006B2BBA" w14:paraId="0D55939E"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26EBB9A0"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Western Area Power Administration - Desert Southwest Region</w:t>
            </w:r>
          </w:p>
        </w:tc>
        <w:tc>
          <w:tcPr>
            <w:tcW w:w="640" w:type="dxa"/>
            <w:tcBorders>
              <w:top w:val="single" w:sz="4" w:space="0" w:color="8ED973"/>
              <w:left w:val="nil"/>
              <w:bottom w:val="single" w:sz="4" w:space="0" w:color="8ED973"/>
              <w:right w:val="nil"/>
            </w:tcBorders>
            <w:shd w:val="clear" w:color="DAF2D0" w:fill="DAF2D0"/>
            <w:noWrap/>
            <w:vAlign w:val="bottom"/>
            <w:hideMark/>
          </w:tcPr>
          <w:p w14:paraId="3C3D000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0.18</w:t>
            </w:r>
          </w:p>
        </w:tc>
        <w:tc>
          <w:tcPr>
            <w:tcW w:w="640" w:type="dxa"/>
            <w:tcBorders>
              <w:top w:val="single" w:sz="4" w:space="0" w:color="8ED973"/>
              <w:left w:val="nil"/>
              <w:bottom w:val="single" w:sz="4" w:space="0" w:color="8ED973"/>
              <w:right w:val="nil"/>
            </w:tcBorders>
            <w:shd w:val="clear" w:color="DAF2D0" w:fill="DAF2D0"/>
            <w:noWrap/>
            <w:vAlign w:val="bottom"/>
            <w:hideMark/>
          </w:tcPr>
          <w:p w14:paraId="0B37ACC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0.24</w:t>
            </w:r>
          </w:p>
        </w:tc>
        <w:tc>
          <w:tcPr>
            <w:tcW w:w="640" w:type="dxa"/>
            <w:tcBorders>
              <w:top w:val="single" w:sz="4" w:space="0" w:color="8ED973"/>
              <w:left w:val="nil"/>
              <w:bottom w:val="single" w:sz="4" w:space="0" w:color="8ED973"/>
              <w:right w:val="nil"/>
            </w:tcBorders>
            <w:shd w:val="clear" w:color="DAF2D0" w:fill="DAF2D0"/>
            <w:noWrap/>
            <w:vAlign w:val="bottom"/>
            <w:hideMark/>
          </w:tcPr>
          <w:p w14:paraId="71ECB8D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0.34</w:t>
            </w:r>
          </w:p>
        </w:tc>
        <w:tc>
          <w:tcPr>
            <w:tcW w:w="640" w:type="dxa"/>
            <w:tcBorders>
              <w:top w:val="single" w:sz="4" w:space="0" w:color="8ED973"/>
              <w:left w:val="nil"/>
              <w:bottom w:val="single" w:sz="4" w:space="0" w:color="8ED973"/>
              <w:right w:val="nil"/>
            </w:tcBorders>
            <w:shd w:val="clear" w:color="DAF2D0" w:fill="DAF2D0"/>
            <w:noWrap/>
            <w:vAlign w:val="bottom"/>
            <w:hideMark/>
          </w:tcPr>
          <w:p w14:paraId="217B184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0.30</w:t>
            </w:r>
          </w:p>
        </w:tc>
        <w:tc>
          <w:tcPr>
            <w:tcW w:w="640" w:type="dxa"/>
            <w:tcBorders>
              <w:top w:val="single" w:sz="4" w:space="0" w:color="8ED973"/>
              <w:left w:val="nil"/>
              <w:bottom w:val="single" w:sz="4" w:space="0" w:color="8ED973"/>
              <w:right w:val="nil"/>
            </w:tcBorders>
            <w:shd w:val="clear" w:color="DAF2D0" w:fill="DAF2D0"/>
            <w:noWrap/>
            <w:vAlign w:val="bottom"/>
            <w:hideMark/>
          </w:tcPr>
          <w:p w14:paraId="0A5FE48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DAF2D0" w:fill="DAF2D0"/>
            <w:noWrap/>
            <w:vAlign w:val="bottom"/>
            <w:hideMark/>
          </w:tcPr>
          <w:p w14:paraId="1BCE6BA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0.10</w:t>
            </w:r>
          </w:p>
        </w:tc>
        <w:tc>
          <w:tcPr>
            <w:tcW w:w="640" w:type="dxa"/>
            <w:tcBorders>
              <w:top w:val="single" w:sz="4" w:space="0" w:color="8ED973"/>
              <w:left w:val="nil"/>
              <w:bottom w:val="single" w:sz="4" w:space="0" w:color="8ED973"/>
              <w:right w:val="nil"/>
            </w:tcBorders>
            <w:shd w:val="clear" w:color="DAF2D0" w:fill="DAF2D0"/>
            <w:noWrap/>
            <w:vAlign w:val="bottom"/>
            <w:hideMark/>
          </w:tcPr>
          <w:p w14:paraId="5905AFE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0.08</w:t>
            </w:r>
          </w:p>
        </w:tc>
        <w:tc>
          <w:tcPr>
            <w:tcW w:w="640" w:type="dxa"/>
            <w:tcBorders>
              <w:top w:val="single" w:sz="4" w:space="0" w:color="8ED973"/>
              <w:left w:val="nil"/>
              <w:bottom w:val="single" w:sz="4" w:space="0" w:color="8ED973"/>
              <w:right w:val="nil"/>
            </w:tcBorders>
            <w:shd w:val="clear" w:color="DAF2D0" w:fill="DAF2D0"/>
            <w:noWrap/>
            <w:vAlign w:val="bottom"/>
            <w:hideMark/>
          </w:tcPr>
          <w:p w14:paraId="4A39110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0.13</w:t>
            </w:r>
          </w:p>
        </w:tc>
        <w:tc>
          <w:tcPr>
            <w:tcW w:w="640" w:type="dxa"/>
            <w:tcBorders>
              <w:top w:val="single" w:sz="4" w:space="0" w:color="8ED973"/>
              <w:left w:val="nil"/>
              <w:bottom w:val="single" w:sz="4" w:space="0" w:color="8ED973"/>
              <w:right w:val="nil"/>
            </w:tcBorders>
            <w:shd w:val="clear" w:color="DAF2D0" w:fill="DAF2D0"/>
            <w:noWrap/>
            <w:vAlign w:val="bottom"/>
            <w:hideMark/>
          </w:tcPr>
          <w:p w14:paraId="0A4ED53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0.11</w:t>
            </w:r>
          </w:p>
        </w:tc>
      </w:tr>
      <w:tr w:rsidR="006B2BBA" w:rsidRPr="006B2BBA" w14:paraId="72D9522D"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270CCD92"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ISO New England</w:t>
            </w:r>
          </w:p>
        </w:tc>
        <w:tc>
          <w:tcPr>
            <w:tcW w:w="640" w:type="dxa"/>
            <w:tcBorders>
              <w:top w:val="single" w:sz="4" w:space="0" w:color="8ED973"/>
              <w:left w:val="nil"/>
              <w:bottom w:val="single" w:sz="4" w:space="0" w:color="8ED973"/>
              <w:right w:val="nil"/>
            </w:tcBorders>
            <w:shd w:val="clear" w:color="auto" w:fill="auto"/>
            <w:noWrap/>
            <w:vAlign w:val="bottom"/>
            <w:hideMark/>
          </w:tcPr>
          <w:p w14:paraId="3137243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auto" w:fill="auto"/>
            <w:noWrap/>
            <w:vAlign w:val="bottom"/>
            <w:hideMark/>
          </w:tcPr>
          <w:p w14:paraId="2B754B7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auto" w:fill="auto"/>
            <w:noWrap/>
            <w:vAlign w:val="bottom"/>
            <w:hideMark/>
          </w:tcPr>
          <w:p w14:paraId="4DDBF26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auto" w:fill="auto"/>
            <w:noWrap/>
            <w:vAlign w:val="bottom"/>
            <w:hideMark/>
          </w:tcPr>
          <w:p w14:paraId="09EE8C9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auto" w:fill="auto"/>
            <w:noWrap/>
            <w:vAlign w:val="bottom"/>
            <w:hideMark/>
          </w:tcPr>
          <w:p w14:paraId="1F955C4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0.19</w:t>
            </w:r>
          </w:p>
        </w:tc>
        <w:tc>
          <w:tcPr>
            <w:tcW w:w="640" w:type="dxa"/>
            <w:tcBorders>
              <w:top w:val="single" w:sz="4" w:space="0" w:color="8ED973"/>
              <w:left w:val="nil"/>
              <w:bottom w:val="single" w:sz="4" w:space="0" w:color="8ED973"/>
              <w:right w:val="nil"/>
            </w:tcBorders>
            <w:shd w:val="clear" w:color="auto" w:fill="auto"/>
            <w:noWrap/>
            <w:vAlign w:val="bottom"/>
            <w:hideMark/>
          </w:tcPr>
          <w:p w14:paraId="400198D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0.20</w:t>
            </w:r>
          </w:p>
        </w:tc>
        <w:tc>
          <w:tcPr>
            <w:tcW w:w="640" w:type="dxa"/>
            <w:tcBorders>
              <w:top w:val="single" w:sz="4" w:space="0" w:color="8ED973"/>
              <w:left w:val="nil"/>
              <w:bottom w:val="single" w:sz="4" w:space="0" w:color="8ED973"/>
              <w:right w:val="nil"/>
            </w:tcBorders>
            <w:shd w:val="clear" w:color="auto" w:fill="auto"/>
            <w:noWrap/>
            <w:vAlign w:val="bottom"/>
            <w:hideMark/>
          </w:tcPr>
          <w:p w14:paraId="185208F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auto" w:fill="auto"/>
            <w:noWrap/>
            <w:vAlign w:val="bottom"/>
            <w:hideMark/>
          </w:tcPr>
          <w:p w14:paraId="1E2DB0F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0.14</w:t>
            </w:r>
          </w:p>
        </w:tc>
        <w:tc>
          <w:tcPr>
            <w:tcW w:w="640" w:type="dxa"/>
            <w:tcBorders>
              <w:top w:val="single" w:sz="4" w:space="0" w:color="8ED973"/>
              <w:left w:val="nil"/>
              <w:bottom w:val="single" w:sz="4" w:space="0" w:color="8ED973"/>
              <w:right w:val="nil"/>
            </w:tcBorders>
            <w:shd w:val="clear" w:color="auto" w:fill="auto"/>
            <w:noWrap/>
            <w:vAlign w:val="bottom"/>
            <w:hideMark/>
          </w:tcPr>
          <w:p w14:paraId="59E9A12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0.14</w:t>
            </w:r>
          </w:p>
        </w:tc>
      </w:tr>
      <w:tr w:rsidR="006B2BBA" w:rsidRPr="006B2BBA" w14:paraId="47FE838B"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16327AD7"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Nevada Power Company</w:t>
            </w:r>
          </w:p>
        </w:tc>
        <w:tc>
          <w:tcPr>
            <w:tcW w:w="640" w:type="dxa"/>
            <w:tcBorders>
              <w:top w:val="single" w:sz="4" w:space="0" w:color="8ED973"/>
              <w:left w:val="nil"/>
              <w:bottom w:val="single" w:sz="4" w:space="0" w:color="8ED973"/>
              <w:right w:val="nil"/>
            </w:tcBorders>
            <w:shd w:val="clear" w:color="DAF2D0" w:fill="DAF2D0"/>
            <w:noWrap/>
            <w:vAlign w:val="bottom"/>
            <w:hideMark/>
          </w:tcPr>
          <w:p w14:paraId="299F529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DAF2D0" w:fill="DAF2D0"/>
            <w:noWrap/>
            <w:vAlign w:val="bottom"/>
            <w:hideMark/>
          </w:tcPr>
          <w:p w14:paraId="602F2A9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DAF2D0" w:fill="DAF2D0"/>
            <w:noWrap/>
            <w:vAlign w:val="bottom"/>
            <w:hideMark/>
          </w:tcPr>
          <w:p w14:paraId="0C81B94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0.22</w:t>
            </w:r>
          </w:p>
        </w:tc>
        <w:tc>
          <w:tcPr>
            <w:tcW w:w="640" w:type="dxa"/>
            <w:tcBorders>
              <w:top w:val="single" w:sz="4" w:space="0" w:color="8ED973"/>
              <w:left w:val="nil"/>
              <w:bottom w:val="single" w:sz="4" w:space="0" w:color="8ED973"/>
              <w:right w:val="nil"/>
            </w:tcBorders>
            <w:shd w:val="clear" w:color="DAF2D0" w:fill="DAF2D0"/>
            <w:noWrap/>
            <w:vAlign w:val="bottom"/>
            <w:hideMark/>
          </w:tcPr>
          <w:p w14:paraId="67AC904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0.20</w:t>
            </w:r>
          </w:p>
        </w:tc>
        <w:tc>
          <w:tcPr>
            <w:tcW w:w="640" w:type="dxa"/>
            <w:tcBorders>
              <w:top w:val="single" w:sz="4" w:space="0" w:color="8ED973"/>
              <w:left w:val="nil"/>
              <w:bottom w:val="single" w:sz="4" w:space="0" w:color="8ED973"/>
              <w:right w:val="nil"/>
            </w:tcBorders>
            <w:shd w:val="clear" w:color="DAF2D0" w:fill="DAF2D0"/>
            <w:noWrap/>
            <w:vAlign w:val="bottom"/>
            <w:hideMark/>
          </w:tcPr>
          <w:p w14:paraId="622817A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DAF2D0" w:fill="DAF2D0"/>
            <w:noWrap/>
            <w:vAlign w:val="bottom"/>
            <w:hideMark/>
          </w:tcPr>
          <w:p w14:paraId="372091C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DAF2D0" w:fill="DAF2D0"/>
            <w:noWrap/>
            <w:vAlign w:val="bottom"/>
            <w:hideMark/>
          </w:tcPr>
          <w:p w14:paraId="7784470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DAF2D0" w:fill="DAF2D0"/>
            <w:noWrap/>
            <w:vAlign w:val="bottom"/>
            <w:hideMark/>
          </w:tcPr>
          <w:p w14:paraId="28A6581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DAF2D0" w:fill="DAF2D0"/>
            <w:noWrap/>
            <w:vAlign w:val="bottom"/>
            <w:hideMark/>
          </w:tcPr>
          <w:p w14:paraId="108E8E8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0.15</w:t>
            </w:r>
          </w:p>
        </w:tc>
      </w:tr>
      <w:tr w:rsidR="006B2BBA" w:rsidRPr="006B2BBA" w14:paraId="4E0B2873"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0A0955AC"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Arizona Public Service Company</w:t>
            </w:r>
          </w:p>
        </w:tc>
        <w:tc>
          <w:tcPr>
            <w:tcW w:w="640" w:type="dxa"/>
            <w:tcBorders>
              <w:top w:val="single" w:sz="4" w:space="0" w:color="8ED973"/>
              <w:left w:val="nil"/>
              <w:bottom w:val="single" w:sz="4" w:space="0" w:color="8ED973"/>
              <w:right w:val="nil"/>
            </w:tcBorders>
            <w:shd w:val="clear" w:color="auto" w:fill="auto"/>
            <w:noWrap/>
            <w:vAlign w:val="bottom"/>
            <w:hideMark/>
          </w:tcPr>
          <w:p w14:paraId="232869B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auto" w:fill="auto"/>
            <w:noWrap/>
            <w:vAlign w:val="bottom"/>
            <w:hideMark/>
          </w:tcPr>
          <w:p w14:paraId="606CA78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4365127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1782EA5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1465473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0C6A4F5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0.24</w:t>
            </w:r>
          </w:p>
        </w:tc>
        <w:tc>
          <w:tcPr>
            <w:tcW w:w="640" w:type="dxa"/>
            <w:tcBorders>
              <w:top w:val="single" w:sz="4" w:space="0" w:color="8ED973"/>
              <w:left w:val="nil"/>
              <w:bottom w:val="single" w:sz="4" w:space="0" w:color="8ED973"/>
              <w:right w:val="nil"/>
            </w:tcBorders>
            <w:shd w:val="clear" w:color="auto" w:fill="auto"/>
            <w:noWrap/>
            <w:vAlign w:val="bottom"/>
            <w:hideMark/>
          </w:tcPr>
          <w:p w14:paraId="6571A8B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0.37</w:t>
            </w:r>
          </w:p>
        </w:tc>
        <w:tc>
          <w:tcPr>
            <w:tcW w:w="640" w:type="dxa"/>
            <w:tcBorders>
              <w:top w:val="single" w:sz="4" w:space="0" w:color="8ED973"/>
              <w:left w:val="nil"/>
              <w:bottom w:val="single" w:sz="4" w:space="0" w:color="8ED973"/>
              <w:right w:val="nil"/>
            </w:tcBorders>
            <w:shd w:val="clear" w:color="auto" w:fill="auto"/>
            <w:noWrap/>
            <w:vAlign w:val="bottom"/>
            <w:hideMark/>
          </w:tcPr>
          <w:p w14:paraId="54619F7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0.34</w:t>
            </w:r>
          </w:p>
        </w:tc>
        <w:tc>
          <w:tcPr>
            <w:tcW w:w="640" w:type="dxa"/>
            <w:tcBorders>
              <w:top w:val="single" w:sz="4" w:space="0" w:color="8ED973"/>
              <w:left w:val="nil"/>
              <w:bottom w:val="single" w:sz="4" w:space="0" w:color="8ED973"/>
              <w:right w:val="nil"/>
            </w:tcBorders>
            <w:shd w:val="clear" w:color="auto" w:fill="auto"/>
            <w:noWrap/>
            <w:vAlign w:val="bottom"/>
            <w:hideMark/>
          </w:tcPr>
          <w:p w14:paraId="402E5F4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r>
      <w:tr w:rsidR="006B2BBA" w:rsidRPr="006B2BBA" w14:paraId="0A8FF859"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1D1B99F3"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New York Independent System Operator</w:t>
            </w:r>
          </w:p>
        </w:tc>
        <w:tc>
          <w:tcPr>
            <w:tcW w:w="640" w:type="dxa"/>
            <w:tcBorders>
              <w:top w:val="single" w:sz="4" w:space="0" w:color="8ED973"/>
              <w:left w:val="nil"/>
              <w:bottom w:val="single" w:sz="4" w:space="0" w:color="8ED973"/>
              <w:right w:val="nil"/>
            </w:tcBorders>
            <w:shd w:val="clear" w:color="DAF2D0" w:fill="DAF2D0"/>
            <w:noWrap/>
            <w:vAlign w:val="bottom"/>
            <w:hideMark/>
          </w:tcPr>
          <w:p w14:paraId="46EDAE6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DAF2D0" w:fill="DAF2D0"/>
            <w:noWrap/>
            <w:vAlign w:val="bottom"/>
            <w:hideMark/>
          </w:tcPr>
          <w:p w14:paraId="2748AF4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DAF2D0" w:fill="DAF2D0"/>
            <w:noWrap/>
            <w:vAlign w:val="bottom"/>
            <w:hideMark/>
          </w:tcPr>
          <w:p w14:paraId="2A7965C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0.18</w:t>
            </w:r>
          </w:p>
        </w:tc>
        <w:tc>
          <w:tcPr>
            <w:tcW w:w="640" w:type="dxa"/>
            <w:tcBorders>
              <w:top w:val="single" w:sz="4" w:space="0" w:color="8ED973"/>
              <w:left w:val="nil"/>
              <w:bottom w:val="single" w:sz="4" w:space="0" w:color="8ED973"/>
              <w:right w:val="nil"/>
            </w:tcBorders>
            <w:shd w:val="clear" w:color="DAF2D0" w:fill="DAF2D0"/>
            <w:noWrap/>
            <w:vAlign w:val="bottom"/>
            <w:hideMark/>
          </w:tcPr>
          <w:p w14:paraId="0E41559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DAF2D0" w:fill="DAF2D0"/>
            <w:noWrap/>
            <w:vAlign w:val="bottom"/>
            <w:hideMark/>
          </w:tcPr>
          <w:p w14:paraId="7B7E19D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DAF2D0" w:fill="DAF2D0"/>
            <w:noWrap/>
            <w:vAlign w:val="bottom"/>
            <w:hideMark/>
          </w:tcPr>
          <w:p w14:paraId="2FB3051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0.14</w:t>
            </w:r>
          </w:p>
        </w:tc>
        <w:tc>
          <w:tcPr>
            <w:tcW w:w="640" w:type="dxa"/>
            <w:tcBorders>
              <w:top w:val="single" w:sz="4" w:space="0" w:color="8ED973"/>
              <w:left w:val="nil"/>
              <w:bottom w:val="single" w:sz="4" w:space="0" w:color="8ED973"/>
              <w:right w:val="nil"/>
            </w:tcBorders>
            <w:shd w:val="clear" w:color="DAF2D0" w:fill="DAF2D0"/>
            <w:noWrap/>
            <w:vAlign w:val="bottom"/>
            <w:hideMark/>
          </w:tcPr>
          <w:p w14:paraId="01D7C42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0.18</w:t>
            </w:r>
          </w:p>
        </w:tc>
        <w:tc>
          <w:tcPr>
            <w:tcW w:w="640" w:type="dxa"/>
            <w:tcBorders>
              <w:top w:val="single" w:sz="4" w:space="0" w:color="8ED973"/>
              <w:left w:val="nil"/>
              <w:bottom w:val="single" w:sz="4" w:space="0" w:color="8ED973"/>
              <w:right w:val="nil"/>
            </w:tcBorders>
            <w:shd w:val="clear" w:color="DAF2D0" w:fill="DAF2D0"/>
            <w:noWrap/>
            <w:vAlign w:val="bottom"/>
            <w:hideMark/>
          </w:tcPr>
          <w:p w14:paraId="4D8C38B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0.19</w:t>
            </w:r>
          </w:p>
        </w:tc>
        <w:tc>
          <w:tcPr>
            <w:tcW w:w="640" w:type="dxa"/>
            <w:tcBorders>
              <w:top w:val="single" w:sz="4" w:space="0" w:color="8ED973"/>
              <w:left w:val="nil"/>
              <w:bottom w:val="single" w:sz="4" w:space="0" w:color="8ED973"/>
              <w:right w:val="nil"/>
            </w:tcBorders>
            <w:shd w:val="clear" w:color="DAF2D0" w:fill="DAF2D0"/>
            <w:noWrap/>
            <w:vAlign w:val="bottom"/>
            <w:hideMark/>
          </w:tcPr>
          <w:p w14:paraId="1767F78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r>
      <w:tr w:rsidR="006B2BBA" w:rsidRPr="006B2BBA" w14:paraId="303BCC15"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50371CF0"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Public Service Company of Colorado</w:t>
            </w:r>
          </w:p>
        </w:tc>
        <w:tc>
          <w:tcPr>
            <w:tcW w:w="640" w:type="dxa"/>
            <w:tcBorders>
              <w:top w:val="single" w:sz="4" w:space="0" w:color="8ED973"/>
              <w:left w:val="nil"/>
              <w:bottom w:val="single" w:sz="4" w:space="0" w:color="8ED973"/>
              <w:right w:val="nil"/>
            </w:tcBorders>
            <w:shd w:val="clear" w:color="auto" w:fill="auto"/>
            <w:noWrap/>
            <w:vAlign w:val="bottom"/>
            <w:hideMark/>
          </w:tcPr>
          <w:p w14:paraId="6D5DFC4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auto" w:fill="auto"/>
            <w:noWrap/>
            <w:vAlign w:val="bottom"/>
            <w:hideMark/>
          </w:tcPr>
          <w:p w14:paraId="49A4088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0.12</w:t>
            </w:r>
          </w:p>
        </w:tc>
        <w:tc>
          <w:tcPr>
            <w:tcW w:w="640" w:type="dxa"/>
            <w:tcBorders>
              <w:top w:val="single" w:sz="4" w:space="0" w:color="8ED973"/>
              <w:left w:val="nil"/>
              <w:bottom w:val="single" w:sz="4" w:space="0" w:color="8ED973"/>
              <w:right w:val="nil"/>
            </w:tcBorders>
            <w:shd w:val="clear" w:color="auto" w:fill="auto"/>
            <w:noWrap/>
            <w:vAlign w:val="bottom"/>
            <w:hideMark/>
          </w:tcPr>
          <w:p w14:paraId="34E73F7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0.11</w:t>
            </w:r>
          </w:p>
        </w:tc>
        <w:tc>
          <w:tcPr>
            <w:tcW w:w="640" w:type="dxa"/>
            <w:tcBorders>
              <w:top w:val="single" w:sz="4" w:space="0" w:color="8ED973"/>
              <w:left w:val="nil"/>
              <w:bottom w:val="single" w:sz="4" w:space="0" w:color="8ED973"/>
              <w:right w:val="nil"/>
            </w:tcBorders>
            <w:shd w:val="clear" w:color="auto" w:fill="auto"/>
            <w:noWrap/>
            <w:vAlign w:val="bottom"/>
            <w:hideMark/>
          </w:tcPr>
          <w:p w14:paraId="267A82B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auto" w:fill="auto"/>
            <w:noWrap/>
            <w:vAlign w:val="bottom"/>
            <w:hideMark/>
          </w:tcPr>
          <w:p w14:paraId="44F548B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auto" w:fill="auto"/>
            <w:noWrap/>
            <w:vAlign w:val="bottom"/>
            <w:hideMark/>
          </w:tcPr>
          <w:p w14:paraId="10F3BB6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0.08</w:t>
            </w:r>
          </w:p>
        </w:tc>
        <w:tc>
          <w:tcPr>
            <w:tcW w:w="640" w:type="dxa"/>
            <w:tcBorders>
              <w:top w:val="single" w:sz="4" w:space="0" w:color="8ED973"/>
              <w:left w:val="nil"/>
              <w:bottom w:val="single" w:sz="4" w:space="0" w:color="8ED973"/>
              <w:right w:val="nil"/>
            </w:tcBorders>
            <w:shd w:val="clear" w:color="auto" w:fill="auto"/>
            <w:noWrap/>
            <w:vAlign w:val="bottom"/>
            <w:hideMark/>
          </w:tcPr>
          <w:p w14:paraId="7169EC6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auto" w:fill="auto"/>
            <w:noWrap/>
            <w:vAlign w:val="bottom"/>
            <w:hideMark/>
          </w:tcPr>
          <w:p w14:paraId="079E56C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auto" w:fill="auto"/>
            <w:noWrap/>
            <w:vAlign w:val="bottom"/>
            <w:hideMark/>
          </w:tcPr>
          <w:p w14:paraId="6072D3F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1B8A7002"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0111116F"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Associated Electric Cooperative, Inc.</w:t>
            </w:r>
          </w:p>
        </w:tc>
        <w:tc>
          <w:tcPr>
            <w:tcW w:w="640" w:type="dxa"/>
            <w:tcBorders>
              <w:top w:val="single" w:sz="4" w:space="0" w:color="8ED973"/>
              <w:left w:val="nil"/>
              <w:bottom w:val="single" w:sz="4" w:space="0" w:color="8ED973"/>
              <w:right w:val="nil"/>
            </w:tcBorders>
            <w:shd w:val="clear" w:color="DAF2D0" w:fill="DAF2D0"/>
            <w:noWrap/>
            <w:vAlign w:val="bottom"/>
            <w:hideMark/>
          </w:tcPr>
          <w:p w14:paraId="06D66D9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DAF2D0" w:fill="DAF2D0"/>
            <w:noWrap/>
            <w:vAlign w:val="bottom"/>
            <w:hideMark/>
          </w:tcPr>
          <w:p w14:paraId="6B3748B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42EE954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DAF2D0" w:fill="DAF2D0"/>
            <w:noWrap/>
            <w:vAlign w:val="bottom"/>
            <w:hideMark/>
          </w:tcPr>
          <w:p w14:paraId="55E1846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DAF2D0" w:fill="DAF2D0"/>
            <w:noWrap/>
            <w:vAlign w:val="bottom"/>
            <w:hideMark/>
          </w:tcPr>
          <w:p w14:paraId="47A16BC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DAF2D0" w:fill="DAF2D0"/>
            <w:noWrap/>
            <w:vAlign w:val="bottom"/>
            <w:hideMark/>
          </w:tcPr>
          <w:p w14:paraId="16B0EE5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DAF2D0" w:fill="DAF2D0"/>
            <w:noWrap/>
            <w:vAlign w:val="bottom"/>
            <w:hideMark/>
          </w:tcPr>
          <w:p w14:paraId="1CB43DC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0.09</w:t>
            </w:r>
          </w:p>
        </w:tc>
        <w:tc>
          <w:tcPr>
            <w:tcW w:w="640" w:type="dxa"/>
            <w:tcBorders>
              <w:top w:val="single" w:sz="4" w:space="0" w:color="8ED973"/>
              <w:left w:val="nil"/>
              <w:bottom w:val="single" w:sz="4" w:space="0" w:color="8ED973"/>
              <w:right w:val="nil"/>
            </w:tcBorders>
            <w:shd w:val="clear" w:color="DAF2D0" w:fill="DAF2D0"/>
            <w:noWrap/>
            <w:vAlign w:val="bottom"/>
            <w:hideMark/>
          </w:tcPr>
          <w:p w14:paraId="49B38BC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0.08</w:t>
            </w:r>
          </w:p>
        </w:tc>
        <w:tc>
          <w:tcPr>
            <w:tcW w:w="640" w:type="dxa"/>
            <w:tcBorders>
              <w:top w:val="single" w:sz="4" w:space="0" w:color="8ED973"/>
              <w:left w:val="nil"/>
              <w:bottom w:val="single" w:sz="4" w:space="0" w:color="8ED973"/>
              <w:right w:val="nil"/>
            </w:tcBorders>
            <w:shd w:val="clear" w:color="DAF2D0" w:fill="DAF2D0"/>
            <w:noWrap/>
            <w:vAlign w:val="bottom"/>
            <w:hideMark/>
          </w:tcPr>
          <w:p w14:paraId="08074FB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0.11</w:t>
            </w:r>
          </w:p>
        </w:tc>
      </w:tr>
      <w:tr w:rsidR="006B2BBA" w:rsidRPr="006B2BBA" w14:paraId="40EFD020"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28F7C39C"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Midcontinent Independent System Operator, Inc.</w:t>
            </w:r>
          </w:p>
        </w:tc>
        <w:tc>
          <w:tcPr>
            <w:tcW w:w="640" w:type="dxa"/>
            <w:tcBorders>
              <w:top w:val="single" w:sz="4" w:space="0" w:color="8ED973"/>
              <w:left w:val="nil"/>
              <w:bottom w:val="single" w:sz="4" w:space="0" w:color="8ED973"/>
              <w:right w:val="nil"/>
            </w:tcBorders>
            <w:shd w:val="clear" w:color="auto" w:fill="auto"/>
            <w:noWrap/>
            <w:vAlign w:val="bottom"/>
            <w:hideMark/>
          </w:tcPr>
          <w:p w14:paraId="44180B1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auto" w:fill="auto"/>
            <w:noWrap/>
            <w:vAlign w:val="bottom"/>
            <w:hideMark/>
          </w:tcPr>
          <w:p w14:paraId="696D6B6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auto" w:fill="auto"/>
            <w:noWrap/>
            <w:vAlign w:val="bottom"/>
            <w:hideMark/>
          </w:tcPr>
          <w:p w14:paraId="25BD712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0.08</w:t>
            </w:r>
          </w:p>
        </w:tc>
        <w:tc>
          <w:tcPr>
            <w:tcW w:w="640" w:type="dxa"/>
            <w:tcBorders>
              <w:top w:val="single" w:sz="4" w:space="0" w:color="8ED973"/>
              <w:left w:val="nil"/>
              <w:bottom w:val="single" w:sz="4" w:space="0" w:color="8ED973"/>
              <w:right w:val="nil"/>
            </w:tcBorders>
            <w:shd w:val="clear" w:color="auto" w:fill="auto"/>
            <w:noWrap/>
            <w:vAlign w:val="bottom"/>
            <w:hideMark/>
          </w:tcPr>
          <w:p w14:paraId="6FA9F9B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auto" w:fill="auto"/>
            <w:noWrap/>
            <w:vAlign w:val="bottom"/>
            <w:hideMark/>
          </w:tcPr>
          <w:p w14:paraId="66DDF5E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0.08</w:t>
            </w:r>
          </w:p>
        </w:tc>
        <w:tc>
          <w:tcPr>
            <w:tcW w:w="640" w:type="dxa"/>
            <w:tcBorders>
              <w:top w:val="single" w:sz="4" w:space="0" w:color="8ED973"/>
              <w:left w:val="nil"/>
              <w:bottom w:val="single" w:sz="4" w:space="0" w:color="8ED973"/>
              <w:right w:val="nil"/>
            </w:tcBorders>
            <w:shd w:val="clear" w:color="auto" w:fill="auto"/>
            <w:noWrap/>
            <w:vAlign w:val="bottom"/>
            <w:hideMark/>
          </w:tcPr>
          <w:p w14:paraId="6C2FE56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0.09</w:t>
            </w:r>
          </w:p>
        </w:tc>
        <w:tc>
          <w:tcPr>
            <w:tcW w:w="640" w:type="dxa"/>
            <w:tcBorders>
              <w:top w:val="single" w:sz="4" w:space="0" w:color="8ED973"/>
              <w:left w:val="nil"/>
              <w:bottom w:val="single" w:sz="4" w:space="0" w:color="8ED973"/>
              <w:right w:val="nil"/>
            </w:tcBorders>
            <w:shd w:val="clear" w:color="auto" w:fill="auto"/>
            <w:noWrap/>
            <w:vAlign w:val="bottom"/>
            <w:hideMark/>
          </w:tcPr>
          <w:p w14:paraId="048080A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auto" w:fill="auto"/>
            <w:noWrap/>
            <w:vAlign w:val="bottom"/>
            <w:hideMark/>
          </w:tcPr>
          <w:p w14:paraId="50D35CA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auto" w:fill="auto"/>
            <w:noWrap/>
            <w:vAlign w:val="bottom"/>
            <w:hideMark/>
          </w:tcPr>
          <w:p w14:paraId="57966D6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r>
      <w:tr w:rsidR="006B2BBA" w:rsidRPr="006B2BBA" w14:paraId="49B8F12C"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4B102EF2"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PacifiCorp East</w:t>
            </w:r>
          </w:p>
        </w:tc>
        <w:tc>
          <w:tcPr>
            <w:tcW w:w="640" w:type="dxa"/>
            <w:tcBorders>
              <w:top w:val="single" w:sz="4" w:space="0" w:color="8ED973"/>
              <w:left w:val="nil"/>
              <w:bottom w:val="single" w:sz="4" w:space="0" w:color="8ED973"/>
              <w:right w:val="nil"/>
            </w:tcBorders>
            <w:shd w:val="clear" w:color="DAF2D0" w:fill="DAF2D0"/>
            <w:noWrap/>
            <w:vAlign w:val="bottom"/>
            <w:hideMark/>
          </w:tcPr>
          <w:p w14:paraId="46E5D32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DAF2D0" w:fill="DAF2D0"/>
            <w:noWrap/>
            <w:vAlign w:val="bottom"/>
            <w:hideMark/>
          </w:tcPr>
          <w:p w14:paraId="79E265D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DAF2D0" w:fill="DAF2D0"/>
            <w:noWrap/>
            <w:vAlign w:val="bottom"/>
            <w:hideMark/>
          </w:tcPr>
          <w:p w14:paraId="7D68FD4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DAF2D0" w:fill="DAF2D0"/>
            <w:noWrap/>
            <w:vAlign w:val="bottom"/>
            <w:hideMark/>
          </w:tcPr>
          <w:p w14:paraId="3FC9A4D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DAF2D0" w:fill="DAF2D0"/>
            <w:noWrap/>
            <w:vAlign w:val="bottom"/>
            <w:hideMark/>
          </w:tcPr>
          <w:p w14:paraId="35C4FB4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DAF2D0" w:fill="DAF2D0"/>
            <w:noWrap/>
            <w:vAlign w:val="bottom"/>
            <w:hideMark/>
          </w:tcPr>
          <w:p w14:paraId="60E7ED3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DAF2D0" w:fill="DAF2D0"/>
            <w:noWrap/>
            <w:vAlign w:val="bottom"/>
            <w:hideMark/>
          </w:tcPr>
          <w:p w14:paraId="3C833EF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DAF2D0" w:fill="DAF2D0"/>
            <w:noWrap/>
            <w:vAlign w:val="bottom"/>
            <w:hideMark/>
          </w:tcPr>
          <w:p w14:paraId="1212DB6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7878B4B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r>
      <w:tr w:rsidR="006B2BBA" w:rsidRPr="006B2BBA" w14:paraId="0EB0A01B"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5708FD06"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Public Service Company of New Mexico</w:t>
            </w:r>
          </w:p>
        </w:tc>
        <w:tc>
          <w:tcPr>
            <w:tcW w:w="640" w:type="dxa"/>
            <w:tcBorders>
              <w:top w:val="single" w:sz="4" w:space="0" w:color="8ED973"/>
              <w:left w:val="nil"/>
              <w:bottom w:val="single" w:sz="4" w:space="0" w:color="8ED973"/>
              <w:right w:val="nil"/>
            </w:tcBorders>
            <w:shd w:val="clear" w:color="auto" w:fill="auto"/>
            <w:noWrap/>
            <w:vAlign w:val="bottom"/>
            <w:hideMark/>
          </w:tcPr>
          <w:p w14:paraId="0EDFB96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auto" w:fill="auto"/>
            <w:noWrap/>
            <w:vAlign w:val="bottom"/>
            <w:hideMark/>
          </w:tcPr>
          <w:p w14:paraId="37D97A2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auto" w:fill="auto"/>
            <w:noWrap/>
            <w:vAlign w:val="bottom"/>
            <w:hideMark/>
          </w:tcPr>
          <w:p w14:paraId="2D3088D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39FF0D1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0.09</w:t>
            </w:r>
          </w:p>
        </w:tc>
        <w:tc>
          <w:tcPr>
            <w:tcW w:w="640" w:type="dxa"/>
            <w:tcBorders>
              <w:top w:val="single" w:sz="4" w:space="0" w:color="8ED973"/>
              <w:left w:val="nil"/>
              <w:bottom w:val="single" w:sz="4" w:space="0" w:color="8ED973"/>
              <w:right w:val="nil"/>
            </w:tcBorders>
            <w:shd w:val="clear" w:color="auto" w:fill="auto"/>
            <w:noWrap/>
            <w:vAlign w:val="bottom"/>
            <w:hideMark/>
          </w:tcPr>
          <w:p w14:paraId="08A68C9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0.08</w:t>
            </w:r>
          </w:p>
        </w:tc>
        <w:tc>
          <w:tcPr>
            <w:tcW w:w="640" w:type="dxa"/>
            <w:tcBorders>
              <w:top w:val="single" w:sz="4" w:space="0" w:color="8ED973"/>
              <w:left w:val="nil"/>
              <w:bottom w:val="single" w:sz="4" w:space="0" w:color="8ED973"/>
              <w:right w:val="nil"/>
            </w:tcBorders>
            <w:shd w:val="clear" w:color="auto" w:fill="auto"/>
            <w:noWrap/>
            <w:vAlign w:val="bottom"/>
            <w:hideMark/>
          </w:tcPr>
          <w:p w14:paraId="786C572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auto" w:fill="auto"/>
            <w:noWrap/>
            <w:vAlign w:val="bottom"/>
            <w:hideMark/>
          </w:tcPr>
          <w:p w14:paraId="6F57FB8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auto" w:fill="auto"/>
            <w:noWrap/>
            <w:vAlign w:val="bottom"/>
            <w:hideMark/>
          </w:tcPr>
          <w:p w14:paraId="1D5A83F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auto" w:fill="auto"/>
            <w:noWrap/>
            <w:vAlign w:val="bottom"/>
            <w:hideMark/>
          </w:tcPr>
          <w:p w14:paraId="3485DE5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r>
      <w:tr w:rsidR="006B2BBA" w:rsidRPr="006B2BBA" w14:paraId="7368FB24"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28FAEB20"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lastRenderedPageBreak/>
              <w:t>Florida Municipal Power Pool</w:t>
            </w:r>
          </w:p>
        </w:tc>
        <w:tc>
          <w:tcPr>
            <w:tcW w:w="640" w:type="dxa"/>
            <w:tcBorders>
              <w:top w:val="single" w:sz="4" w:space="0" w:color="8ED973"/>
              <w:left w:val="nil"/>
              <w:bottom w:val="single" w:sz="4" w:space="0" w:color="8ED973"/>
              <w:right w:val="nil"/>
            </w:tcBorders>
            <w:shd w:val="clear" w:color="DAF2D0" w:fill="DAF2D0"/>
            <w:noWrap/>
            <w:vAlign w:val="bottom"/>
            <w:hideMark/>
          </w:tcPr>
          <w:p w14:paraId="3D1AF0C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DAF2D0" w:fill="DAF2D0"/>
            <w:noWrap/>
            <w:vAlign w:val="bottom"/>
            <w:hideMark/>
          </w:tcPr>
          <w:p w14:paraId="4D931CE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DAF2D0" w:fill="DAF2D0"/>
            <w:noWrap/>
            <w:vAlign w:val="bottom"/>
            <w:hideMark/>
          </w:tcPr>
          <w:p w14:paraId="1FC9201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DAF2D0" w:fill="DAF2D0"/>
            <w:noWrap/>
            <w:vAlign w:val="bottom"/>
            <w:hideMark/>
          </w:tcPr>
          <w:p w14:paraId="01DFE49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DAF2D0" w:fill="DAF2D0"/>
            <w:noWrap/>
            <w:vAlign w:val="bottom"/>
            <w:hideMark/>
          </w:tcPr>
          <w:p w14:paraId="055192C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DAF2D0" w:fill="DAF2D0"/>
            <w:noWrap/>
            <w:vAlign w:val="bottom"/>
            <w:hideMark/>
          </w:tcPr>
          <w:p w14:paraId="2579BEC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DAF2D0" w:fill="DAF2D0"/>
            <w:noWrap/>
            <w:vAlign w:val="bottom"/>
            <w:hideMark/>
          </w:tcPr>
          <w:p w14:paraId="4A98D63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645FB9B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DAF2D0" w:fill="DAF2D0"/>
            <w:noWrap/>
            <w:vAlign w:val="bottom"/>
            <w:hideMark/>
          </w:tcPr>
          <w:p w14:paraId="476471A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r>
      <w:tr w:rsidR="006B2BBA" w:rsidRPr="006B2BBA" w14:paraId="5E56FCE2"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1D778E5D"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Louisville Gas and Electric Company and Kentucky Utilities Company</w:t>
            </w:r>
          </w:p>
        </w:tc>
        <w:tc>
          <w:tcPr>
            <w:tcW w:w="640" w:type="dxa"/>
            <w:tcBorders>
              <w:top w:val="single" w:sz="4" w:space="0" w:color="8ED973"/>
              <w:left w:val="nil"/>
              <w:bottom w:val="single" w:sz="4" w:space="0" w:color="8ED973"/>
              <w:right w:val="nil"/>
            </w:tcBorders>
            <w:shd w:val="clear" w:color="auto" w:fill="auto"/>
            <w:noWrap/>
            <w:vAlign w:val="bottom"/>
            <w:hideMark/>
          </w:tcPr>
          <w:p w14:paraId="0E9D4A0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auto" w:fill="auto"/>
            <w:noWrap/>
            <w:vAlign w:val="bottom"/>
            <w:hideMark/>
          </w:tcPr>
          <w:p w14:paraId="432E740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6826A0F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2CFADF5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2F56760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auto" w:fill="auto"/>
            <w:noWrap/>
            <w:vAlign w:val="bottom"/>
            <w:hideMark/>
          </w:tcPr>
          <w:p w14:paraId="22FBB71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auto" w:fill="auto"/>
            <w:noWrap/>
            <w:vAlign w:val="bottom"/>
            <w:hideMark/>
          </w:tcPr>
          <w:p w14:paraId="2DAB326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auto" w:fill="auto"/>
            <w:noWrap/>
            <w:vAlign w:val="bottom"/>
            <w:hideMark/>
          </w:tcPr>
          <w:p w14:paraId="1BB8DBA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0.09</w:t>
            </w:r>
          </w:p>
        </w:tc>
        <w:tc>
          <w:tcPr>
            <w:tcW w:w="640" w:type="dxa"/>
            <w:tcBorders>
              <w:top w:val="single" w:sz="4" w:space="0" w:color="8ED973"/>
              <w:left w:val="nil"/>
              <w:bottom w:val="single" w:sz="4" w:space="0" w:color="8ED973"/>
              <w:right w:val="nil"/>
            </w:tcBorders>
            <w:shd w:val="clear" w:color="auto" w:fill="auto"/>
            <w:noWrap/>
            <w:vAlign w:val="bottom"/>
            <w:hideMark/>
          </w:tcPr>
          <w:p w14:paraId="1DD0624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0.12</w:t>
            </w:r>
          </w:p>
        </w:tc>
      </w:tr>
      <w:tr w:rsidR="006B2BBA" w:rsidRPr="006B2BBA" w14:paraId="21007D81"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4A3041B1" w14:textId="77777777" w:rsidR="006B2BBA" w:rsidRPr="006B2BBA" w:rsidRDefault="006B2BBA" w:rsidP="006B2BBA">
            <w:pPr>
              <w:spacing w:after="0" w:line="240" w:lineRule="auto"/>
              <w:rPr>
                <w:rFonts w:ascii="Aptos Narrow" w:eastAsia="Times New Roman" w:hAnsi="Aptos Narrow" w:cs="Times New Roman"/>
                <w:color w:val="000000"/>
              </w:rPr>
            </w:pPr>
            <w:proofErr w:type="spellStart"/>
            <w:r w:rsidRPr="006B2BBA">
              <w:rPr>
                <w:rFonts w:ascii="Aptos Narrow" w:eastAsia="Times New Roman" w:hAnsi="Aptos Narrow" w:cs="Times New Roman"/>
                <w:color w:val="000000"/>
              </w:rPr>
              <w:t>PowerSouth</w:t>
            </w:r>
            <w:proofErr w:type="spellEnd"/>
            <w:r w:rsidRPr="006B2BBA">
              <w:rPr>
                <w:rFonts w:ascii="Aptos Narrow" w:eastAsia="Times New Roman" w:hAnsi="Aptos Narrow" w:cs="Times New Roman"/>
                <w:color w:val="000000"/>
              </w:rPr>
              <w:t xml:space="preserve"> Energy Cooperative</w:t>
            </w:r>
          </w:p>
        </w:tc>
        <w:tc>
          <w:tcPr>
            <w:tcW w:w="640" w:type="dxa"/>
            <w:tcBorders>
              <w:top w:val="single" w:sz="4" w:space="0" w:color="8ED973"/>
              <w:left w:val="nil"/>
              <w:bottom w:val="single" w:sz="4" w:space="0" w:color="8ED973"/>
              <w:right w:val="nil"/>
            </w:tcBorders>
            <w:shd w:val="clear" w:color="DAF2D0" w:fill="DAF2D0"/>
            <w:noWrap/>
            <w:vAlign w:val="bottom"/>
            <w:hideMark/>
          </w:tcPr>
          <w:p w14:paraId="38550A1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DAF2D0" w:fill="DAF2D0"/>
            <w:noWrap/>
            <w:vAlign w:val="bottom"/>
            <w:hideMark/>
          </w:tcPr>
          <w:p w14:paraId="3171696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66E4713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64D8806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60C1FFE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DAF2D0" w:fill="DAF2D0"/>
            <w:noWrap/>
            <w:vAlign w:val="bottom"/>
            <w:hideMark/>
          </w:tcPr>
          <w:p w14:paraId="0D83F62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DAF2D0" w:fill="DAF2D0"/>
            <w:noWrap/>
            <w:vAlign w:val="bottom"/>
            <w:hideMark/>
          </w:tcPr>
          <w:p w14:paraId="1A86DB7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0.08</w:t>
            </w:r>
          </w:p>
        </w:tc>
        <w:tc>
          <w:tcPr>
            <w:tcW w:w="640" w:type="dxa"/>
            <w:tcBorders>
              <w:top w:val="single" w:sz="4" w:space="0" w:color="8ED973"/>
              <w:left w:val="nil"/>
              <w:bottom w:val="single" w:sz="4" w:space="0" w:color="8ED973"/>
              <w:right w:val="nil"/>
            </w:tcBorders>
            <w:shd w:val="clear" w:color="DAF2D0" w:fill="DAF2D0"/>
            <w:noWrap/>
            <w:vAlign w:val="bottom"/>
            <w:hideMark/>
          </w:tcPr>
          <w:p w14:paraId="429EE90E" w14:textId="77777777" w:rsidR="006B2BBA" w:rsidRPr="006B2BBA" w:rsidRDefault="006B2BBA" w:rsidP="006B2BBA">
            <w:pPr>
              <w:spacing w:after="0" w:line="240" w:lineRule="auto"/>
              <w:jc w:val="right"/>
              <w:rPr>
                <w:rFonts w:ascii="Aptos Narrow" w:eastAsia="Times New Roman" w:hAnsi="Aptos Narrow" w:cs="Times New Roman"/>
                <w:color w:val="000000"/>
              </w:rPr>
            </w:pPr>
          </w:p>
        </w:tc>
        <w:tc>
          <w:tcPr>
            <w:tcW w:w="640" w:type="dxa"/>
            <w:tcBorders>
              <w:top w:val="single" w:sz="4" w:space="0" w:color="8ED973"/>
              <w:left w:val="nil"/>
              <w:bottom w:val="single" w:sz="4" w:space="0" w:color="8ED973"/>
              <w:right w:val="nil"/>
            </w:tcBorders>
            <w:shd w:val="clear" w:color="DAF2D0" w:fill="DAF2D0"/>
            <w:noWrap/>
            <w:vAlign w:val="bottom"/>
            <w:hideMark/>
          </w:tcPr>
          <w:p w14:paraId="655FA316" w14:textId="77777777" w:rsidR="006B2BBA" w:rsidRPr="006B2BBA" w:rsidRDefault="006B2BBA" w:rsidP="006B2BBA">
            <w:pPr>
              <w:spacing w:after="0" w:line="240" w:lineRule="auto"/>
              <w:rPr>
                <w:rFonts w:ascii="Times New Roman" w:eastAsia="Times New Roman" w:hAnsi="Times New Roman" w:cs="Times New Roman"/>
                <w:sz w:val="20"/>
                <w:szCs w:val="20"/>
              </w:rPr>
            </w:pPr>
          </w:p>
        </w:tc>
      </w:tr>
      <w:tr w:rsidR="006B2BBA" w:rsidRPr="006B2BBA" w14:paraId="69E0C147"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2ADB70AB"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Duke Energy Progress East</w:t>
            </w:r>
          </w:p>
        </w:tc>
        <w:tc>
          <w:tcPr>
            <w:tcW w:w="640" w:type="dxa"/>
            <w:tcBorders>
              <w:top w:val="single" w:sz="4" w:space="0" w:color="8ED973"/>
              <w:left w:val="nil"/>
              <w:bottom w:val="single" w:sz="4" w:space="0" w:color="8ED973"/>
              <w:right w:val="nil"/>
            </w:tcBorders>
            <w:shd w:val="clear" w:color="auto" w:fill="auto"/>
            <w:noWrap/>
            <w:vAlign w:val="bottom"/>
            <w:hideMark/>
          </w:tcPr>
          <w:p w14:paraId="3F7E097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auto" w:fill="auto"/>
            <w:noWrap/>
            <w:vAlign w:val="bottom"/>
            <w:hideMark/>
          </w:tcPr>
          <w:p w14:paraId="613D0C2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auto" w:fill="auto"/>
            <w:noWrap/>
            <w:vAlign w:val="bottom"/>
            <w:hideMark/>
          </w:tcPr>
          <w:p w14:paraId="7E08987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auto" w:fill="auto"/>
            <w:noWrap/>
            <w:vAlign w:val="bottom"/>
            <w:hideMark/>
          </w:tcPr>
          <w:p w14:paraId="2ACE456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auto" w:fill="auto"/>
            <w:noWrap/>
            <w:vAlign w:val="bottom"/>
            <w:hideMark/>
          </w:tcPr>
          <w:p w14:paraId="46496C8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auto" w:fill="auto"/>
            <w:noWrap/>
            <w:vAlign w:val="bottom"/>
            <w:hideMark/>
          </w:tcPr>
          <w:p w14:paraId="09D5C81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auto" w:fill="auto"/>
            <w:noWrap/>
            <w:vAlign w:val="bottom"/>
            <w:hideMark/>
          </w:tcPr>
          <w:p w14:paraId="696A120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auto" w:fill="auto"/>
            <w:noWrap/>
            <w:vAlign w:val="bottom"/>
            <w:hideMark/>
          </w:tcPr>
          <w:p w14:paraId="2542005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auto" w:fill="auto"/>
            <w:noWrap/>
            <w:vAlign w:val="bottom"/>
            <w:hideMark/>
          </w:tcPr>
          <w:p w14:paraId="7014D29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r>
      <w:tr w:rsidR="006B2BBA" w:rsidRPr="006B2BBA" w14:paraId="3AC1CA6D"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6E639E87"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Duke Energy Carolinas</w:t>
            </w:r>
          </w:p>
        </w:tc>
        <w:tc>
          <w:tcPr>
            <w:tcW w:w="640" w:type="dxa"/>
            <w:tcBorders>
              <w:top w:val="single" w:sz="4" w:space="0" w:color="8ED973"/>
              <w:left w:val="nil"/>
              <w:bottom w:val="single" w:sz="4" w:space="0" w:color="8ED973"/>
              <w:right w:val="nil"/>
            </w:tcBorders>
            <w:shd w:val="clear" w:color="DAF2D0" w:fill="DAF2D0"/>
            <w:noWrap/>
            <w:vAlign w:val="bottom"/>
            <w:hideMark/>
          </w:tcPr>
          <w:p w14:paraId="7EC583C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7A5E128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05F9DB2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5D582DD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1AE4964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4E6632E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41BCA81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7D88FC6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0B46EB6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r>
      <w:tr w:rsidR="006B2BBA" w:rsidRPr="006B2BBA" w14:paraId="5A29CCFD"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377F82AD"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Florida Power &amp; Light Co.</w:t>
            </w:r>
          </w:p>
        </w:tc>
        <w:tc>
          <w:tcPr>
            <w:tcW w:w="640" w:type="dxa"/>
            <w:tcBorders>
              <w:top w:val="single" w:sz="4" w:space="0" w:color="8ED973"/>
              <w:left w:val="nil"/>
              <w:bottom w:val="single" w:sz="4" w:space="0" w:color="8ED973"/>
              <w:right w:val="nil"/>
            </w:tcBorders>
            <w:shd w:val="clear" w:color="auto" w:fill="auto"/>
            <w:noWrap/>
            <w:vAlign w:val="bottom"/>
            <w:hideMark/>
          </w:tcPr>
          <w:p w14:paraId="31C500D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auto" w:fill="auto"/>
            <w:noWrap/>
            <w:vAlign w:val="bottom"/>
            <w:hideMark/>
          </w:tcPr>
          <w:p w14:paraId="6DBDF15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auto" w:fill="auto"/>
            <w:noWrap/>
            <w:vAlign w:val="bottom"/>
            <w:hideMark/>
          </w:tcPr>
          <w:p w14:paraId="2AE0DAD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auto" w:fill="auto"/>
            <w:noWrap/>
            <w:vAlign w:val="bottom"/>
            <w:hideMark/>
          </w:tcPr>
          <w:p w14:paraId="0F385F8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00B53D0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43F1C7A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2D84E9F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5F0FC88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7B8C8DD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22C9F8F4"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10A9F123"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Public Utility District No. 2 of Grant County, Washington</w:t>
            </w:r>
          </w:p>
        </w:tc>
        <w:tc>
          <w:tcPr>
            <w:tcW w:w="640" w:type="dxa"/>
            <w:tcBorders>
              <w:top w:val="single" w:sz="4" w:space="0" w:color="8ED973"/>
              <w:left w:val="nil"/>
              <w:bottom w:val="single" w:sz="4" w:space="0" w:color="8ED973"/>
              <w:right w:val="nil"/>
            </w:tcBorders>
            <w:shd w:val="clear" w:color="DAF2D0" w:fill="DAF2D0"/>
            <w:noWrap/>
            <w:vAlign w:val="bottom"/>
            <w:hideMark/>
          </w:tcPr>
          <w:p w14:paraId="62947C6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7575F14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48B5496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6DCD680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7C1DBC0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DAF2D0" w:fill="DAF2D0"/>
            <w:noWrap/>
            <w:vAlign w:val="bottom"/>
            <w:hideMark/>
          </w:tcPr>
          <w:p w14:paraId="1BC405F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4A263E2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382A70E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4F3AEE0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r>
      <w:tr w:rsidR="006B2BBA" w:rsidRPr="006B2BBA" w14:paraId="4D6F0F80"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396078E4"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Tennessee Valley Authority</w:t>
            </w:r>
          </w:p>
        </w:tc>
        <w:tc>
          <w:tcPr>
            <w:tcW w:w="640" w:type="dxa"/>
            <w:tcBorders>
              <w:top w:val="single" w:sz="4" w:space="0" w:color="8ED973"/>
              <w:left w:val="nil"/>
              <w:bottom w:val="single" w:sz="4" w:space="0" w:color="8ED973"/>
              <w:right w:val="nil"/>
            </w:tcBorders>
            <w:shd w:val="clear" w:color="auto" w:fill="auto"/>
            <w:noWrap/>
            <w:vAlign w:val="bottom"/>
            <w:hideMark/>
          </w:tcPr>
          <w:p w14:paraId="450A8AE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auto" w:fill="auto"/>
            <w:noWrap/>
            <w:vAlign w:val="bottom"/>
            <w:hideMark/>
          </w:tcPr>
          <w:p w14:paraId="407FDC7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0438C60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1112A2E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12FFA0D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73CAA27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3FC8605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auto" w:fill="auto"/>
            <w:noWrap/>
            <w:vAlign w:val="bottom"/>
            <w:hideMark/>
          </w:tcPr>
          <w:p w14:paraId="0524B5A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auto" w:fill="auto"/>
            <w:noWrap/>
            <w:vAlign w:val="bottom"/>
            <w:hideMark/>
          </w:tcPr>
          <w:p w14:paraId="6C59D5E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r>
      <w:tr w:rsidR="006B2BBA" w:rsidRPr="006B2BBA" w14:paraId="15F816DD"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38B27798"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Dominion Energy South Carolina, Inc.</w:t>
            </w:r>
          </w:p>
        </w:tc>
        <w:tc>
          <w:tcPr>
            <w:tcW w:w="640" w:type="dxa"/>
            <w:tcBorders>
              <w:top w:val="single" w:sz="4" w:space="0" w:color="8ED973"/>
              <w:left w:val="nil"/>
              <w:bottom w:val="single" w:sz="4" w:space="0" w:color="8ED973"/>
              <w:right w:val="nil"/>
            </w:tcBorders>
            <w:shd w:val="clear" w:color="DAF2D0" w:fill="DAF2D0"/>
            <w:noWrap/>
            <w:vAlign w:val="bottom"/>
            <w:hideMark/>
          </w:tcPr>
          <w:p w14:paraId="31A2D0B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4E2EF0A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79D2F22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2CA0F14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3554F74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17A01BE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745AC84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59C22C7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09301DE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r>
      <w:tr w:rsidR="006B2BBA" w:rsidRPr="006B2BBA" w14:paraId="6A8BA9FB"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6991DDFF" w14:textId="77777777" w:rsidR="006B2BBA" w:rsidRPr="006B2BBA" w:rsidRDefault="006B2BBA" w:rsidP="006B2BBA">
            <w:pPr>
              <w:spacing w:after="0" w:line="240" w:lineRule="auto"/>
              <w:rPr>
                <w:rFonts w:ascii="Aptos Narrow" w:eastAsia="Times New Roman" w:hAnsi="Aptos Narrow" w:cs="Times New Roman"/>
                <w:color w:val="000000"/>
              </w:rPr>
            </w:pPr>
            <w:proofErr w:type="spellStart"/>
            <w:r w:rsidRPr="006B2BBA">
              <w:rPr>
                <w:rFonts w:ascii="Aptos Narrow" w:eastAsia="Times New Roman" w:hAnsi="Aptos Narrow" w:cs="Times New Roman"/>
                <w:color w:val="000000"/>
              </w:rPr>
              <w:t>NorthWestern</w:t>
            </w:r>
            <w:proofErr w:type="spellEnd"/>
            <w:r w:rsidRPr="006B2BBA">
              <w:rPr>
                <w:rFonts w:ascii="Aptos Narrow" w:eastAsia="Times New Roman" w:hAnsi="Aptos Narrow" w:cs="Times New Roman"/>
                <w:color w:val="000000"/>
              </w:rPr>
              <w:t xml:space="preserve"> Corporation</w:t>
            </w:r>
          </w:p>
        </w:tc>
        <w:tc>
          <w:tcPr>
            <w:tcW w:w="640" w:type="dxa"/>
            <w:tcBorders>
              <w:top w:val="single" w:sz="4" w:space="0" w:color="8ED973"/>
              <w:left w:val="nil"/>
              <w:bottom w:val="single" w:sz="4" w:space="0" w:color="8ED973"/>
              <w:right w:val="nil"/>
            </w:tcBorders>
            <w:shd w:val="clear" w:color="auto" w:fill="auto"/>
            <w:noWrap/>
            <w:vAlign w:val="bottom"/>
            <w:hideMark/>
          </w:tcPr>
          <w:p w14:paraId="1BFE64F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09733B3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24B328F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08363A0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235C28C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21945FA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auto" w:fill="auto"/>
            <w:noWrap/>
            <w:vAlign w:val="bottom"/>
            <w:hideMark/>
          </w:tcPr>
          <w:p w14:paraId="5425BCC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auto" w:fill="auto"/>
            <w:noWrap/>
            <w:vAlign w:val="bottom"/>
            <w:hideMark/>
          </w:tcPr>
          <w:p w14:paraId="46C883A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156F513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7B86C8CE"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0B04FDD2"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Salt River Project Agricultural Improvement and Power District</w:t>
            </w:r>
          </w:p>
        </w:tc>
        <w:tc>
          <w:tcPr>
            <w:tcW w:w="640" w:type="dxa"/>
            <w:tcBorders>
              <w:top w:val="single" w:sz="4" w:space="0" w:color="8ED973"/>
              <w:left w:val="nil"/>
              <w:bottom w:val="single" w:sz="4" w:space="0" w:color="8ED973"/>
              <w:right w:val="nil"/>
            </w:tcBorders>
            <w:shd w:val="clear" w:color="DAF2D0" w:fill="DAF2D0"/>
            <w:noWrap/>
            <w:vAlign w:val="bottom"/>
            <w:hideMark/>
          </w:tcPr>
          <w:p w14:paraId="598A098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1F9C484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DAF2D0" w:fill="DAF2D0"/>
            <w:noWrap/>
            <w:vAlign w:val="bottom"/>
            <w:hideMark/>
          </w:tcPr>
          <w:p w14:paraId="498D832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DAF2D0" w:fill="DAF2D0"/>
            <w:noWrap/>
            <w:vAlign w:val="bottom"/>
            <w:hideMark/>
          </w:tcPr>
          <w:p w14:paraId="54EDC50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DAF2D0" w:fill="DAF2D0"/>
            <w:noWrap/>
            <w:vAlign w:val="bottom"/>
            <w:hideMark/>
          </w:tcPr>
          <w:p w14:paraId="40ABED5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1EBDEA7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76D9B83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197D0B0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6D1C8E2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68896E4F"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7CD2883C"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Southwest Power Pool</w:t>
            </w:r>
          </w:p>
        </w:tc>
        <w:tc>
          <w:tcPr>
            <w:tcW w:w="640" w:type="dxa"/>
            <w:tcBorders>
              <w:top w:val="single" w:sz="4" w:space="0" w:color="8ED973"/>
              <w:left w:val="nil"/>
              <w:bottom w:val="single" w:sz="4" w:space="0" w:color="8ED973"/>
              <w:right w:val="nil"/>
            </w:tcBorders>
            <w:shd w:val="clear" w:color="auto" w:fill="auto"/>
            <w:noWrap/>
            <w:vAlign w:val="bottom"/>
            <w:hideMark/>
          </w:tcPr>
          <w:p w14:paraId="33C15A5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1BB273E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2815FBC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6E69C3D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6A8BA75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0A9F74F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2257290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04CEEB8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112F8EE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r>
      <w:tr w:rsidR="006B2BBA" w:rsidRPr="006B2BBA" w14:paraId="3D11090A"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7B59B05A"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Tampa Electric Company</w:t>
            </w:r>
          </w:p>
        </w:tc>
        <w:tc>
          <w:tcPr>
            <w:tcW w:w="640" w:type="dxa"/>
            <w:tcBorders>
              <w:top w:val="single" w:sz="4" w:space="0" w:color="8ED973"/>
              <w:left w:val="nil"/>
              <w:bottom w:val="single" w:sz="4" w:space="0" w:color="8ED973"/>
              <w:right w:val="nil"/>
            </w:tcBorders>
            <w:shd w:val="clear" w:color="DAF2D0" w:fill="DAF2D0"/>
            <w:noWrap/>
            <w:vAlign w:val="bottom"/>
            <w:hideMark/>
          </w:tcPr>
          <w:p w14:paraId="3ACF5CD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402A60F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34D736B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3F5B6A9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311507B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0ED5975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331B2C8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348948E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11BDE54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r>
      <w:tr w:rsidR="006B2BBA" w:rsidRPr="006B2BBA" w14:paraId="4FF877AD"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5194AC55"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Bonneville Power Administration</w:t>
            </w:r>
          </w:p>
        </w:tc>
        <w:tc>
          <w:tcPr>
            <w:tcW w:w="640" w:type="dxa"/>
            <w:tcBorders>
              <w:top w:val="single" w:sz="4" w:space="0" w:color="8ED973"/>
              <w:left w:val="nil"/>
              <w:bottom w:val="single" w:sz="4" w:space="0" w:color="8ED973"/>
              <w:right w:val="nil"/>
            </w:tcBorders>
            <w:shd w:val="clear" w:color="auto" w:fill="auto"/>
            <w:noWrap/>
            <w:vAlign w:val="bottom"/>
            <w:hideMark/>
          </w:tcPr>
          <w:p w14:paraId="4FA421B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66ADD4A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35C3D17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344801C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4977E0B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16F4AEA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43DC7B1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7C6B971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469151B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129ADBA9"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0A140968"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Electric Reliability Council of Texas, Inc.</w:t>
            </w:r>
          </w:p>
        </w:tc>
        <w:tc>
          <w:tcPr>
            <w:tcW w:w="640" w:type="dxa"/>
            <w:tcBorders>
              <w:top w:val="single" w:sz="4" w:space="0" w:color="8ED973"/>
              <w:left w:val="nil"/>
              <w:bottom w:val="single" w:sz="4" w:space="0" w:color="8ED973"/>
              <w:right w:val="nil"/>
            </w:tcBorders>
            <w:shd w:val="clear" w:color="DAF2D0" w:fill="DAF2D0"/>
            <w:noWrap/>
            <w:vAlign w:val="bottom"/>
            <w:hideMark/>
          </w:tcPr>
          <w:p w14:paraId="3DB9A14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156D6AC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21A708E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200E266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59E3B04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0EEF825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156833E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599CC94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6EE2EC9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00CCCD86"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59E99977"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PJM Interconnection, LLC</w:t>
            </w:r>
          </w:p>
        </w:tc>
        <w:tc>
          <w:tcPr>
            <w:tcW w:w="640" w:type="dxa"/>
            <w:tcBorders>
              <w:top w:val="single" w:sz="4" w:space="0" w:color="8ED973"/>
              <w:left w:val="nil"/>
              <w:bottom w:val="single" w:sz="4" w:space="0" w:color="8ED973"/>
              <w:right w:val="nil"/>
            </w:tcBorders>
            <w:shd w:val="clear" w:color="auto" w:fill="auto"/>
            <w:noWrap/>
            <w:vAlign w:val="bottom"/>
            <w:hideMark/>
          </w:tcPr>
          <w:p w14:paraId="71B1577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3B75B6B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2DEF6AC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54DFA45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22B06DD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657332A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0F6A8D6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05BE86E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7949018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41EE331D"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4BF53EC2"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Southern Company Services, Inc. - Trans</w:t>
            </w:r>
          </w:p>
        </w:tc>
        <w:tc>
          <w:tcPr>
            <w:tcW w:w="640" w:type="dxa"/>
            <w:tcBorders>
              <w:top w:val="single" w:sz="4" w:space="0" w:color="8ED973"/>
              <w:left w:val="nil"/>
              <w:bottom w:val="single" w:sz="4" w:space="0" w:color="8ED973"/>
              <w:right w:val="nil"/>
            </w:tcBorders>
            <w:shd w:val="clear" w:color="DAF2D0" w:fill="DAF2D0"/>
            <w:noWrap/>
            <w:vAlign w:val="bottom"/>
            <w:hideMark/>
          </w:tcPr>
          <w:p w14:paraId="1A75715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268A0C3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1904871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5DBFF5D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2846390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290797A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23523CD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24F49CA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572BAF3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78BD59BE"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6A2BC0B7"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Western Area Power Administration - Rocky Mountain Region</w:t>
            </w:r>
          </w:p>
        </w:tc>
        <w:tc>
          <w:tcPr>
            <w:tcW w:w="640" w:type="dxa"/>
            <w:tcBorders>
              <w:top w:val="single" w:sz="4" w:space="0" w:color="8ED973"/>
              <w:left w:val="nil"/>
              <w:bottom w:val="single" w:sz="4" w:space="0" w:color="8ED973"/>
              <w:right w:val="nil"/>
            </w:tcBorders>
            <w:shd w:val="clear" w:color="auto" w:fill="auto"/>
            <w:noWrap/>
            <w:vAlign w:val="bottom"/>
            <w:hideMark/>
          </w:tcPr>
          <w:p w14:paraId="2B8D1CE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5F99828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1F318E5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4B2EB83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5A5EAFB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7D87B1C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59BB34B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7DE3522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14D2DEE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bl>
    <w:p w14:paraId="71C344C2" w14:textId="77777777" w:rsidR="006B2BBA" w:rsidRDefault="006B2BBA" w:rsidP="0079338A">
      <w:pPr>
        <w:pStyle w:val="Caption"/>
        <w:keepNext/>
      </w:pPr>
      <w:bookmarkStart w:id="7" w:name="_Ref177631128"/>
    </w:p>
    <w:p w14:paraId="6EDC5BC0" w14:textId="77777777" w:rsidR="006B2BBA" w:rsidRDefault="006B2BBA">
      <w:pPr>
        <w:rPr>
          <w:i/>
          <w:iCs/>
          <w:color w:val="0E2841" w:themeColor="text2"/>
          <w:sz w:val="18"/>
          <w:szCs w:val="18"/>
        </w:rPr>
      </w:pPr>
      <w:r>
        <w:br w:type="page"/>
      </w:r>
    </w:p>
    <w:p w14:paraId="163BE9E0" w14:textId="769A8FF0" w:rsidR="00F9434B" w:rsidRDefault="00CC2639" w:rsidP="0079338A">
      <w:pPr>
        <w:pStyle w:val="Caption"/>
        <w:keepNext/>
      </w:pPr>
      <w:bookmarkStart w:id="8" w:name="_Ref179611033"/>
      <w:r>
        <w:lastRenderedPageBreak/>
        <w:t xml:space="preserve">Table </w:t>
      </w:r>
      <w:fldSimple w:instr=" SEQ Table \* ARABIC ">
        <w:r w:rsidR="00630ADB">
          <w:rPr>
            <w:noProof/>
          </w:rPr>
          <w:t>2</w:t>
        </w:r>
      </w:fldSimple>
      <w:bookmarkEnd w:id="7"/>
      <w:bookmarkEnd w:id="8"/>
      <w:r>
        <w:t xml:space="preserve"> Import diversity (measured by Shannon Diversity Index) by USA balancing authorities with annual average demand &gt;500 MW.</w:t>
      </w:r>
    </w:p>
    <w:tbl>
      <w:tblPr>
        <w:tblStyle w:val="GridTable4-Accent4"/>
        <w:tblW w:w="12093" w:type="dxa"/>
        <w:tblLook w:val="04A0" w:firstRow="1" w:lastRow="0" w:firstColumn="1" w:lastColumn="0" w:noHBand="0" w:noVBand="1"/>
      </w:tblPr>
      <w:tblGrid>
        <w:gridCol w:w="6300"/>
        <w:gridCol w:w="669"/>
        <w:gridCol w:w="663"/>
        <w:gridCol w:w="663"/>
        <w:gridCol w:w="663"/>
        <w:gridCol w:w="663"/>
        <w:gridCol w:w="663"/>
        <w:gridCol w:w="663"/>
        <w:gridCol w:w="663"/>
        <w:gridCol w:w="663"/>
      </w:tblGrid>
      <w:tr w:rsidR="00260939" w:rsidRPr="00260939" w14:paraId="74A94A56" w14:textId="77777777" w:rsidTr="00D7424B">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24EBB188" w14:textId="77777777" w:rsidR="00260939" w:rsidRPr="00260939" w:rsidRDefault="00260939" w:rsidP="00260939">
            <w:pPr>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Name</w:t>
            </w:r>
          </w:p>
        </w:tc>
        <w:tc>
          <w:tcPr>
            <w:tcW w:w="489" w:type="dxa"/>
            <w:noWrap/>
            <w:hideMark/>
          </w:tcPr>
          <w:p w14:paraId="01067CB6"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Total</w:t>
            </w:r>
          </w:p>
        </w:tc>
        <w:tc>
          <w:tcPr>
            <w:tcW w:w="663" w:type="dxa"/>
            <w:noWrap/>
            <w:hideMark/>
          </w:tcPr>
          <w:p w14:paraId="70EAFE79"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2016</w:t>
            </w:r>
          </w:p>
        </w:tc>
        <w:tc>
          <w:tcPr>
            <w:tcW w:w="663" w:type="dxa"/>
            <w:noWrap/>
            <w:hideMark/>
          </w:tcPr>
          <w:p w14:paraId="0231562F"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2017</w:t>
            </w:r>
          </w:p>
        </w:tc>
        <w:tc>
          <w:tcPr>
            <w:tcW w:w="663" w:type="dxa"/>
            <w:noWrap/>
            <w:hideMark/>
          </w:tcPr>
          <w:p w14:paraId="39C3E938"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2018</w:t>
            </w:r>
          </w:p>
        </w:tc>
        <w:tc>
          <w:tcPr>
            <w:tcW w:w="663" w:type="dxa"/>
            <w:noWrap/>
            <w:hideMark/>
          </w:tcPr>
          <w:p w14:paraId="2BD6E044"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2019</w:t>
            </w:r>
          </w:p>
        </w:tc>
        <w:tc>
          <w:tcPr>
            <w:tcW w:w="663" w:type="dxa"/>
            <w:noWrap/>
            <w:hideMark/>
          </w:tcPr>
          <w:p w14:paraId="6D664FCA"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2020</w:t>
            </w:r>
          </w:p>
        </w:tc>
        <w:tc>
          <w:tcPr>
            <w:tcW w:w="663" w:type="dxa"/>
            <w:noWrap/>
            <w:hideMark/>
          </w:tcPr>
          <w:p w14:paraId="090FF657"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2021</w:t>
            </w:r>
          </w:p>
        </w:tc>
        <w:tc>
          <w:tcPr>
            <w:tcW w:w="663" w:type="dxa"/>
            <w:noWrap/>
            <w:hideMark/>
          </w:tcPr>
          <w:p w14:paraId="446A281E"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2022</w:t>
            </w:r>
          </w:p>
        </w:tc>
        <w:tc>
          <w:tcPr>
            <w:tcW w:w="663" w:type="dxa"/>
            <w:noWrap/>
            <w:hideMark/>
          </w:tcPr>
          <w:p w14:paraId="3791EFCD"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2023</w:t>
            </w:r>
          </w:p>
        </w:tc>
      </w:tr>
      <w:tr w:rsidR="00260939" w:rsidRPr="00260939" w14:paraId="59E9A6A5"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D95AE4B"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Bonneville Power Administration</w:t>
            </w:r>
          </w:p>
        </w:tc>
        <w:tc>
          <w:tcPr>
            <w:tcW w:w="489" w:type="dxa"/>
            <w:noWrap/>
            <w:hideMark/>
          </w:tcPr>
          <w:p w14:paraId="124C403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1.93</w:t>
            </w:r>
          </w:p>
        </w:tc>
        <w:tc>
          <w:tcPr>
            <w:tcW w:w="663" w:type="dxa"/>
            <w:noWrap/>
            <w:hideMark/>
          </w:tcPr>
          <w:p w14:paraId="1247ACE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1.64</w:t>
            </w:r>
          </w:p>
        </w:tc>
        <w:tc>
          <w:tcPr>
            <w:tcW w:w="663" w:type="dxa"/>
            <w:noWrap/>
            <w:hideMark/>
          </w:tcPr>
          <w:p w14:paraId="62C12BF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1.71</w:t>
            </w:r>
          </w:p>
        </w:tc>
        <w:tc>
          <w:tcPr>
            <w:tcW w:w="663" w:type="dxa"/>
            <w:noWrap/>
            <w:hideMark/>
          </w:tcPr>
          <w:p w14:paraId="27C00A2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1.68</w:t>
            </w:r>
          </w:p>
        </w:tc>
        <w:tc>
          <w:tcPr>
            <w:tcW w:w="663" w:type="dxa"/>
            <w:noWrap/>
            <w:hideMark/>
          </w:tcPr>
          <w:p w14:paraId="0D52643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1.86</w:t>
            </w:r>
          </w:p>
        </w:tc>
        <w:tc>
          <w:tcPr>
            <w:tcW w:w="663" w:type="dxa"/>
            <w:noWrap/>
            <w:hideMark/>
          </w:tcPr>
          <w:p w14:paraId="2CDA867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1.72</w:t>
            </w:r>
          </w:p>
        </w:tc>
        <w:tc>
          <w:tcPr>
            <w:tcW w:w="663" w:type="dxa"/>
            <w:noWrap/>
            <w:hideMark/>
          </w:tcPr>
          <w:p w14:paraId="566554D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1.86</w:t>
            </w:r>
          </w:p>
        </w:tc>
        <w:tc>
          <w:tcPr>
            <w:tcW w:w="663" w:type="dxa"/>
            <w:noWrap/>
            <w:hideMark/>
          </w:tcPr>
          <w:p w14:paraId="08741B7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1.92</w:t>
            </w:r>
          </w:p>
        </w:tc>
        <w:tc>
          <w:tcPr>
            <w:tcW w:w="663" w:type="dxa"/>
            <w:noWrap/>
            <w:hideMark/>
          </w:tcPr>
          <w:p w14:paraId="694D6A0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2.11</w:t>
            </w:r>
          </w:p>
        </w:tc>
      </w:tr>
      <w:tr w:rsidR="00260939" w:rsidRPr="00260939" w14:paraId="6E49D5FC"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73AAFDCD"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California Independent System Operator</w:t>
            </w:r>
          </w:p>
        </w:tc>
        <w:tc>
          <w:tcPr>
            <w:tcW w:w="489" w:type="dxa"/>
            <w:noWrap/>
            <w:hideMark/>
          </w:tcPr>
          <w:p w14:paraId="01D796F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1.88</w:t>
            </w:r>
          </w:p>
        </w:tc>
        <w:tc>
          <w:tcPr>
            <w:tcW w:w="663" w:type="dxa"/>
            <w:noWrap/>
            <w:hideMark/>
          </w:tcPr>
          <w:p w14:paraId="46C72E0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1.73</w:t>
            </w:r>
          </w:p>
        </w:tc>
        <w:tc>
          <w:tcPr>
            <w:tcW w:w="663" w:type="dxa"/>
            <w:noWrap/>
            <w:hideMark/>
          </w:tcPr>
          <w:p w14:paraId="623D105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1.73</w:t>
            </w:r>
          </w:p>
        </w:tc>
        <w:tc>
          <w:tcPr>
            <w:tcW w:w="663" w:type="dxa"/>
            <w:noWrap/>
            <w:hideMark/>
          </w:tcPr>
          <w:p w14:paraId="5BA8D5F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1.69</w:t>
            </w:r>
          </w:p>
        </w:tc>
        <w:tc>
          <w:tcPr>
            <w:tcW w:w="663" w:type="dxa"/>
            <w:noWrap/>
            <w:hideMark/>
          </w:tcPr>
          <w:p w14:paraId="7726127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1.73</w:t>
            </w:r>
          </w:p>
        </w:tc>
        <w:tc>
          <w:tcPr>
            <w:tcW w:w="663" w:type="dxa"/>
            <w:noWrap/>
            <w:hideMark/>
          </w:tcPr>
          <w:p w14:paraId="0A9F4AF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1.82</w:t>
            </w:r>
          </w:p>
        </w:tc>
        <w:tc>
          <w:tcPr>
            <w:tcW w:w="663" w:type="dxa"/>
            <w:noWrap/>
            <w:hideMark/>
          </w:tcPr>
          <w:p w14:paraId="1C0C3A7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1.93</w:t>
            </w:r>
          </w:p>
        </w:tc>
        <w:tc>
          <w:tcPr>
            <w:tcW w:w="663" w:type="dxa"/>
            <w:noWrap/>
            <w:hideMark/>
          </w:tcPr>
          <w:p w14:paraId="1C2B419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1.91</w:t>
            </w:r>
          </w:p>
        </w:tc>
        <w:tc>
          <w:tcPr>
            <w:tcW w:w="663" w:type="dxa"/>
            <w:noWrap/>
            <w:hideMark/>
          </w:tcPr>
          <w:p w14:paraId="42811D3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1.92</w:t>
            </w:r>
          </w:p>
        </w:tc>
      </w:tr>
      <w:tr w:rsidR="00260939" w:rsidRPr="00260939" w14:paraId="27C8B173"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21A3280C"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Salt River Project Agricultural Improvement and Power District</w:t>
            </w:r>
          </w:p>
        </w:tc>
        <w:tc>
          <w:tcPr>
            <w:tcW w:w="489" w:type="dxa"/>
            <w:noWrap/>
            <w:hideMark/>
          </w:tcPr>
          <w:p w14:paraId="0B4425C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1.83</w:t>
            </w:r>
          </w:p>
        </w:tc>
        <w:tc>
          <w:tcPr>
            <w:tcW w:w="663" w:type="dxa"/>
            <w:noWrap/>
            <w:hideMark/>
          </w:tcPr>
          <w:p w14:paraId="506B3AA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1.30</w:t>
            </w:r>
          </w:p>
        </w:tc>
        <w:tc>
          <w:tcPr>
            <w:tcW w:w="663" w:type="dxa"/>
            <w:noWrap/>
            <w:hideMark/>
          </w:tcPr>
          <w:p w14:paraId="3CB7262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1.41</w:t>
            </w:r>
          </w:p>
        </w:tc>
        <w:tc>
          <w:tcPr>
            <w:tcW w:w="663" w:type="dxa"/>
            <w:noWrap/>
            <w:hideMark/>
          </w:tcPr>
          <w:p w14:paraId="593FE3E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1.43</w:t>
            </w:r>
          </w:p>
        </w:tc>
        <w:tc>
          <w:tcPr>
            <w:tcW w:w="663" w:type="dxa"/>
            <w:noWrap/>
            <w:hideMark/>
          </w:tcPr>
          <w:p w14:paraId="0316520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1.10</w:t>
            </w:r>
          </w:p>
        </w:tc>
        <w:tc>
          <w:tcPr>
            <w:tcW w:w="663" w:type="dxa"/>
            <w:noWrap/>
            <w:hideMark/>
          </w:tcPr>
          <w:p w14:paraId="0A54E8B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1.14</w:t>
            </w:r>
          </w:p>
        </w:tc>
        <w:tc>
          <w:tcPr>
            <w:tcW w:w="663" w:type="dxa"/>
            <w:noWrap/>
            <w:hideMark/>
          </w:tcPr>
          <w:p w14:paraId="766FE9E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1.61</w:t>
            </w:r>
          </w:p>
        </w:tc>
        <w:tc>
          <w:tcPr>
            <w:tcW w:w="663" w:type="dxa"/>
            <w:noWrap/>
            <w:hideMark/>
          </w:tcPr>
          <w:p w14:paraId="3E6E243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1.61</w:t>
            </w:r>
          </w:p>
        </w:tc>
        <w:tc>
          <w:tcPr>
            <w:tcW w:w="663" w:type="dxa"/>
            <w:noWrap/>
            <w:hideMark/>
          </w:tcPr>
          <w:p w14:paraId="226F6D8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1.68</w:t>
            </w:r>
          </w:p>
        </w:tc>
      </w:tr>
      <w:tr w:rsidR="00260939" w:rsidRPr="00260939" w14:paraId="6FF13523"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594C5C79"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Midcontinent Independent System Operator, Inc.</w:t>
            </w:r>
          </w:p>
        </w:tc>
        <w:tc>
          <w:tcPr>
            <w:tcW w:w="489" w:type="dxa"/>
            <w:noWrap/>
            <w:hideMark/>
          </w:tcPr>
          <w:p w14:paraId="618463A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1.74</w:t>
            </w:r>
          </w:p>
        </w:tc>
        <w:tc>
          <w:tcPr>
            <w:tcW w:w="663" w:type="dxa"/>
            <w:noWrap/>
            <w:hideMark/>
          </w:tcPr>
          <w:p w14:paraId="2EF0B5E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1.88</w:t>
            </w:r>
          </w:p>
        </w:tc>
        <w:tc>
          <w:tcPr>
            <w:tcW w:w="663" w:type="dxa"/>
            <w:noWrap/>
            <w:hideMark/>
          </w:tcPr>
          <w:p w14:paraId="637EE80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1.83</w:t>
            </w:r>
          </w:p>
        </w:tc>
        <w:tc>
          <w:tcPr>
            <w:tcW w:w="663" w:type="dxa"/>
            <w:noWrap/>
            <w:hideMark/>
          </w:tcPr>
          <w:p w14:paraId="1699676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1.84</w:t>
            </w:r>
          </w:p>
        </w:tc>
        <w:tc>
          <w:tcPr>
            <w:tcW w:w="663" w:type="dxa"/>
            <w:noWrap/>
            <w:hideMark/>
          </w:tcPr>
          <w:p w14:paraId="1621DAF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1.79</w:t>
            </w:r>
          </w:p>
        </w:tc>
        <w:tc>
          <w:tcPr>
            <w:tcW w:w="663" w:type="dxa"/>
            <w:noWrap/>
            <w:hideMark/>
          </w:tcPr>
          <w:p w14:paraId="2BD97D0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1.62</w:t>
            </w:r>
          </w:p>
        </w:tc>
        <w:tc>
          <w:tcPr>
            <w:tcW w:w="663" w:type="dxa"/>
            <w:noWrap/>
            <w:hideMark/>
          </w:tcPr>
          <w:p w14:paraId="519DA2A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1.61</w:t>
            </w:r>
          </w:p>
        </w:tc>
        <w:tc>
          <w:tcPr>
            <w:tcW w:w="663" w:type="dxa"/>
            <w:noWrap/>
            <w:hideMark/>
          </w:tcPr>
          <w:p w14:paraId="27767E5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1.67</w:t>
            </w:r>
          </w:p>
        </w:tc>
        <w:tc>
          <w:tcPr>
            <w:tcW w:w="663" w:type="dxa"/>
            <w:noWrap/>
            <w:hideMark/>
          </w:tcPr>
          <w:p w14:paraId="07DACCD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1.39</w:t>
            </w:r>
          </w:p>
        </w:tc>
      </w:tr>
      <w:tr w:rsidR="00260939" w:rsidRPr="00260939" w14:paraId="03DF8C50"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390622C"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Southwest Power Pool</w:t>
            </w:r>
          </w:p>
        </w:tc>
        <w:tc>
          <w:tcPr>
            <w:tcW w:w="489" w:type="dxa"/>
            <w:noWrap/>
            <w:hideMark/>
          </w:tcPr>
          <w:p w14:paraId="2512FF8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1.71</w:t>
            </w:r>
          </w:p>
        </w:tc>
        <w:tc>
          <w:tcPr>
            <w:tcW w:w="663" w:type="dxa"/>
            <w:noWrap/>
            <w:hideMark/>
          </w:tcPr>
          <w:p w14:paraId="64E2048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1.54</w:t>
            </w:r>
          </w:p>
        </w:tc>
        <w:tc>
          <w:tcPr>
            <w:tcW w:w="663" w:type="dxa"/>
            <w:noWrap/>
            <w:hideMark/>
          </w:tcPr>
          <w:p w14:paraId="4DD4C67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1.77</w:t>
            </w:r>
          </w:p>
        </w:tc>
        <w:tc>
          <w:tcPr>
            <w:tcW w:w="663" w:type="dxa"/>
            <w:noWrap/>
            <w:hideMark/>
          </w:tcPr>
          <w:p w14:paraId="76CEED7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1.87</w:t>
            </w:r>
          </w:p>
        </w:tc>
        <w:tc>
          <w:tcPr>
            <w:tcW w:w="663" w:type="dxa"/>
            <w:noWrap/>
            <w:hideMark/>
          </w:tcPr>
          <w:p w14:paraId="7B78E27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1.61</w:t>
            </w:r>
          </w:p>
        </w:tc>
        <w:tc>
          <w:tcPr>
            <w:tcW w:w="663" w:type="dxa"/>
            <w:noWrap/>
            <w:hideMark/>
          </w:tcPr>
          <w:p w14:paraId="6793FEC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0.83</w:t>
            </w:r>
          </w:p>
        </w:tc>
        <w:tc>
          <w:tcPr>
            <w:tcW w:w="663" w:type="dxa"/>
            <w:noWrap/>
            <w:hideMark/>
          </w:tcPr>
          <w:p w14:paraId="33A1667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1.47</w:t>
            </w:r>
          </w:p>
        </w:tc>
        <w:tc>
          <w:tcPr>
            <w:tcW w:w="663" w:type="dxa"/>
            <w:noWrap/>
            <w:hideMark/>
          </w:tcPr>
          <w:p w14:paraId="51E4C51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1.62</w:t>
            </w:r>
          </w:p>
        </w:tc>
        <w:tc>
          <w:tcPr>
            <w:tcW w:w="663" w:type="dxa"/>
            <w:noWrap/>
            <w:hideMark/>
          </w:tcPr>
          <w:p w14:paraId="5069BF5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1.58</w:t>
            </w:r>
          </w:p>
        </w:tc>
      </w:tr>
      <w:tr w:rsidR="00260939" w:rsidRPr="00260939" w14:paraId="3E01B75E"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321682A6" w14:textId="77777777" w:rsidR="00260939" w:rsidRPr="00D7424B" w:rsidRDefault="00260939" w:rsidP="00260939">
            <w:pPr>
              <w:rPr>
                <w:rFonts w:ascii="Aptos Narrow" w:eastAsia="Times New Roman" w:hAnsi="Aptos Narrow" w:cs="Times New Roman"/>
                <w:b w:val="0"/>
                <w:bCs w:val="0"/>
                <w:color w:val="000000"/>
              </w:rPr>
            </w:pPr>
            <w:proofErr w:type="spellStart"/>
            <w:r w:rsidRPr="00D7424B">
              <w:rPr>
                <w:rFonts w:ascii="Aptos Narrow" w:eastAsia="Times New Roman" w:hAnsi="Aptos Narrow" w:cs="Times New Roman"/>
                <w:b w:val="0"/>
                <w:bCs w:val="0"/>
                <w:color w:val="000000"/>
              </w:rPr>
              <w:t>NorthWestern</w:t>
            </w:r>
            <w:proofErr w:type="spellEnd"/>
            <w:r w:rsidRPr="00D7424B">
              <w:rPr>
                <w:rFonts w:ascii="Aptos Narrow" w:eastAsia="Times New Roman" w:hAnsi="Aptos Narrow" w:cs="Times New Roman"/>
                <w:b w:val="0"/>
                <w:bCs w:val="0"/>
                <w:color w:val="000000"/>
              </w:rPr>
              <w:t xml:space="preserve"> Corporation</w:t>
            </w:r>
          </w:p>
        </w:tc>
        <w:tc>
          <w:tcPr>
            <w:tcW w:w="489" w:type="dxa"/>
            <w:noWrap/>
            <w:hideMark/>
          </w:tcPr>
          <w:p w14:paraId="249EECE1"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1.68</w:t>
            </w:r>
          </w:p>
        </w:tc>
        <w:tc>
          <w:tcPr>
            <w:tcW w:w="663" w:type="dxa"/>
            <w:noWrap/>
            <w:hideMark/>
          </w:tcPr>
          <w:p w14:paraId="7FF22DA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1.32</w:t>
            </w:r>
          </w:p>
        </w:tc>
        <w:tc>
          <w:tcPr>
            <w:tcW w:w="663" w:type="dxa"/>
            <w:noWrap/>
            <w:hideMark/>
          </w:tcPr>
          <w:p w14:paraId="08CE6F8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1.44</w:t>
            </w:r>
          </w:p>
        </w:tc>
        <w:tc>
          <w:tcPr>
            <w:tcW w:w="663" w:type="dxa"/>
            <w:noWrap/>
            <w:hideMark/>
          </w:tcPr>
          <w:p w14:paraId="729984A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1.57</w:t>
            </w:r>
          </w:p>
        </w:tc>
        <w:tc>
          <w:tcPr>
            <w:tcW w:w="663" w:type="dxa"/>
            <w:noWrap/>
            <w:hideMark/>
          </w:tcPr>
          <w:p w14:paraId="0682E91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1.65</w:t>
            </w:r>
          </w:p>
        </w:tc>
        <w:tc>
          <w:tcPr>
            <w:tcW w:w="663" w:type="dxa"/>
            <w:noWrap/>
            <w:hideMark/>
          </w:tcPr>
          <w:p w14:paraId="6735CD7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1.53</w:t>
            </w:r>
          </w:p>
        </w:tc>
        <w:tc>
          <w:tcPr>
            <w:tcW w:w="663" w:type="dxa"/>
            <w:noWrap/>
            <w:hideMark/>
          </w:tcPr>
          <w:p w14:paraId="1618E09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1.67</w:t>
            </w:r>
          </w:p>
        </w:tc>
        <w:tc>
          <w:tcPr>
            <w:tcW w:w="663" w:type="dxa"/>
            <w:noWrap/>
            <w:hideMark/>
          </w:tcPr>
          <w:p w14:paraId="536DEDA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1.66</w:t>
            </w:r>
          </w:p>
        </w:tc>
        <w:tc>
          <w:tcPr>
            <w:tcW w:w="663" w:type="dxa"/>
            <w:noWrap/>
            <w:hideMark/>
          </w:tcPr>
          <w:p w14:paraId="3B4415B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1.64</w:t>
            </w:r>
          </w:p>
        </w:tc>
      </w:tr>
      <w:tr w:rsidR="00260939" w:rsidRPr="00260939" w14:paraId="5495ACE4"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62E4593A"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Duke Energy Carolinas</w:t>
            </w:r>
          </w:p>
        </w:tc>
        <w:tc>
          <w:tcPr>
            <w:tcW w:w="489" w:type="dxa"/>
            <w:noWrap/>
            <w:hideMark/>
          </w:tcPr>
          <w:p w14:paraId="6D3FFC3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1.65</w:t>
            </w:r>
          </w:p>
        </w:tc>
        <w:tc>
          <w:tcPr>
            <w:tcW w:w="663" w:type="dxa"/>
            <w:noWrap/>
            <w:hideMark/>
          </w:tcPr>
          <w:p w14:paraId="4ABC4E6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1.81</w:t>
            </w:r>
          </w:p>
        </w:tc>
        <w:tc>
          <w:tcPr>
            <w:tcW w:w="663" w:type="dxa"/>
            <w:noWrap/>
            <w:hideMark/>
          </w:tcPr>
          <w:p w14:paraId="3519BA7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1.62</w:t>
            </w:r>
          </w:p>
        </w:tc>
        <w:tc>
          <w:tcPr>
            <w:tcW w:w="663" w:type="dxa"/>
            <w:noWrap/>
            <w:hideMark/>
          </w:tcPr>
          <w:p w14:paraId="37140FC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1.68</w:t>
            </w:r>
          </w:p>
        </w:tc>
        <w:tc>
          <w:tcPr>
            <w:tcW w:w="663" w:type="dxa"/>
            <w:noWrap/>
            <w:hideMark/>
          </w:tcPr>
          <w:p w14:paraId="17AEDC6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1.58</w:t>
            </w:r>
          </w:p>
        </w:tc>
        <w:tc>
          <w:tcPr>
            <w:tcW w:w="663" w:type="dxa"/>
            <w:noWrap/>
            <w:hideMark/>
          </w:tcPr>
          <w:p w14:paraId="2A4A265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1.48</w:t>
            </w:r>
          </w:p>
        </w:tc>
        <w:tc>
          <w:tcPr>
            <w:tcW w:w="663" w:type="dxa"/>
            <w:noWrap/>
            <w:hideMark/>
          </w:tcPr>
          <w:p w14:paraId="79ADF06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1.55</w:t>
            </w:r>
          </w:p>
        </w:tc>
        <w:tc>
          <w:tcPr>
            <w:tcW w:w="663" w:type="dxa"/>
            <w:noWrap/>
            <w:hideMark/>
          </w:tcPr>
          <w:p w14:paraId="20EBC77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1.62</w:t>
            </w:r>
          </w:p>
        </w:tc>
        <w:tc>
          <w:tcPr>
            <w:tcW w:w="663" w:type="dxa"/>
            <w:noWrap/>
            <w:hideMark/>
          </w:tcPr>
          <w:p w14:paraId="104F7DB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1.50</w:t>
            </w:r>
          </w:p>
        </w:tc>
      </w:tr>
      <w:tr w:rsidR="00260939" w:rsidRPr="00260939" w14:paraId="6B3950F1"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0D168C82"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PJM Interconnection, LLC</w:t>
            </w:r>
          </w:p>
        </w:tc>
        <w:tc>
          <w:tcPr>
            <w:tcW w:w="489" w:type="dxa"/>
            <w:noWrap/>
            <w:hideMark/>
          </w:tcPr>
          <w:p w14:paraId="35191D5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1.65</w:t>
            </w:r>
          </w:p>
        </w:tc>
        <w:tc>
          <w:tcPr>
            <w:tcW w:w="663" w:type="dxa"/>
            <w:noWrap/>
            <w:hideMark/>
          </w:tcPr>
          <w:p w14:paraId="1F882CD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1.62</w:t>
            </w:r>
          </w:p>
        </w:tc>
        <w:tc>
          <w:tcPr>
            <w:tcW w:w="663" w:type="dxa"/>
            <w:noWrap/>
            <w:hideMark/>
          </w:tcPr>
          <w:p w14:paraId="462DD6F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1.48</w:t>
            </w:r>
          </w:p>
        </w:tc>
        <w:tc>
          <w:tcPr>
            <w:tcW w:w="663" w:type="dxa"/>
            <w:noWrap/>
            <w:hideMark/>
          </w:tcPr>
          <w:p w14:paraId="679D139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0.85</w:t>
            </w:r>
          </w:p>
        </w:tc>
        <w:tc>
          <w:tcPr>
            <w:tcW w:w="663" w:type="dxa"/>
            <w:noWrap/>
            <w:hideMark/>
          </w:tcPr>
          <w:p w14:paraId="1005F28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0.91</w:t>
            </w:r>
          </w:p>
        </w:tc>
        <w:tc>
          <w:tcPr>
            <w:tcW w:w="663" w:type="dxa"/>
            <w:noWrap/>
            <w:hideMark/>
          </w:tcPr>
          <w:p w14:paraId="4F36215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1.30</w:t>
            </w:r>
          </w:p>
        </w:tc>
        <w:tc>
          <w:tcPr>
            <w:tcW w:w="663" w:type="dxa"/>
            <w:noWrap/>
            <w:hideMark/>
          </w:tcPr>
          <w:p w14:paraId="6AAA3A4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1.38</w:t>
            </w:r>
          </w:p>
        </w:tc>
        <w:tc>
          <w:tcPr>
            <w:tcW w:w="663" w:type="dxa"/>
            <w:noWrap/>
            <w:hideMark/>
          </w:tcPr>
          <w:p w14:paraId="1F8ACC0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1.54</w:t>
            </w:r>
          </w:p>
        </w:tc>
        <w:tc>
          <w:tcPr>
            <w:tcW w:w="663" w:type="dxa"/>
            <w:noWrap/>
            <w:hideMark/>
          </w:tcPr>
          <w:p w14:paraId="2AC1E34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1.35</w:t>
            </w:r>
          </w:p>
        </w:tc>
      </w:tr>
      <w:tr w:rsidR="00260939" w:rsidRPr="00260939" w14:paraId="2726E440"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0E31D32"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Duke Energy Florida, Inc.</w:t>
            </w:r>
          </w:p>
        </w:tc>
        <w:tc>
          <w:tcPr>
            <w:tcW w:w="489" w:type="dxa"/>
            <w:noWrap/>
            <w:hideMark/>
          </w:tcPr>
          <w:p w14:paraId="73E3D38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1.56</w:t>
            </w:r>
          </w:p>
        </w:tc>
        <w:tc>
          <w:tcPr>
            <w:tcW w:w="663" w:type="dxa"/>
            <w:noWrap/>
            <w:hideMark/>
          </w:tcPr>
          <w:p w14:paraId="06364C5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1.59</w:t>
            </w:r>
          </w:p>
        </w:tc>
        <w:tc>
          <w:tcPr>
            <w:tcW w:w="663" w:type="dxa"/>
            <w:noWrap/>
            <w:hideMark/>
          </w:tcPr>
          <w:p w14:paraId="6C1A7F7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1.57</w:t>
            </w:r>
          </w:p>
        </w:tc>
        <w:tc>
          <w:tcPr>
            <w:tcW w:w="663" w:type="dxa"/>
            <w:noWrap/>
            <w:hideMark/>
          </w:tcPr>
          <w:p w14:paraId="4F99C3D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1.71</w:t>
            </w:r>
          </w:p>
        </w:tc>
        <w:tc>
          <w:tcPr>
            <w:tcW w:w="663" w:type="dxa"/>
            <w:noWrap/>
            <w:hideMark/>
          </w:tcPr>
          <w:p w14:paraId="58FBCD0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1.59</w:t>
            </w:r>
          </w:p>
        </w:tc>
        <w:tc>
          <w:tcPr>
            <w:tcW w:w="663" w:type="dxa"/>
            <w:noWrap/>
            <w:hideMark/>
          </w:tcPr>
          <w:p w14:paraId="4EF553E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1.51</w:t>
            </w:r>
          </w:p>
        </w:tc>
        <w:tc>
          <w:tcPr>
            <w:tcW w:w="663" w:type="dxa"/>
            <w:noWrap/>
            <w:hideMark/>
          </w:tcPr>
          <w:p w14:paraId="34A1381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1.54</w:t>
            </w:r>
          </w:p>
        </w:tc>
        <w:tc>
          <w:tcPr>
            <w:tcW w:w="663" w:type="dxa"/>
            <w:noWrap/>
            <w:hideMark/>
          </w:tcPr>
          <w:p w14:paraId="27F0818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1.42</w:t>
            </w:r>
          </w:p>
        </w:tc>
        <w:tc>
          <w:tcPr>
            <w:tcW w:w="663" w:type="dxa"/>
            <w:noWrap/>
            <w:hideMark/>
          </w:tcPr>
          <w:p w14:paraId="50A6B97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1.36</w:t>
            </w:r>
          </w:p>
        </w:tc>
      </w:tr>
      <w:tr w:rsidR="00260939" w:rsidRPr="00260939" w14:paraId="209517E6"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A0F3E0C"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Public Service Company of New Mexico</w:t>
            </w:r>
          </w:p>
        </w:tc>
        <w:tc>
          <w:tcPr>
            <w:tcW w:w="489" w:type="dxa"/>
            <w:noWrap/>
            <w:hideMark/>
          </w:tcPr>
          <w:p w14:paraId="55CC212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1.51</w:t>
            </w:r>
          </w:p>
        </w:tc>
        <w:tc>
          <w:tcPr>
            <w:tcW w:w="663" w:type="dxa"/>
            <w:noWrap/>
            <w:hideMark/>
          </w:tcPr>
          <w:p w14:paraId="1321E53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0.95</w:t>
            </w:r>
          </w:p>
        </w:tc>
        <w:tc>
          <w:tcPr>
            <w:tcW w:w="663" w:type="dxa"/>
            <w:noWrap/>
            <w:hideMark/>
          </w:tcPr>
          <w:p w14:paraId="166319F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1.25</w:t>
            </w:r>
          </w:p>
        </w:tc>
        <w:tc>
          <w:tcPr>
            <w:tcW w:w="663" w:type="dxa"/>
            <w:noWrap/>
            <w:hideMark/>
          </w:tcPr>
          <w:p w14:paraId="72E8E2C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1.49</w:t>
            </w:r>
          </w:p>
        </w:tc>
        <w:tc>
          <w:tcPr>
            <w:tcW w:w="663" w:type="dxa"/>
            <w:noWrap/>
            <w:hideMark/>
          </w:tcPr>
          <w:p w14:paraId="6B513E1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1.42</w:t>
            </w:r>
          </w:p>
        </w:tc>
        <w:tc>
          <w:tcPr>
            <w:tcW w:w="663" w:type="dxa"/>
            <w:noWrap/>
            <w:hideMark/>
          </w:tcPr>
          <w:p w14:paraId="26C7E8F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1.38</w:t>
            </w:r>
          </w:p>
        </w:tc>
        <w:tc>
          <w:tcPr>
            <w:tcW w:w="663" w:type="dxa"/>
            <w:noWrap/>
            <w:hideMark/>
          </w:tcPr>
          <w:p w14:paraId="5E41729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1.36</w:t>
            </w:r>
          </w:p>
        </w:tc>
        <w:tc>
          <w:tcPr>
            <w:tcW w:w="663" w:type="dxa"/>
            <w:noWrap/>
            <w:hideMark/>
          </w:tcPr>
          <w:p w14:paraId="0FD61EC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1.50</w:t>
            </w:r>
          </w:p>
        </w:tc>
        <w:tc>
          <w:tcPr>
            <w:tcW w:w="663" w:type="dxa"/>
            <w:noWrap/>
            <w:hideMark/>
          </w:tcPr>
          <w:p w14:paraId="24670E1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1.62</w:t>
            </w:r>
          </w:p>
        </w:tc>
      </w:tr>
      <w:tr w:rsidR="00260939" w:rsidRPr="00260939" w14:paraId="53AD24F4"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2C29039"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Tucson Electric Power</w:t>
            </w:r>
          </w:p>
        </w:tc>
        <w:tc>
          <w:tcPr>
            <w:tcW w:w="489" w:type="dxa"/>
            <w:noWrap/>
            <w:hideMark/>
          </w:tcPr>
          <w:p w14:paraId="4D23A0F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1.48</w:t>
            </w:r>
          </w:p>
        </w:tc>
        <w:tc>
          <w:tcPr>
            <w:tcW w:w="663" w:type="dxa"/>
            <w:noWrap/>
            <w:hideMark/>
          </w:tcPr>
          <w:p w14:paraId="6AE3F24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1.33</w:t>
            </w:r>
          </w:p>
        </w:tc>
        <w:tc>
          <w:tcPr>
            <w:tcW w:w="663" w:type="dxa"/>
            <w:noWrap/>
            <w:hideMark/>
          </w:tcPr>
          <w:p w14:paraId="45D2B55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1.32</w:t>
            </w:r>
          </w:p>
        </w:tc>
        <w:tc>
          <w:tcPr>
            <w:tcW w:w="663" w:type="dxa"/>
            <w:noWrap/>
            <w:hideMark/>
          </w:tcPr>
          <w:p w14:paraId="3F835D6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1.33</w:t>
            </w:r>
          </w:p>
        </w:tc>
        <w:tc>
          <w:tcPr>
            <w:tcW w:w="663" w:type="dxa"/>
            <w:noWrap/>
            <w:hideMark/>
          </w:tcPr>
          <w:p w14:paraId="2DA375B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1.50</w:t>
            </w:r>
          </w:p>
        </w:tc>
        <w:tc>
          <w:tcPr>
            <w:tcW w:w="663" w:type="dxa"/>
            <w:noWrap/>
            <w:hideMark/>
          </w:tcPr>
          <w:p w14:paraId="72E6B40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1.46</w:t>
            </w:r>
          </w:p>
        </w:tc>
        <w:tc>
          <w:tcPr>
            <w:tcW w:w="663" w:type="dxa"/>
            <w:noWrap/>
            <w:hideMark/>
          </w:tcPr>
          <w:p w14:paraId="1795819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1.45</w:t>
            </w:r>
          </w:p>
        </w:tc>
        <w:tc>
          <w:tcPr>
            <w:tcW w:w="663" w:type="dxa"/>
            <w:noWrap/>
            <w:hideMark/>
          </w:tcPr>
          <w:p w14:paraId="5D99E3F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1.48</w:t>
            </w:r>
          </w:p>
        </w:tc>
        <w:tc>
          <w:tcPr>
            <w:tcW w:w="663" w:type="dxa"/>
            <w:noWrap/>
            <w:hideMark/>
          </w:tcPr>
          <w:p w14:paraId="73CB273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1.59</w:t>
            </w:r>
          </w:p>
        </w:tc>
      </w:tr>
      <w:tr w:rsidR="00260939" w:rsidRPr="00260939" w14:paraId="3173723A"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346F7DBB"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Western Area Power Administration - Rocky Mountain Region</w:t>
            </w:r>
          </w:p>
        </w:tc>
        <w:tc>
          <w:tcPr>
            <w:tcW w:w="489" w:type="dxa"/>
            <w:noWrap/>
            <w:hideMark/>
          </w:tcPr>
          <w:p w14:paraId="343747A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1.45</w:t>
            </w:r>
          </w:p>
        </w:tc>
        <w:tc>
          <w:tcPr>
            <w:tcW w:w="663" w:type="dxa"/>
            <w:noWrap/>
            <w:hideMark/>
          </w:tcPr>
          <w:p w14:paraId="47C4878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0.87</w:t>
            </w:r>
          </w:p>
        </w:tc>
        <w:tc>
          <w:tcPr>
            <w:tcW w:w="663" w:type="dxa"/>
            <w:noWrap/>
            <w:hideMark/>
          </w:tcPr>
          <w:p w14:paraId="5990A9F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0.72</w:t>
            </w:r>
          </w:p>
        </w:tc>
        <w:tc>
          <w:tcPr>
            <w:tcW w:w="663" w:type="dxa"/>
            <w:noWrap/>
            <w:hideMark/>
          </w:tcPr>
          <w:p w14:paraId="1DD5A46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1.40</w:t>
            </w:r>
          </w:p>
        </w:tc>
        <w:tc>
          <w:tcPr>
            <w:tcW w:w="663" w:type="dxa"/>
            <w:noWrap/>
            <w:hideMark/>
          </w:tcPr>
          <w:p w14:paraId="2811C3D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1.31</w:t>
            </w:r>
          </w:p>
        </w:tc>
        <w:tc>
          <w:tcPr>
            <w:tcW w:w="663" w:type="dxa"/>
            <w:noWrap/>
            <w:hideMark/>
          </w:tcPr>
          <w:p w14:paraId="4C91D0B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1.24</w:t>
            </w:r>
          </w:p>
        </w:tc>
        <w:tc>
          <w:tcPr>
            <w:tcW w:w="663" w:type="dxa"/>
            <w:noWrap/>
            <w:hideMark/>
          </w:tcPr>
          <w:p w14:paraId="1100C14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1.22</w:t>
            </w:r>
          </w:p>
        </w:tc>
        <w:tc>
          <w:tcPr>
            <w:tcW w:w="663" w:type="dxa"/>
            <w:noWrap/>
            <w:hideMark/>
          </w:tcPr>
          <w:p w14:paraId="65031DC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1.47</w:t>
            </w:r>
          </w:p>
        </w:tc>
        <w:tc>
          <w:tcPr>
            <w:tcW w:w="663" w:type="dxa"/>
            <w:noWrap/>
            <w:hideMark/>
          </w:tcPr>
          <w:p w14:paraId="439B21F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1.14</w:t>
            </w:r>
          </w:p>
        </w:tc>
      </w:tr>
      <w:tr w:rsidR="00260939" w:rsidRPr="00260939" w14:paraId="4933747E"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34F1DEF5"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Western Area Power Administration - Desert Southwest Region</w:t>
            </w:r>
          </w:p>
        </w:tc>
        <w:tc>
          <w:tcPr>
            <w:tcW w:w="489" w:type="dxa"/>
            <w:noWrap/>
            <w:hideMark/>
          </w:tcPr>
          <w:p w14:paraId="3E03263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1.41</w:t>
            </w:r>
          </w:p>
        </w:tc>
        <w:tc>
          <w:tcPr>
            <w:tcW w:w="663" w:type="dxa"/>
            <w:noWrap/>
            <w:hideMark/>
          </w:tcPr>
          <w:p w14:paraId="19DDAAD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1.37</w:t>
            </w:r>
          </w:p>
        </w:tc>
        <w:tc>
          <w:tcPr>
            <w:tcW w:w="663" w:type="dxa"/>
            <w:noWrap/>
            <w:hideMark/>
          </w:tcPr>
          <w:p w14:paraId="67F040B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1.38</w:t>
            </w:r>
          </w:p>
        </w:tc>
        <w:tc>
          <w:tcPr>
            <w:tcW w:w="663" w:type="dxa"/>
            <w:noWrap/>
            <w:hideMark/>
          </w:tcPr>
          <w:p w14:paraId="06F080C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1.29</w:t>
            </w:r>
          </w:p>
        </w:tc>
        <w:tc>
          <w:tcPr>
            <w:tcW w:w="663" w:type="dxa"/>
            <w:noWrap/>
            <w:hideMark/>
          </w:tcPr>
          <w:p w14:paraId="538A392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1.29</w:t>
            </w:r>
          </w:p>
        </w:tc>
        <w:tc>
          <w:tcPr>
            <w:tcW w:w="663" w:type="dxa"/>
            <w:noWrap/>
            <w:hideMark/>
          </w:tcPr>
          <w:p w14:paraId="78BE55B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1.32</w:t>
            </w:r>
          </w:p>
        </w:tc>
        <w:tc>
          <w:tcPr>
            <w:tcW w:w="663" w:type="dxa"/>
            <w:noWrap/>
            <w:hideMark/>
          </w:tcPr>
          <w:p w14:paraId="38EC410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1.22</w:t>
            </w:r>
          </w:p>
        </w:tc>
        <w:tc>
          <w:tcPr>
            <w:tcW w:w="663" w:type="dxa"/>
            <w:noWrap/>
            <w:hideMark/>
          </w:tcPr>
          <w:p w14:paraId="5A88604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1.25</w:t>
            </w:r>
          </w:p>
        </w:tc>
        <w:tc>
          <w:tcPr>
            <w:tcW w:w="663" w:type="dxa"/>
            <w:noWrap/>
            <w:hideMark/>
          </w:tcPr>
          <w:p w14:paraId="3CE21B0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1.46</w:t>
            </w:r>
          </w:p>
        </w:tc>
      </w:tr>
      <w:tr w:rsidR="00260939" w:rsidRPr="00260939" w14:paraId="33B29BD6"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5608F245"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Louisville Gas and Electric Company and Kentucky Utilities Company</w:t>
            </w:r>
          </w:p>
        </w:tc>
        <w:tc>
          <w:tcPr>
            <w:tcW w:w="489" w:type="dxa"/>
            <w:noWrap/>
            <w:hideMark/>
          </w:tcPr>
          <w:p w14:paraId="30431B8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1.40</w:t>
            </w:r>
          </w:p>
        </w:tc>
        <w:tc>
          <w:tcPr>
            <w:tcW w:w="663" w:type="dxa"/>
            <w:noWrap/>
            <w:hideMark/>
          </w:tcPr>
          <w:p w14:paraId="198306E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1.26</w:t>
            </w:r>
          </w:p>
        </w:tc>
        <w:tc>
          <w:tcPr>
            <w:tcW w:w="663" w:type="dxa"/>
            <w:noWrap/>
            <w:hideMark/>
          </w:tcPr>
          <w:p w14:paraId="52AD442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1.26</w:t>
            </w:r>
          </w:p>
        </w:tc>
        <w:tc>
          <w:tcPr>
            <w:tcW w:w="663" w:type="dxa"/>
            <w:noWrap/>
            <w:hideMark/>
          </w:tcPr>
          <w:p w14:paraId="5C1C83C1"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1.21</w:t>
            </w:r>
          </w:p>
        </w:tc>
        <w:tc>
          <w:tcPr>
            <w:tcW w:w="663" w:type="dxa"/>
            <w:noWrap/>
            <w:hideMark/>
          </w:tcPr>
          <w:p w14:paraId="4CF7590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0.93</w:t>
            </w:r>
          </w:p>
        </w:tc>
        <w:tc>
          <w:tcPr>
            <w:tcW w:w="663" w:type="dxa"/>
            <w:noWrap/>
            <w:hideMark/>
          </w:tcPr>
          <w:p w14:paraId="4820550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0.81</w:t>
            </w:r>
          </w:p>
        </w:tc>
        <w:tc>
          <w:tcPr>
            <w:tcW w:w="663" w:type="dxa"/>
            <w:noWrap/>
            <w:hideMark/>
          </w:tcPr>
          <w:p w14:paraId="1B6B2A2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1.23</w:t>
            </w:r>
          </w:p>
        </w:tc>
        <w:tc>
          <w:tcPr>
            <w:tcW w:w="663" w:type="dxa"/>
            <w:noWrap/>
            <w:hideMark/>
          </w:tcPr>
          <w:p w14:paraId="793C61D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1.23</w:t>
            </w:r>
          </w:p>
        </w:tc>
        <w:tc>
          <w:tcPr>
            <w:tcW w:w="663" w:type="dxa"/>
            <w:noWrap/>
            <w:hideMark/>
          </w:tcPr>
          <w:p w14:paraId="1C819EB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0.99</w:t>
            </w:r>
          </w:p>
        </w:tc>
      </w:tr>
      <w:tr w:rsidR="00260939" w:rsidRPr="00260939" w14:paraId="2B9549A7"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661133E9"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Southern Company Services, Inc. - Trans</w:t>
            </w:r>
          </w:p>
        </w:tc>
        <w:tc>
          <w:tcPr>
            <w:tcW w:w="489" w:type="dxa"/>
            <w:noWrap/>
            <w:hideMark/>
          </w:tcPr>
          <w:p w14:paraId="3D01635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1.36</w:t>
            </w:r>
          </w:p>
        </w:tc>
        <w:tc>
          <w:tcPr>
            <w:tcW w:w="663" w:type="dxa"/>
            <w:noWrap/>
            <w:hideMark/>
          </w:tcPr>
          <w:p w14:paraId="794BBC9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1.55</w:t>
            </w:r>
          </w:p>
        </w:tc>
        <w:tc>
          <w:tcPr>
            <w:tcW w:w="663" w:type="dxa"/>
            <w:noWrap/>
            <w:hideMark/>
          </w:tcPr>
          <w:p w14:paraId="698EE67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1.25</w:t>
            </w:r>
          </w:p>
        </w:tc>
        <w:tc>
          <w:tcPr>
            <w:tcW w:w="663" w:type="dxa"/>
            <w:noWrap/>
            <w:hideMark/>
          </w:tcPr>
          <w:p w14:paraId="2A2C359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1.27</w:t>
            </w:r>
          </w:p>
        </w:tc>
        <w:tc>
          <w:tcPr>
            <w:tcW w:w="663" w:type="dxa"/>
            <w:noWrap/>
            <w:hideMark/>
          </w:tcPr>
          <w:p w14:paraId="7D103A2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1.34</w:t>
            </w:r>
          </w:p>
        </w:tc>
        <w:tc>
          <w:tcPr>
            <w:tcW w:w="663" w:type="dxa"/>
            <w:noWrap/>
            <w:hideMark/>
          </w:tcPr>
          <w:p w14:paraId="72936CF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1.38</w:t>
            </w:r>
          </w:p>
        </w:tc>
        <w:tc>
          <w:tcPr>
            <w:tcW w:w="663" w:type="dxa"/>
            <w:noWrap/>
            <w:hideMark/>
          </w:tcPr>
          <w:p w14:paraId="1CC728C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1.23</w:t>
            </w:r>
          </w:p>
        </w:tc>
        <w:tc>
          <w:tcPr>
            <w:tcW w:w="663" w:type="dxa"/>
            <w:noWrap/>
            <w:hideMark/>
          </w:tcPr>
          <w:p w14:paraId="1F73277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1.29</w:t>
            </w:r>
          </w:p>
        </w:tc>
        <w:tc>
          <w:tcPr>
            <w:tcW w:w="663" w:type="dxa"/>
            <w:noWrap/>
            <w:hideMark/>
          </w:tcPr>
          <w:p w14:paraId="1FBCDDC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1.26</w:t>
            </w:r>
          </w:p>
        </w:tc>
      </w:tr>
      <w:tr w:rsidR="00260939" w:rsidRPr="00260939" w14:paraId="38CDF525"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9375926"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Nevada Power Company</w:t>
            </w:r>
          </w:p>
        </w:tc>
        <w:tc>
          <w:tcPr>
            <w:tcW w:w="489" w:type="dxa"/>
            <w:noWrap/>
            <w:hideMark/>
          </w:tcPr>
          <w:p w14:paraId="7B63B33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1.33</w:t>
            </w:r>
          </w:p>
        </w:tc>
        <w:tc>
          <w:tcPr>
            <w:tcW w:w="663" w:type="dxa"/>
            <w:noWrap/>
            <w:hideMark/>
          </w:tcPr>
          <w:p w14:paraId="3ADFF9F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1.37</w:t>
            </w:r>
          </w:p>
        </w:tc>
        <w:tc>
          <w:tcPr>
            <w:tcW w:w="663" w:type="dxa"/>
            <w:noWrap/>
            <w:hideMark/>
          </w:tcPr>
          <w:p w14:paraId="3D8615A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1.38</w:t>
            </w:r>
          </w:p>
        </w:tc>
        <w:tc>
          <w:tcPr>
            <w:tcW w:w="663" w:type="dxa"/>
            <w:noWrap/>
            <w:hideMark/>
          </w:tcPr>
          <w:p w14:paraId="5BFAABF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1.27</w:t>
            </w:r>
          </w:p>
        </w:tc>
        <w:tc>
          <w:tcPr>
            <w:tcW w:w="663" w:type="dxa"/>
            <w:noWrap/>
            <w:hideMark/>
          </w:tcPr>
          <w:p w14:paraId="3AA346C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1.33</w:t>
            </w:r>
          </w:p>
        </w:tc>
        <w:tc>
          <w:tcPr>
            <w:tcW w:w="663" w:type="dxa"/>
            <w:noWrap/>
            <w:hideMark/>
          </w:tcPr>
          <w:p w14:paraId="24DFB87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1.32</w:t>
            </w:r>
          </w:p>
        </w:tc>
        <w:tc>
          <w:tcPr>
            <w:tcW w:w="663" w:type="dxa"/>
            <w:noWrap/>
            <w:hideMark/>
          </w:tcPr>
          <w:p w14:paraId="35B42AC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1.21</w:t>
            </w:r>
          </w:p>
        </w:tc>
        <w:tc>
          <w:tcPr>
            <w:tcW w:w="663" w:type="dxa"/>
            <w:noWrap/>
            <w:hideMark/>
          </w:tcPr>
          <w:p w14:paraId="5BD92E8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35DB4AB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1.05</w:t>
            </w:r>
          </w:p>
        </w:tc>
      </w:tr>
      <w:tr w:rsidR="00260939" w:rsidRPr="00260939" w14:paraId="11A0E983"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50425BCA"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Los Angeles Department of Water and Power</w:t>
            </w:r>
          </w:p>
        </w:tc>
        <w:tc>
          <w:tcPr>
            <w:tcW w:w="489" w:type="dxa"/>
            <w:noWrap/>
            <w:hideMark/>
          </w:tcPr>
          <w:p w14:paraId="1CC83BF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1.23</w:t>
            </w:r>
          </w:p>
        </w:tc>
        <w:tc>
          <w:tcPr>
            <w:tcW w:w="663" w:type="dxa"/>
            <w:noWrap/>
            <w:hideMark/>
          </w:tcPr>
          <w:p w14:paraId="48B01AB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1.22</w:t>
            </w:r>
          </w:p>
        </w:tc>
        <w:tc>
          <w:tcPr>
            <w:tcW w:w="663" w:type="dxa"/>
            <w:noWrap/>
            <w:hideMark/>
          </w:tcPr>
          <w:p w14:paraId="26FD9E9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6ABAFFD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1.19</w:t>
            </w:r>
          </w:p>
        </w:tc>
        <w:tc>
          <w:tcPr>
            <w:tcW w:w="663" w:type="dxa"/>
            <w:noWrap/>
            <w:hideMark/>
          </w:tcPr>
          <w:p w14:paraId="22F4EEC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1.21</w:t>
            </w:r>
          </w:p>
        </w:tc>
        <w:tc>
          <w:tcPr>
            <w:tcW w:w="663" w:type="dxa"/>
            <w:noWrap/>
            <w:hideMark/>
          </w:tcPr>
          <w:p w14:paraId="29786FA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1.07</w:t>
            </w:r>
          </w:p>
        </w:tc>
        <w:tc>
          <w:tcPr>
            <w:tcW w:w="663" w:type="dxa"/>
            <w:noWrap/>
            <w:hideMark/>
          </w:tcPr>
          <w:p w14:paraId="0C60381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1.20</w:t>
            </w:r>
          </w:p>
        </w:tc>
        <w:tc>
          <w:tcPr>
            <w:tcW w:w="663" w:type="dxa"/>
            <w:noWrap/>
            <w:hideMark/>
          </w:tcPr>
          <w:p w14:paraId="62542C0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1.25</w:t>
            </w:r>
          </w:p>
        </w:tc>
        <w:tc>
          <w:tcPr>
            <w:tcW w:w="663" w:type="dxa"/>
            <w:noWrap/>
            <w:hideMark/>
          </w:tcPr>
          <w:p w14:paraId="5229334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1.35</w:t>
            </w:r>
          </w:p>
        </w:tc>
      </w:tr>
      <w:tr w:rsidR="00260939" w:rsidRPr="00260939" w14:paraId="6222E7FD"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652AFB56"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PacifiCorp West</w:t>
            </w:r>
          </w:p>
        </w:tc>
        <w:tc>
          <w:tcPr>
            <w:tcW w:w="489" w:type="dxa"/>
            <w:noWrap/>
            <w:hideMark/>
          </w:tcPr>
          <w:p w14:paraId="3CF90DA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1.19</w:t>
            </w:r>
          </w:p>
        </w:tc>
        <w:tc>
          <w:tcPr>
            <w:tcW w:w="663" w:type="dxa"/>
            <w:noWrap/>
            <w:hideMark/>
          </w:tcPr>
          <w:p w14:paraId="398D795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0.89</w:t>
            </w:r>
          </w:p>
        </w:tc>
        <w:tc>
          <w:tcPr>
            <w:tcW w:w="663" w:type="dxa"/>
            <w:noWrap/>
            <w:hideMark/>
          </w:tcPr>
          <w:p w14:paraId="0375B96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1.00</w:t>
            </w:r>
          </w:p>
        </w:tc>
        <w:tc>
          <w:tcPr>
            <w:tcW w:w="663" w:type="dxa"/>
            <w:noWrap/>
            <w:hideMark/>
          </w:tcPr>
          <w:p w14:paraId="56559AD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0.86</w:t>
            </w:r>
          </w:p>
        </w:tc>
        <w:tc>
          <w:tcPr>
            <w:tcW w:w="663" w:type="dxa"/>
            <w:noWrap/>
            <w:hideMark/>
          </w:tcPr>
          <w:p w14:paraId="2D22642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1.16</w:t>
            </w:r>
          </w:p>
        </w:tc>
        <w:tc>
          <w:tcPr>
            <w:tcW w:w="663" w:type="dxa"/>
            <w:noWrap/>
            <w:hideMark/>
          </w:tcPr>
          <w:p w14:paraId="1B69068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1.15</w:t>
            </w:r>
          </w:p>
        </w:tc>
        <w:tc>
          <w:tcPr>
            <w:tcW w:w="663" w:type="dxa"/>
            <w:noWrap/>
            <w:hideMark/>
          </w:tcPr>
          <w:p w14:paraId="272C6B7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1.20</w:t>
            </w:r>
          </w:p>
        </w:tc>
        <w:tc>
          <w:tcPr>
            <w:tcW w:w="663" w:type="dxa"/>
            <w:noWrap/>
            <w:hideMark/>
          </w:tcPr>
          <w:p w14:paraId="6E24A3A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1.26</w:t>
            </w:r>
          </w:p>
        </w:tc>
        <w:tc>
          <w:tcPr>
            <w:tcW w:w="663" w:type="dxa"/>
            <w:noWrap/>
            <w:hideMark/>
          </w:tcPr>
          <w:p w14:paraId="0EA81B1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1.33</w:t>
            </w:r>
          </w:p>
        </w:tc>
      </w:tr>
      <w:tr w:rsidR="00260939" w:rsidRPr="00260939" w14:paraId="3B99E4BA"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702AB112"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Duke Energy Progress East</w:t>
            </w:r>
          </w:p>
        </w:tc>
        <w:tc>
          <w:tcPr>
            <w:tcW w:w="489" w:type="dxa"/>
            <w:noWrap/>
            <w:hideMark/>
          </w:tcPr>
          <w:p w14:paraId="30D7E96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6622544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1.08</w:t>
            </w:r>
          </w:p>
        </w:tc>
        <w:tc>
          <w:tcPr>
            <w:tcW w:w="663" w:type="dxa"/>
            <w:noWrap/>
            <w:hideMark/>
          </w:tcPr>
          <w:p w14:paraId="4E093B8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1.00</w:t>
            </w:r>
          </w:p>
        </w:tc>
        <w:tc>
          <w:tcPr>
            <w:tcW w:w="663" w:type="dxa"/>
            <w:noWrap/>
            <w:hideMark/>
          </w:tcPr>
          <w:p w14:paraId="533CB7C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1.01</w:t>
            </w:r>
          </w:p>
        </w:tc>
        <w:tc>
          <w:tcPr>
            <w:tcW w:w="663" w:type="dxa"/>
            <w:noWrap/>
            <w:hideMark/>
          </w:tcPr>
          <w:p w14:paraId="5B63270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05DE352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1.10</w:t>
            </w:r>
          </w:p>
        </w:tc>
        <w:tc>
          <w:tcPr>
            <w:tcW w:w="663" w:type="dxa"/>
            <w:noWrap/>
            <w:hideMark/>
          </w:tcPr>
          <w:p w14:paraId="38A9F6A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1.16</w:t>
            </w:r>
          </w:p>
        </w:tc>
        <w:tc>
          <w:tcPr>
            <w:tcW w:w="663" w:type="dxa"/>
            <w:noWrap/>
            <w:hideMark/>
          </w:tcPr>
          <w:p w14:paraId="6B693F0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1.18</w:t>
            </w:r>
          </w:p>
        </w:tc>
        <w:tc>
          <w:tcPr>
            <w:tcW w:w="663" w:type="dxa"/>
            <w:noWrap/>
            <w:hideMark/>
          </w:tcPr>
          <w:p w14:paraId="3FA5181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1.09</w:t>
            </w:r>
          </w:p>
        </w:tc>
      </w:tr>
      <w:tr w:rsidR="00260939" w:rsidRPr="00260939" w14:paraId="660B9B53"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9E87A28"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New York Independent System Operator</w:t>
            </w:r>
          </w:p>
        </w:tc>
        <w:tc>
          <w:tcPr>
            <w:tcW w:w="489" w:type="dxa"/>
            <w:noWrap/>
            <w:hideMark/>
          </w:tcPr>
          <w:p w14:paraId="06A3080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3778CB6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1.15</w:t>
            </w:r>
          </w:p>
        </w:tc>
        <w:tc>
          <w:tcPr>
            <w:tcW w:w="663" w:type="dxa"/>
            <w:noWrap/>
            <w:hideMark/>
          </w:tcPr>
          <w:p w14:paraId="3020828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1.23</w:t>
            </w:r>
          </w:p>
        </w:tc>
        <w:tc>
          <w:tcPr>
            <w:tcW w:w="663" w:type="dxa"/>
            <w:noWrap/>
            <w:hideMark/>
          </w:tcPr>
          <w:p w14:paraId="6A3CCA9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1.16</w:t>
            </w:r>
          </w:p>
        </w:tc>
        <w:tc>
          <w:tcPr>
            <w:tcW w:w="663" w:type="dxa"/>
            <w:noWrap/>
            <w:hideMark/>
          </w:tcPr>
          <w:p w14:paraId="3934D04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1.10</w:t>
            </w:r>
          </w:p>
        </w:tc>
        <w:tc>
          <w:tcPr>
            <w:tcW w:w="663" w:type="dxa"/>
            <w:noWrap/>
            <w:hideMark/>
          </w:tcPr>
          <w:p w14:paraId="3A263FC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1.11</w:t>
            </w:r>
          </w:p>
        </w:tc>
        <w:tc>
          <w:tcPr>
            <w:tcW w:w="663" w:type="dxa"/>
            <w:noWrap/>
            <w:hideMark/>
          </w:tcPr>
          <w:p w14:paraId="686A94C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1.16</w:t>
            </w:r>
          </w:p>
        </w:tc>
        <w:tc>
          <w:tcPr>
            <w:tcW w:w="663" w:type="dxa"/>
            <w:noWrap/>
            <w:hideMark/>
          </w:tcPr>
          <w:p w14:paraId="5BDA996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6C3C72C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0.96</w:t>
            </w:r>
          </w:p>
        </w:tc>
      </w:tr>
      <w:tr w:rsidR="00260939" w:rsidRPr="00260939" w14:paraId="44930D43"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66529BFD"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PacifiCorp East</w:t>
            </w:r>
          </w:p>
        </w:tc>
        <w:tc>
          <w:tcPr>
            <w:tcW w:w="489" w:type="dxa"/>
            <w:noWrap/>
            <w:hideMark/>
          </w:tcPr>
          <w:p w14:paraId="0A3714C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7E24BDE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0.96</w:t>
            </w:r>
          </w:p>
        </w:tc>
        <w:tc>
          <w:tcPr>
            <w:tcW w:w="663" w:type="dxa"/>
            <w:noWrap/>
            <w:hideMark/>
          </w:tcPr>
          <w:p w14:paraId="629730A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1.03</w:t>
            </w:r>
          </w:p>
        </w:tc>
        <w:tc>
          <w:tcPr>
            <w:tcW w:w="663" w:type="dxa"/>
            <w:noWrap/>
            <w:hideMark/>
          </w:tcPr>
          <w:p w14:paraId="5D330ED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1.01</w:t>
            </w:r>
          </w:p>
        </w:tc>
        <w:tc>
          <w:tcPr>
            <w:tcW w:w="663" w:type="dxa"/>
            <w:noWrap/>
            <w:hideMark/>
          </w:tcPr>
          <w:p w14:paraId="0ACC946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1.05</w:t>
            </w:r>
          </w:p>
        </w:tc>
        <w:tc>
          <w:tcPr>
            <w:tcW w:w="663" w:type="dxa"/>
            <w:noWrap/>
            <w:hideMark/>
          </w:tcPr>
          <w:p w14:paraId="65665F3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1.09</w:t>
            </w:r>
          </w:p>
        </w:tc>
        <w:tc>
          <w:tcPr>
            <w:tcW w:w="663" w:type="dxa"/>
            <w:noWrap/>
            <w:hideMark/>
          </w:tcPr>
          <w:p w14:paraId="2360212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1.00</w:t>
            </w:r>
          </w:p>
        </w:tc>
        <w:tc>
          <w:tcPr>
            <w:tcW w:w="663" w:type="dxa"/>
            <w:noWrap/>
            <w:hideMark/>
          </w:tcPr>
          <w:p w14:paraId="39E5341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1.23</w:t>
            </w:r>
          </w:p>
        </w:tc>
        <w:tc>
          <w:tcPr>
            <w:tcW w:w="663" w:type="dxa"/>
            <w:noWrap/>
            <w:hideMark/>
          </w:tcPr>
          <w:p w14:paraId="290BCBB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1.00</w:t>
            </w:r>
          </w:p>
        </w:tc>
      </w:tr>
      <w:tr w:rsidR="00260939" w:rsidRPr="00260939" w14:paraId="0AAC13AF"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58709EC0"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South Carolina Public Service Authority</w:t>
            </w:r>
          </w:p>
        </w:tc>
        <w:tc>
          <w:tcPr>
            <w:tcW w:w="489" w:type="dxa"/>
            <w:noWrap/>
            <w:hideMark/>
          </w:tcPr>
          <w:p w14:paraId="73871CA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1.16</w:t>
            </w:r>
          </w:p>
        </w:tc>
        <w:tc>
          <w:tcPr>
            <w:tcW w:w="663" w:type="dxa"/>
            <w:noWrap/>
            <w:hideMark/>
          </w:tcPr>
          <w:p w14:paraId="21639BB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1.19</w:t>
            </w:r>
          </w:p>
        </w:tc>
        <w:tc>
          <w:tcPr>
            <w:tcW w:w="663" w:type="dxa"/>
            <w:noWrap/>
            <w:hideMark/>
          </w:tcPr>
          <w:p w14:paraId="0558D1E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1.19</w:t>
            </w:r>
          </w:p>
        </w:tc>
        <w:tc>
          <w:tcPr>
            <w:tcW w:w="663" w:type="dxa"/>
            <w:noWrap/>
            <w:hideMark/>
          </w:tcPr>
          <w:p w14:paraId="3B798DB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1.15</w:t>
            </w:r>
          </w:p>
        </w:tc>
        <w:tc>
          <w:tcPr>
            <w:tcW w:w="663" w:type="dxa"/>
            <w:noWrap/>
            <w:hideMark/>
          </w:tcPr>
          <w:p w14:paraId="413F916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1.18</w:t>
            </w:r>
          </w:p>
        </w:tc>
        <w:tc>
          <w:tcPr>
            <w:tcW w:w="663" w:type="dxa"/>
            <w:noWrap/>
            <w:hideMark/>
          </w:tcPr>
          <w:p w14:paraId="3EBA256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1.20</w:t>
            </w:r>
          </w:p>
        </w:tc>
        <w:tc>
          <w:tcPr>
            <w:tcW w:w="663" w:type="dxa"/>
            <w:noWrap/>
            <w:hideMark/>
          </w:tcPr>
          <w:p w14:paraId="0639224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58E5CDE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1.09</w:t>
            </w:r>
          </w:p>
        </w:tc>
        <w:tc>
          <w:tcPr>
            <w:tcW w:w="663" w:type="dxa"/>
            <w:noWrap/>
            <w:hideMark/>
          </w:tcPr>
          <w:p w14:paraId="0319AA6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1.03</w:t>
            </w:r>
          </w:p>
        </w:tc>
      </w:tr>
      <w:tr w:rsidR="00260939" w:rsidRPr="00260939" w14:paraId="2D618F04"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067BCC43"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Florida Power &amp; Light Co.</w:t>
            </w:r>
          </w:p>
        </w:tc>
        <w:tc>
          <w:tcPr>
            <w:tcW w:w="489" w:type="dxa"/>
            <w:noWrap/>
            <w:hideMark/>
          </w:tcPr>
          <w:p w14:paraId="5657ECD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1.05</w:t>
            </w:r>
          </w:p>
        </w:tc>
        <w:tc>
          <w:tcPr>
            <w:tcW w:w="663" w:type="dxa"/>
            <w:noWrap/>
            <w:hideMark/>
          </w:tcPr>
          <w:p w14:paraId="0625BBC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1.18</w:t>
            </w:r>
          </w:p>
        </w:tc>
        <w:tc>
          <w:tcPr>
            <w:tcW w:w="663" w:type="dxa"/>
            <w:noWrap/>
            <w:hideMark/>
          </w:tcPr>
          <w:p w14:paraId="70A121F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1.16</w:t>
            </w:r>
          </w:p>
        </w:tc>
        <w:tc>
          <w:tcPr>
            <w:tcW w:w="663" w:type="dxa"/>
            <w:noWrap/>
            <w:hideMark/>
          </w:tcPr>
          <w:p w14:paraId="70A12A2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0.87</w:t>
            </w:r>
          </w:p>
        </w:tc>
        <w:tc>
          <w:tcPr>
            <w:tcW w:w="663" w:type="dxa"/>
            <w:noWrap/>
            <w:hideMark/>
          </w:tcPr>
          <w:p w14:paraId="71DA9B7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0.89</w:t>
            </w:r>
          </w:p>
        </w:tc>
        <w:tc>
          <w:tcPr>
            <w:tcW w:w="663" w:type="dxa"/>
            <w:noWrap/>
            <w:hideMark/>
          </w:tcPr>
          <w:p w14:paraId="6A8A1B5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0.90</w:t>
            </w:r>
          </w:p>
        </w:tc>
        <w:tc>
          <w:tcPr>
            <w:tcW w:w="663" w:type="dxa"/>
            <w:noWrap/>
            <w:hideMark/>
          </w:tcPr>
          <w:p w14:paraId="4F4791A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0.95</w:t>
            </w:r>
          </w:p>
        </w:tc>
        <w:tc>
          <w:tcPr>
            <w:tcW w:w="663" w:type="dxa"/>
            <w:noWrap/>
            <w:hideMark/>
          </w:tcPr>
          <w:p w14:paraId="07AA89B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1.07</w:t>
            </w:r>
          </w:p>
        </w:tc>
        <w:tc>
          <w:tcPr>
            <w:tcW w:w="663" w:type="dxa"/>
            <w:noWrap/>
            <w:hideMark/>
          </w:tcPr>
          <w:p w14:paraId="3472A64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1.00</w:t>
            </w:r>
          </w:p>
        </w:tc>
      </w:tr>
      <w:tr w:rsidR="00260939" w:rsidRPr="00260939" w14:paraId="61C03E4C"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2B86027"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Arizona Public Service Company</w:t>
            </w:r>
          </w:p>
        </w:tc>
        <w:tc>
          <w:tcPr>
            <w:tcW w:w="489" w:type="dxa"/>
            <w:noWrap/>
            <w:hideMark/>
          </w:tcPr>
          <w:p w14:paraId="464D678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1.02</w:t>
            </w:r>
          </w:p>
        </w:tc>
        <w:tc>
          <w:tcPr>
            <w:tcW w:w="663" w:type="dxa"/>
            <w:noWrap/>
            <w:hideMark/>
          </w:tcPr>
          <w:p w14:paraId="228951B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1.18</w:t>
            </w:r>
          </w:p>
        </w:tc>
        <w:tc>
          <w:tcPr>
            <w:tcW w:w="663" w:type="dxa"/>
            <w:noWrap/>
            <w:hideMark/>
          </w:tcPr>
          <w:p w14:paraId="09112271"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1.45</w:t>
            </w:r>
          </w:p>
        </w:tc>
        <w:tc>
          <w:tcPr>
            <w:tcW w:w="663" w:type="dxa"/>
            <w:noWrap/>
            <w:hideMark/>
          </w:tcPr>
          <w:p w14:paraId="716302A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1.33</w:t>
            </w:r>
          </w:p>
        </w:tc>
        <w:tc>
          <w:tcPr>
            <w:tcW w:w="663" w:type="dxa"/>
            <w:noWrap/>
            <w:hideMark/>
          </w:tcPr>
          <w:p w14:paraId="7E6A4E1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4F4368E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0.76</w:t>
            </w:r>
          </w:p>
        </w:tc>
        <w:tc>
          <w:tcPr>
            <w:tcW w:w="663" w:type="dxa"/>
            <w:noWrap/>
            <w:hideMark/>
          </w:tcPr>
          <w:p w14:paraId="681C52F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0.52</w:t>
            </w:r>
          </w:p>
        </w:tc>
        <w:tc>
          <w:tcPr>
            <w:tcW w:w="663" w:type="dxa"/>
            <w:noWrap/>
            <w:hideMark/>
          </w:tcPr>
          <w:p w14:paraId="21A6A60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0.54</w:t>
            </w:r>
          </w:p>
        </w:tc>
        <w:tc>
          <w:tcPr>
            <w:tcW w:w="663" w:type="dxa"/>
            <w:noWrap/>
            <w:hideMark/>
          </w:tcPr>
          <w:p w14:paraId="113CBA3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0.42</w:t>
            </w:r>
          </w:p>
        </w:tc>
      </w:tr>
      <w:tr w:rsidR="00260939" w:rsidRPr="00260939" w14:paraId="5F66EF58"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2722C88C"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Associated Electric Cooperative, Inc.</w:t>
            </w:r>
          </w:p>
        </w:tc>
        <w:tc>
          <w:tcPr>
            <w:tcW w:w="489" w:type="dxa"/>
            <w:noWrap/>
            <w:hideMark/>
          </w:tcPr>
          <w:p w14:paraId="7C745BA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0.95</w:t>
            </w:r>
          </w:p>
        </w:tc>
        <w:tc>
          <w:tcPr>
            <w:tcW w:w="663" w:type="dxa"/>
            <w:noWrap/>
            <w:hideMark/>
          </w:tcPr>
          <w:p w14:paraId="16ED09B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0.89</w:t>
            </w:r>
          </w:p>
        </w:tc>
        <w:tc>
          <w:tcPr>
            <w:tcW w:w="663" w:type="dxa"/>
            <w:noWrap/>
            <w:hideMark/>
          </w:tcPr>
          <w:p w14:paraId="1E9B32B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0.76</w:t>
            </w:r>
          </w:p>
        </w:tc>
        <w:tc>
          <w:tcPr>
            <w:tcW w:w="663" w:type="dxa"/>
            <w:noWrap/>
            <w:hideMark/>
          </w:tcPr>
          <w:p w14:paraId="42F5398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0.89</w:t>
            </w:r>
          </w:p>
        </w:tc>
        <w:tc>
          <w:tcPr>
            <w:tcW w:w="663" w:type="dxa"/>
            <w:noWrap/>
            <w:hideMark/>
          </w:tcPr>
          <w:p w14:paraId="54AD89F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0.81</w:t>
            </w:r>
          </w:p>
        </w:tc>
        <w:tc>
          <w:tcPr>
            <w:tcW w:w="663" w:type="dxa"/>
            <w:noWrap/>
            <w:hideMark/>
          </w:tcPr>
          <w:p w14:paraId="2093E92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0.90</w:t>
            </w:r>
          </w:p>
        </w:tc>
        <w:tc>
          <w:tcPr>
            <w:tcW w:w="663" w:type="dxa"/>
            <w:noWrap/>
            <w:hideMark/>
          </w:tcPr>
          <w:p w14:paraId="656578F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1.01</w:t>
            </w:r>
          </w:p>
        </w:tc>
        <w:tc>
          <w:tcPr>
            <w:tcW w:w="663" w:type="dxa"/>
            <w:noWrap/>
            <w:hideMark/>
          </w:tcPr>
          <w:p w14:paraId="00DF04E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0.88</w:t>
            </w:r>
          </w:p>
        </w:tc>
        <w:tc>
          <w:tcPr>
            <w:tcW w:w="663" w:type="dxa"/>
            <w:noWrap/>
            <w:hideMark/>
          </w:tcPr>
          <w:p w14:paraId="06CC1C5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1.04</w:t>
            </w:r>
          </w:p>
        </w:tc>
      </w:tr>
      <w:tr w:rsidR="00260939" w:rsidRPr="00260939" w14:paraId="325A707C"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0AF8F6D9"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ISO New England</w:t>
            </w:r>
          </w:p>
        </w:tc>
        <w:tc>
          <w:tcPr>
            <w:tcW w:w="489" w:type="dxa"/>
            <w:noWrap/>
            <w:hideMark/>
          </w:tcPr>
          <w:p w14:paraId="0C22A5F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0.91</w:t>
            </w:r>
          </w:p>
        </w:tc>
        <w:tc>
          <w:tcPr>
            <w:tcW w:w="663" w:type="dxa"/>
            <w:noWrap/>
            <w:hideMark/>
          </w:tcPr>
          <w:p w14:paraId="2845EB5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0.98</w:t>
            </w:r>
          </w:p>
        </w:tc>
        <w:tc>
          <w:tcPr>
            <w:tcW w:w="663" w:type="dxa"/>
            <w:noWrap/>
            <w:hideMark/>
          </w:tcPr>
          <w:p w14:paraId="1D62570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0.87</w:t>
            </w:r>
          </w:p>
        </w:tc>
        <w:tc>
          <w:tcPr>
            <w:tcW w:w="663" w:type="dxa"/>
            <w:noWrap/>
            <w:hideMark/>
          </w:tcPr>
          <w:p w14:paraId="60B25D8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0.93</w:t>
            </w:r>
          </w:p>
        </w:tc>
        <w:tc>
          <w:tcPr>
            <w:tcW w:w="663" w:type="dxa"/>
            <w:noWrap/>
            <w:hideMark/>
          </w:tcPr>
          <w:p w14:paraId="35BAA251"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0.94</w:t>
            </w:r>
          </w:p>
        </w:tc>
        <w:tc>
          <w:tcPr>
            <w:tcW w:w="663" w:type="dxa"/>
            <w:noWrap/>
            <w:hideMark/>
          </w:tcPr>
          <w:p w14:paraId="53F1BF9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0.92</w:t>
            </w:r>
          </w:p>
        </w:tc>
        <w:tc>
          <w:tcPr>
            <w:tcW w:w="663" w:type="dxa"/>
            <w:noWrap/>
            <w:hideMark/>
          </w:tcPr>
          <w:p w14:paraId="7C4FC63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0.86</w:t>
            </w:r>
          </w:p>
        </w:tc>
        <w:tc>
          <w:tcPr>
            <w:tcW w:w="663" w:type="dxa"/>
            <w:noWrap/>
            <w:hideMark/>
          </w:tcPr>
          <w:p w14:paraId="1B750FD1"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0.79</w:t>
            </w:r>
          </w:p>
        </w:tc>
        <w:tc>
          <w:tcPr>
            <w:tcW w:w="663" w:type="dxa"/>
            <w:noWrap/>
            <w:hideMark/>
          </w:tcPr>
          <w:p w14:paraId="74EC8FE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0.89</w:t>
            </w:r>
          </w:p>
        </w:tc>
      </w:tr>
      <w:tr w:rsidR="00260939" w:rsidRPr="00260939" w14:paraId="3FCAFD88"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529A026A"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Duke Energy Progress West</w:t>
            </w:r>
          </w:p>
        </w:tc>
        <w:tc>
          <w:tcPr>
            <w:tcW w:w="489" w:type="dxa"/>
            <w:noWrap/>
            <w:hideMark/>
          </w:tcPr>
          <w:p w14:paraId="795B6D4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0.90</w:t>
            </w:r>
          </w:p>
        </w:tc>
        <w:tc>
          <w:tcPr>
            <w:tcW w:w="663" w:type="dxa"/>
            <w:noWrap/>
            <w:hideMark/>
          </w:tcPr>
          <w:p w14:paraId="437C35A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0.95</w:t>
            </w:r>
          </w:p>
        </w:tc>
        <w:tc>
          <w:tcPr>
            <w:tcW w:w="663" w:type="dxa"/>
            <w:noWrap/>
            <w:hideMark/>
          </w:tcPr>
          <w:p w14:paraId="0F23211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0.96</w:t>
            </w:r>
          </w:p>
        </w:tc>
        <w:tc>
          <w:tcPr>
            <w:tcW w:w="663" w:type="dxa"/>
            <w:noWrap/>
            <w:hideMark/>
          </w:tcPr>
          <w:p w14:paraId="51B80AA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0.95</w:t>
            </w:r>
          </w:p>
        </w:tc>
        <w:tc>
          <w:tcPr>
            <w:tcW w:w="663" w:type="dxa"/>
            <w:noWrap/>
            <w:hideMark/>
          </w:tcPr>
          <w:p w14:paraId="1C7E5A9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0.75</w:t>
            </w:r>
          </w:p>
        </w:tc>
        <w:tc>
          <w:tcPr>
            <w:tcW w:w="663" w:type="dxa"/>
            <w:noWrap/>
            <w:hideMark/>
          </w:tcPr>
          <w:p w14:paraId="366691E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0.64</w:t>
            </w:r>
          </w:p>
        </w:tc>
        <w:tc>
          <w:tcPr>
            <w:tcW w:w="663" w:type="dxa"/>
            <w:noWrap/>
            <w:hideMark/>
          </w:tcPr>
          <w:p w14:paraId="17F8EB9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0.87</w:t>
            </w:r>
          </w:p>
        </w:tc>
        <w:tc>
          <w:tcPr>
            <w:tcW w:w="663" w:type="dxa"/>
            <w:noWrap/>
            <w:hideMark/>
          </w:tcPr>
          <w:p w14:paraId="4373E0E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0.96</w:t>
            </w:r>
          </w:p>
        </w:tc>
        <w:tc>
          <w:tcPr>
            <w:tcW w:w="663" w:type="dxa"/>
            <w:noWrap/>
            <w:hideMark/>
          </w:tcPr>
          <w:p w14:paraId="4F886D0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0.74</w:t>
            </w:r>
          </w:p>
        </w:tc>
      </w:tr>
      <w:tr w:rsidR="00260939" w:rsidRPr="00260939" w14:paraId="10A08790"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696D2465"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Florida Municipal Power Pool</w:t>
            </w:r>
          </w:p>
        </w:tc>
        <w:tc>
          <w:tcPr>
            <w:tcW w:w="489" w:type="dxa"/>
            <w:noWrap/>
            <w:hideMark/>
          </w:tcPr>
          <w:p w14:paraId="1B1A164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0.88</w:t>
            </w:r>
          </w:p>
        </w:tc>
        <w:tc>
          <w:tcPr>
            <w:tcW w:w="663" w:type="dxa"/>
            <w:noWrap/>
            <w:hideMark/>
          </w:tcPr>
          <w:p w14:paraId="52D6591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0.93</w:t>
            </w:r>
          </w:p>
        </w:tc>
        <w:tc>
          <w:tcPr>
            <w:tcW w:w="663" w:type="dxa"/>
            <w:noWrap/>
            <w:hideMark/>
          </w:tcPr>
          <w:p w14:paraId="0425C93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0.92</w:t>
            </w:r>
          </w:p>
        </w:tc>
        <w:tc>
          <w:tcPr>
            <w:tcW w:w="663" w:type="dxa"/>
            <w:noWrap/>
            <w:hideMark/>
          </w:tcPr>
          <w:p w14:paraId="38A5EDD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0.79</w:t>
            </w:r>
          </w:p>
        </w:tc>
        <w:tc>
          <w:tcPr>
            <w:tcW w:w="663" w:type="dxa"/>
            <w:noWrap/>
            <w:hideMark/>
          </w:tcPr>
          <w:p w14:paraId="50A34D2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0.93</w:t>
            </w:r>
          </w:p>
        </w:tc>
        <w:tc>
          <w:tcPr>
            <w:tcW w:w="663" w:type="dxa"/>
            <w:noWrap/>
            <w:hideMark/>
          </w:tcPr>
          <w:p w14:paraId="23D342B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0.91</w:t>
            </w:r>
          </w:p>
        </w:tc>
        <w:tc>
          <w:tcPr>
            <w:tcW w:w="663" w:type="dxa"/>
            <w:noWrap/>
            <w:hideMark/>
          </w:tcPr>
          <w:p w14:paraId="7AB2F16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0.85</w:t>
            </w:r>
          </w:p>
        </w:tc>
        <w:tc>
          <w:tcPr>
            <w:tcW w:w="663" w:type="dxa"/>
            <w:noWrap/>
            <w:hideMark/>
          </w:tcPr>
          <w:p w14:paraId="3DE483A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0.80</w:t>
            </w:r>
          </w:p>
        </w:tc>
        <w:tc>
          <w:tcPr>
            <w:tcW w:w="663" w:type="dxa"/>
            <w:noWrap/>
            <w:hideMark/>
          </w:tcPr>
          <w:p w14:paraId="029B087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0.76</w:t>
            </w:r>
          </w:p>
        </w:tc>
      </w:tr>
      <w:tr w:rsidR="00260939" w:rsidRPr="00260939" w14:paraId="00C47A2E"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797D59FB"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Public Utility District No. 2 of Grant County, Washington</w:t>
            </w:r>
          </w:p>
        </w:tc>
        <w:tc>
          <w:tcPr>
            <w:tcW w:w="489" w:type="dxa"/>
            <w:noWrap/>
            <w:hideMark/>
          </w:tcPr>
          <w:p w14:paraId="58F1EBA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0.82</w:t>
            </w:r>
          </w:p>
        </w:tc>
        <w:tc>
          <w:tcPr>
            <w:tcW w:w="663" w:type="dxa"/>
            <w:noWrap/>
            <w:hideMark/>
          </w:tcPr>
          <w:p w14:paraId="53E9DD5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0.58</w:t>
            </w:r>
          </w:p>
        </w:tc>
        <w:tc>
          <w:tcPr>
            <w:tcW w:w="663" w:type="dxa"/>
            <w:noWrap/>
            <w:hideMark/>
          </w:tcPr>
          <w:p w14:paraId="4DDD995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0.66</w:t>
            </w:r>
          </w:p>
        </w:tc>
        <w:tc>
          <w:tcPr>
            <w:tcW w:w="663" w:type="dxa"/>
            <w:noWrap/>
            <w:hideMark/>
          </w:tcPr>
          <w:p w14:paraId="494F872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0.75</w:t>
            </w:r>
          </w:p>
        </w:tc>
        <w:tc>
          <w:tcPr>
            <w:tcW w:w="663" w:type="dxa"/>
            <w:noWrap/>
            <w:hideMark/>
          </w:tcPr>
          <w:p w14:paraId="0B019F8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0.83</w:t>
            </w:r>
          </w:p>
        </w:tc>
        <w:tc>
          <w:tcPr>
            <w:tcW w:w="663" w:type="dxa"/>
            <w:noWrap/>
            <w:hideMark/>
          </w:tcPr>
          <w:p w14:paraId="5851607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0.48</w:t>
            </w:r>
          </w:p>
        </w:tc>
        <w:tc>
          <w:tcPr>
            <w:tcW w:w="663" w:type="dxa"/>
            <w:noWrap/>
            <w:hideMark/>
          </w:tcPr>
          <w:p w14:paraId="44EDD8E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0.75</w:t>
            </w:r>
          </w:p>
        </w:tc>
        <w:tc>
          <w:tcPr>
            <w:tcW w:w="663" w:type="dxa"/>
            <w:noWrap/>
            <w:hideMark/>
          </w:tcPr>
          <w:p w14:paraId="73A7919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0.85</w:t>
            </w:r>
          </w:p>
        </w:tc>
        <w:tc>
          <w:tcPr>
            <w:tcW w:w="663" w:type="dxa"/>
            <w:noWrap/>
            <w:hideMark/>
          </w:tcPr>
          <w:p w14:paraId="7E899FC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1.03</w:t>
            </w:r>
          </w:p>
        </w:tc>
      </w:tr>
      <w:tr w:rsidR="00260939" w:rsidRPr="00260939" w14:paraId="7B68A46F"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0C8FF02F"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lastRenderedPageBreak/>
              <w:t>Tampa Electric Company</w:t>
            </w:r>
          </w:p>
        </w:tc>
        <w:tc>
          <w:tcPr>
            <w:tcW w:w="489" w:type="dxa"/>
            <w:noWrap/>
            <w:hideMark/>
          </w:tcPr>
          <w:p w14:paraId="08FDFAC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0.81</w:t>
            </w:r>
          </w:p>
        </w:tc>
        <w:tc>
          <w:tcPr>
            <w:tcW w:w="663" w:type="dxa"/>
            <w:noWrap/>
            <w:hideMark/>
          </w:tcPr>
          <w:p w14:paraId="1289FF5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0.77</w:t>
            </w:r>
          </w:p>
        </w:tc>
        <w:tc>
          <w:tcPr>
            <w:tcW w:w="663" w:type="dxa"/>
            <w:noWrap/>
            <w:hideMark/>
          </w:tcPr>
          <w:p w14:paraId="53149AE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0.68</w:t>
            </w:r>
          </w:p>
        </w:tc>
        <w:tc>
          <w:tcPr>
            <w:tcW w:w="663" w:type="dxa"/>
            <w:noWrap/>
            <w:hideMark/>
          </w:tcPr>
          <w:p w14:paraId="58879B9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1.28</w:t>
            </w:r>
          </w:p>
        </w:tc>
        <w:tc>
          <w:tcPr>
            <w:tcW w:w="663" w:type="dxa"/>
            <w:noWrap/>
            <w:hideMark/>
          </w:tcPr>
          <w:p w14:paraId="656A031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1.03</w:t>
            </w:r>
          </w:p>
        </w:tc>
        <w:tc>
          <w:tcPr>
            <w:tcW w:w="663" w:type="dxa"/>
            <w:noWrap/>
            <w:hideMark/>
          </w:tcPr>
          <w:p w14:paraId="2F06865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0.79</w:t>
            </w:r>
          </w:p>
        </w:tc>
        <w:tc>
          <w:tcPr>
            <w:tcW w:w="663" w:type="dxa"/>
            <w:noWrap/>
            <w:hideMark/>
          </w:tcPr>
          <w:p w14:paraId="285D904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0.88</w:t>
            </w:r>
          </w:p>
        </w:tc>
        <w:tc>
          <w:tcPr>
            <w:tcW w:w="663" w:type="dxa"/>
            <w:noWrap/>
            <w:hideMark/>
          </w:tcPr>
          <w:p w14:paraId="2874BC4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0.66</w:t>
            </w:r>
          </w:p>
        </w:tc>
        <w:tc>
          <w:tcPr>
            <w:tcW w:w="663" w:type="dxa"/>
            <w:noWrap/>
            <w:hideMark/>
          </w:tcPr>
          <w:p w14:paraId="2166AF8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0.45</w:t>
            </w:r>
          </w:p>
        </w:tc>
      </w:tr>
      <w:tr w:rsidR="00260939" w:rsidRPr="00260939" w14:paraId="30D9202F"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787920B8"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Idaho Power Company</w:t>
            </w:r>
          </w:p>
        </w:tc>
        <w:tc>
          <w:tcPr>
            <w:tcW w:w="489" w:type="dxa"/>
            <w:noWrap/>
            <w:hideMark/>
          </w:tcPr>
          <w:p w14:paraId="59E9305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0.77</w:t>
            </w:r>
          </w:p>
        </w:tc>
        <w:tc>
          <w:tcPr>
            <w:tcW w:w="663" w:type="dxa"/>
            <w:noWrap/>
            <w:hideMark/>
          </w:tcPr>
          <w:p w14:paraId="61F0A9C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0.82</w:t>
            </w:r>
          </w:p>
        </w:tc>
        <w:tc>
          <w:tcPr>
            <w:tcW w:w="663" w:type="dxa"/>
            <w:noWrap/>
            <w:hideMark/>
          </w:tcPr>
          <w:p w14:paraId="68AD791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0.84</w:t>
            </w:r>
          </w:p>
        </w:tc>
        <w:tc>
          <w:tcPr>
            <w:tcW w:w="663" w:type="dxa"/>
            <w:noWrap/>
            <w:hideMark/>
          </w:tcPr>
          <w:p w14:paraId="620BBD6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0.87</w:t>
            </w:r>
          </w:p>
        </w:tc>
        <w:tc>
          <w:tcPr>
            <w:tcW w:w="663" w:type="dxa"/>
            <w:noWrap/>
            <w:hideMark/>
          </w:tcPr>
          <w:p w14:paraId="776ED66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0.64</w:t>
            </w:r>
          </w:p>
        </w:tc>
        <w:tc>
          <w:tcPr>
            <w:tcW w:w="663" w:type="dxa"/>
            <w:noWrap/>
            <w:hideMark/>
          </w:tcPr>
          <w:p w14:paraId="722475D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1.02</w:t>
            </w:r>
          </w:p>
        </w:tc>
        <w:tc>
          <w:tcPr>
            <w:tcW w:w="663" w:type="dxa"/>
            <w:noWrap/>
            <w:hideMark/>
          </w:tcPr>
          <w:p w14:paraId="7BCA01D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0.56</w:t>
            </w:r>
          </w:p>
        </w:tc>
        <w:tc>
          <w:tcPr>
            <w:tcW w:w="663" w:type="dxa"/>
            <w:noWrap/>
            <w:hideMark/>
          </w:tcPr>
          <w:p w14:paraId="0FB5604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0.76</w:t>
            </w:r>
          </w:p>
        </w:tc>
        <w:tc>
          <w:tcPr>
            <w:tcW w:w="663" w:type="dxa"/>
            <w:noWrap/>
            <w:hideMark/>
          </w:tcPr>
          <w:p w14:paraId="3C3AA50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0.56</w:t>
            </w:r>
          </w:p>
        </w:tc>
      </w:tr>
      <w:tr w:rsidR="00260939" w:rsidRPr="00260939" w14:paraId="7A7C35CB"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4B4787A"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El Paso Electric Company</w:t>
            </w:r>
          </w:p>
        </w:tc>
        <w:tc>
          <w:tcPr>
            <w:tcW w:w="489" w:type="dxa"/>
            <w:noWrap/>
            <w:hideMark/>
          </w:tcPr>
          <w:p w14:paraId="6A7EAC2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0.74</w:t>
            </w:r>
          </w:p>
        </w:tc>
        <w:tc>
          <w:tcPr>
            <w:tcW w:w="663" w:type="dxa"/>
            <w:noWrap/>
            <w:hideMark/>
          </w:tcPr>
          <w:p w14:paraId="189F00C1"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0.76</w:t>
            </w:r>
          </w:p>
        </w:tc>
        <w:tc>
          <w:tcPr>
            <w:tcW w:w="663" w:type="dxa"/>
            <w:noWrap/>
            <w:hideMark/>
          </w:tcPr>
          <w:p w14:paraId="26ECA28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0.74</w:t>
            </w:r>
          </w:p>
        </w:tc>
        <w:tc>
          <w:tcPr>
            <w:tcW w:w="663" w:type="dxa"/>
            <w:noWrap/>
            <w:hideMark/>
          </w:tcPr>
          <w:p w14:paraId="5F23507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0.64</w:t>
            </w:r>
          </w:p>
        </w:tc>
        <w:tc>
          <w:tcPr>
            <w:tcW w:w="663" w:type="dxa"/>
            <w:noWrap/>
            <w:hideMark/>
          </w:tcPr>
          <w:p w14:paraId="68D3772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0.62</w:t>
            </w:r>
          </w:p>
        </w:tc>
        <w:tc>
          <w:tcPr>
            <w:tcW w:w="663" w:type="dxa"/>
            <w:noWrap/>
            <w:hideMark/>
          </w:tcPr>
          <w:p w14:paraId="138F897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0.48</w:t>
            </w:r>
          </w:p>
        </w:tc>
        <w:tc>
          <w:tcPr>
            <w:tcW w:w="663" w:type="dxa"/>
            <w:noWrap/>
            <w:hideMark/>
          </w:tcPr>
          <w:p w14:paraId="0499295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0.68</w:t>
            </w:r>
          </w:p>
        </w:tc>
        <w:tc>
          <w:tcPr>
            <w:tcW w:w="663" w:type="dxa"/>
            <w:noWrap/>
            <w:hideMark/>
          </w:tcPr>
          <w:p w14:paraId="02D4C92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0.79</w:t>
            </w:r>
          </w:p>
        </w:tc>
        <w:tc>
          <w:tcPr>
            <w:tcW w:w="663" w:type="dxa"/>
            <w:noWrap/>
            <w:hideMark/>
          </w:tcPr>
          <w:p w14:paraId="3835940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0.62</w:t>
            </w:r>
          </w:p>
        </w:tc>
      </w:tr>
      <w:tr w:rsidR="00260939" w:rsidRPr="00260939" w14:paraId="615AE147"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0A28A383"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Avista Corporation</w:t>
            </w:r>
          </w:p>
        </w:tc>
        <w:tc>
          <w:tcPr>
            <w:tcW w:w="489" w:type="dxa"/>
            <w:noWrap/>
            <w:hideMark/>
          </w:tcPr>
          <w:p w14:paraId="5415885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0.73</w:t>
            </w:r>
          </w:p>
        </w:tc>
        <w:tc>
          <w:tcPr>
            <w:tcW w:w="663" w:type="dxa"/>
            <w:noWrap/>
            <w:hideMark/>
          </w:tcPr>
          <w:p w14:paraId="591B805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0.60</w:t>
            </w:r>
          </w:p>
        </w:tc>
        <w:tc>
          <w:tcPr>
            <w:tcW w:w="663" w:type="dxa"/>
            <w:noWrap/>
            <w:hideMark/>
          </w:tcPr>
          <w:p w14:paraId="0F1664B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0.56</w:t>
            </w:r>
          </w:p>
        </w:tc>
        <w:tc>
          <w:tcPr>
            <w:tcW w:w="663" w:type="dxa"/>
            <w:noWrap/>
            <w:hideMark/>
          </w:tcPr>
          <w:p w14:paraId="692195C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0.62</w:t>
            </w:r>
          </w:p>
        </w:tc>
        <w:tc>
          <w:tcPr>
            <w:tcW w:w="663" w:type="dxa"/>
            <w:noWrap/>
            <w:hideMark/>
          </w:tcPr>
          <w:p w14:paraId="487C6F2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0.71</w:t>
            </w:r>
          </w:p>
        </w:tc>
        <w:tc>
          <w:tcPr>
            <w:tcW w:w="663" w:type="dxa"/>
            <w:noWrap/>
            <w:hideMark/>
          </w:tcPr>
          <w:p w14:paraId="68C00B6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0.57</w:t>
            </w:r>
          </w:p>
        </w:tc>
        <w:tc>
          <w:tcPr>
            <w:tcW w:w="663" w:type="dxa"/>
            <w:noWrap/>
            <w:hideMark/>
          </w:tcPr>
          <w:p w14:paraId="2A82FE2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0.83</w:t>
            </w:r>
          </w:p>
        </w:tc>
        <w:tc>
          <w:tcPr>
            <w:tcW w:w="663" w:type="dxa"/>
            <w:noWrap/>
            <w:hideMark/>
          </w:tcPr>
          <w:p w14:paraId="7E5E23A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0.81</w:t>
            </w:r>
          </w:p>
        </w:tc>
        <w:tc>
          <w:tcPr>
            <w:tcW w:w="663" w:type="dxa"/>
            <w:noWrap/>
            <w:hideMark/>
          </w:tcPr>
          <w:p w14:paraId="7C8A513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0.99</w:t>
            </w:r>
          </w:p>
        </w:tc>
      </w:tr>
      <w:tr w:rsidR="00260939" w:rsidRPr="00260939" w14:paraId="725C4E37"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76815E72"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Tennessee Valley Authority</w:t>
            </w:r>
          </w:p>
        </w:tc>
        <w:tc>
          <w:tcPr>
            <w:tcW w:w="489" w:type="dxa"/>
            <w:noWrap/>
            <w:hideMark/>
          </w:tcPr>
          <w:p w14:paraId="5C112CB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0.66</w:t>
            </w:r>
          </w:p>
        </w:tc>
        <w:tc>
          <w:tcPr>
            <w:tcW w:w="663" w:type="dxa"/>
            <w:noWrap/>
            <w:hideMark/>
          </w:tcPr>
          <w:p w14:paraId="19ECE7C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0.62</w:t>
            </w:r>
          </w:p>
        </w:tc>
        <w:tc>
          <w:tcPr>
            <w:tcW w:w="663" w:type="dxa"/>
            <w:noWrap/>
            <w:hideMark/>
          </w:tcPr>
          <w:p w14:paraId="3085B1B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0.78</w:t>
            </w:r>
          </w:p>
        </w:tc>
        <w:tc>
          <w:tcPr>
            <w:tcW w:w="663" w:type="dxa"/>
            <w:noWrap/>
            <w:hideMark/>
          </w:tcPr>
          <w:p w14:paraId="13FE7D5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0.75</w:t>
            </w:r>
          </w:p>
        </w:tc>
        <w:tc>
          <w:tcPr>
            <w:tcW w:w="663" w:type="dxa"/>
            <w:noWrap/>
            <w:hideMark/>
          </w:tcPr>
          <w:p w14:paraId="251B224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0.71</w:t>
            </w:r>
          </w:p>
        </w:tc>
        <w:tc>
          <w:tcPr>
            <w:tcW w:w="663" w:type="dxa"/>
            <w:noWrap/>
            <w:hideMark/>
          </w:tcPr>
          <w:p w14:paraId="1CFE2BE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0.65</w:t>
            </w:r>
          </w:p>
        </w:tc>
        <w:tc>
          <w:tcPr>
            <w:tcW w:w="663" w:type="dxa"/>
            <w:noWrap/>
            <w:hideMark/>
          </w:tcPr>
          <w:p w14:paraId="5DE6DBF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0.60</w:t>
            </w:r>
          </w:p>
        </w:tc>
        <w:tc>
          <w:tcPr>
            <w:tcW w:w="663" w:type="dxa"/>
            <w:noWrap/>
            <w:hideMark/>
          </w:tcPr>
          <w:p w14:paraId="7C9067A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0.47</w:t>
            </w:r>
          </w:p>
        </w:tc>
        <w:tc>
          <w:tcPr>
            <w:tcW w:w="663" w:type="dxa"/>
            <w:noWrap/>
            <w:hideMark/>
          </w:tcPr>
          <w:p w14:paraId="4AE5F10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0.59</w:t>
            </w:r>
          </w:p>
        </w:tc>
      </w:tr>
      <w:tr w:rsidR="00260939" w:rsidRPr="00260939" w14:paraId="2FA5F862"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5A31886B"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Balancing Authority of Northern California</w:t>
            </w:r>
          </w:p>
        </w:tc>
        <w:tc>
          <w:tcPr>
            <w:tcW w:w="489" w:type="dxa"/>
            <w:noWrap/>
            <w:hideMark/>
          </w:tcPr>
          <w:p w14:paraId="394B553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0.58</w:t>
            </w:r>
          </w:p>
        </w:tc>
        <w:tc>
          <w:tcPr>
            <w:tcW w:w="663" w:type="dxa"/>
            <w:noWrap/>
            <w:hideMark/>
          </w:tcPr>
          <w:p w14:paraId="1A1067B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0.22</w:t>
            </w:r>
          </w:p>
        </w:tc>
        <w:tc>
          <w:tcPr>
            <w:tcW w:w="663" w:type="dxa"/>
            <w:noWrap/>
            <w:hideMark/>
          </w:tcPr>
          <w:p w14:paraId="02667C7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0.39</w:t>
            </w:r>
          </w:p>
        </w:tc>
        <w:tc>
          <w:tcPr>
            <w:tcW w:w="663" w:type="dxa"/>
            <w:noWrap/>
            <w:hideMark/>
          </w:tcPr>
          <w:p w14:paraId="30C1BD8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0.37</w:t>
            </w:r>
          </w:p>
        </w:tc>
        <w:tc>
          <w:tcPr>
            <w:tcW w:w="663" w:type="dxa"/>
            <w:noWrap/>
            <w:hideMark/>
          </w:tcPr>
          <w:p w14:paraId="13914EF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0.52</w:t>
            </w:r>
          </w:p>
        </w:tc>
        <w:tc>
          <w:tcPr>
            <w:tcW w:w="663" w:type="dxa"/>
            <w:noWrap/>
            <w:hideMark/>
          </w:tcPr>
          <w:p w14:paraId="488E756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0.55</w:t>
            </w:r>
          </w:p>
        </w:tc>
        <w:tc>
          <w:tcPr>
            <w:tcW w:w="663" w:type="dxa"/>
            <w:noWrap/>
            <w:hideMark/>
          </w:tcPr>
          <w:p w14:paraId="1C3AC1F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0.51</w:t>
            </w:r>
          </w:p>
        </w:tc>
        <w:tc>
          <w:tcPr>
            <w:tcW w:w="663" w:type="dxa"/>
            <w:noWrap/>
            <w:hideMark/>
          </w:tcPr>
          <w:p w14:paraId="152F060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0.71</w:t>
            </w:r>
          </w:p>
        </w:tc>
        <w:tc>
          <w:tcPr>
            <w:tcW w:w="663" w:type="dxa"/>
            <w:noWrap/>
            <w:hideMark/>
          </w:tcPr>
          <w:p w14:paraId="48062AD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1.02</w:t>
            </w:r>
          </w:p>
        </w:tc>
      </w:tr>
      <w:tr w:rsidR="00260939" w:rsidRPr="00260939" w14:paraId="559B900F"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0D369AA0" w14:textId="77777777" w:rsidR="00260939" w:rsidRPr="00D7424B" w:rsidRDefault="00260939" w:rsidP="00260939">
            <w:pPr>
              <w:rPr>
                <w:rFonts w:ascii="Aptos Narrow" w:eastAsia="Times New Roman" w:hAnsi="Aptos Narrow" w:cs="Times New Roman"/>
                <w:b w:val="0"/>
                <w:bCs w:val="0"/>
                <w:color w:val="000000"/>
              </w:rPr>
            </w:pPr>
            <w:proofErr w:type="spellStart"/>
            <w:r w:rsidRPr="00D7424B">
              <w:rPr>
                <w:rFonts w:ascii="Aptos Narrow" w:eastAsia="Times New Roman" w:hAnsi="Aptos Narrow" w:cs="Times New Roman"/>
                <w:b w:val="0"/>
                <w:bCs w:val="0"/>
                <w:color w:val="000000"/>
              </w:rPr>
              <w:t>PowerSouth</w:t>
            </w:r>
            <w:proofErr w:type="spellEnd"/>
            <w:r w:rsidRPr="00D7424B">
              <w:rPr>
                <w:rFonts w:ascii="Aptos Narrow" w:eastAsia="Times New Roman" w:hAnsi="Aptos Narrow" w:cs="Times New Roman"/>
                <w:b w:val="0"/>
                <w:bCs w:val="0"/>
                <w:color w:val="000000"/>
              </w:rPr>
              <w:t xml:space="preserve"> Energy Cooperative</w:t>
            </w:r>
          </w:p>
        </w:tc>
        <w:tc>
          <w:tcPr>
            <w:tcW w:w="489" w:type="dxa"/>
            <w:noWrap/>
            <w:hideMark/>
          </w:tcPr>
          <w:p w14:paraId="02D6A97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0.36</w:t>
            </w:r>
          </w:p>
        </w:tc>
        <w:tc>
          <w:tcPr>
            <w:tcW w:w="663" w:type="dxa"/>
            <w:noWrap/>
            <w:hideMark/>
          </w:tcPr>
          <w:p w14:paraId="0031178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0.25</w:t>
            </w:r>
          </w:p>
        </w:tc>
        <w:tc>
          <w:tcPr>
            <w:tcW w:w="663" w:type="dxa"/>
            <w:noWrap/>
            <w:hideMark/>
          </w:tcPr>
          <w:p w14:paraId="7661285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0.21</w:t>
            </w:r>
          </w:p>
        </w:tc>
        <w:tc>
          <w:tcPr>
            <w:tcW w:w="663" w:type="dxa"/>
            <w:noWrap/>
            <w:hideMark/>
          </w:tcPr>
          <w:p w14:paraId="08561B6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0.16</w:t>
            </w:r>
          </w:p>
        </w:tc>
        <w:tc>
          <w:tcPr>
            <w:tcW w:w="663" w:type="dxa"/>
            <w:noWrap/>
            <w:hideMark/>
          </w:tcPr>
          <w:p w14:paraId="6A64DFF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0.31</w:t>
            </w:r>
          </w:p>
        </w:tc>
        <w:tc>
          <w:tcPr>
            <w:tcW w:w="663" w:type="dxa"/>
            <w:noWrap/>
            <w:hideMark/>
          </w:tcPr>
          <w:p w14:paraId="3AF088A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0.54</w:t>
            </w:r>
          </w:p>
        </w:tc>
        <w:tc>
          <w:tcPr>
            <w:tcW w:w="663" w:type="dxa"/>
            <w:noWrap/>
            <w:hideMark/>
          </w:tcPr>
          <w:p w14:paraId="38B84A6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0.41</w:t>
            </w:r>
          </w:p>
        </w:tc>
        <w:tc>
          <w:tcPr>
            <w:tcW w:w="663" w:type="dxa"/>
            <w:noWrap/>
            <w:hideMark/>
          </w:tcPr>
          <w:p w14:paraId="110B77C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c>
          <w:tcPr>
            <w:tcW w:w="663" w:type="dxa"/>
            <w:noWrap/>
            <w:hideMark/>
          </w:tcPr>
          <w:p w14:paraId="7FFE309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r>
      <w:tr w:rsidR="00260939" w:rsidRPr="00260939" w14:paraId="33F1524D"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4BF28310"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Puget Sound Energy, Inc.</w:t>
            </w:r>
          </w:p>
        </w:tc>
        <w:tc>
          <w:tcPr>
            <w:tcW w:w="489" w:type="dxa"/>
            <w:noWrap/>
            <w:hideMark/>
          </w:tcPr>
          <w:p w14:paraId="319AE11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0.35</w:t>
            </w:r>
          </w:p>
        </w:tc>
        <w:tc>
          <w:tcPr>
            <w:tcW w:w="663" w:type="dxa"/>
            <w:noWrap/>
            <w:hideMark/>
          </w:tcPr>
          <w:p w14:paraId="1DB9245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0.22</w:t>
            </w:r>
          </w:p>
        </w:tc>
        <w:tc>
          <w:tcPr>
            <w:tcW w:w="663" w:type="dxa"/>
            <w:noWrap/>
            <w:hideMark/>
          </w:tcPr>
          <w:p w14:paraId="62B4DFC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0.30</w:t>
            </w:r>
          </w:p>
        </w:tc>
        <w:tc>
          <w:tcPr>
            <w:tcW w:w="663" w:type="dxa"/>
            <w:noWrap/>
            <w:hideMark/>
          </w:tcPr>
          <w:p w14:paraId="4FFA710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0.19</w:t>
            </w:r>
          </w:p>
        </w:tc>
        <w:tc>
          <w:tcPr>
            <w:tcW w:w="663" w:type="dxa"/>
            <w:noWrap/>
            <w:hideMark/>
          </w:tcPr>
          <w:p w14:paraId="55CFAE5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0.28</w:t>
            </w:r>
          </w:p>
        </w:tc>
        <w:tc>
          <w:tcPr>
            <w:tcW w:w="663" w:type="dxa"/>
            <w:noWrap/>
            <w:hideMark/>
          </w:tcPr>
          <w:p w14:paraId="1B5FA59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0.78</w:t>
            </w:r>
          </w:p>
        </w:tc>
        <w:tc>
          <w:tcPr>
            <w:tcW w:w="663" w:type="dxa"/>
            <w:noWrap/>
            <w:hideMark/>
          </w:tcPr>
          <w:p w14:paraId="3F61040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0.40</w:t>
            </w:r>
          </w:p>
        </w:tc>
        <w:tc>
          <w:tcPr>
            <w:tcW w:w="663" w:type="dxa"/>
            <w:noWrap/>
            <w:hideMark/>
          </w:tcPr>
          <w:p w14:paraId="07E4366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0.40</w:t>
            </w:r>
          </w:p>
        </w:tc>
        <w:tc>
          <w:tcPr>
            <w:tcW w:w="663" w:type="dxa"/>
            <w:noWrap/>
            <w:hideMark/>
          </w:tcPr>
          <w:p w14:paraId="5908715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0.41</w:t>
            </w:r>
          </w:p>
        </w:tc>
      </w:tr>
      <w:tr w:rsidR="00260939" w:rsidRPr="00260939" w14:paraId="2CCF0256"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4BEF2E30"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Dominion Energy South Carolina, Inc.</w:t>
            </w:r>
          </w:p>
        </w:tc>
        <w:tc>
          <w:tcPr>
            <w:tcW w:w="489" w:type="dxa"/>
            <w:noWrap/>
            <w:hideMark/>
          </w:tcPr>
          <w:p w14:paraId="31CBB59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0.33</w:t>
            </w:r>
          </w:p>
        </w:tc>
        <w:tc>
          <w:tcPr>
            <w:tcW w:w="663" w:type="dxa"/>
            <w:noWrap/>
            <w:hideMark/>
          </w:tcPr>
          <w:p w14:paraId="6F0226A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0.16</w:t>
            </w:r>
          </w:p>
        </w:tc>
        <w:tc>
          <w:tcPr>
            <w:tcW w:w="663" w:type="dxa"/>
            <w:noWrap/>
            <w:hideMark/>
          </w:tcPr>
          <w:p w14:paraId="409131A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0.23</w:t>
            </w:r>
          </w:p>
        </w:tc>
        <w:tc>
          <w:tcPr>
            <w:tcW w:w="663" w:type="dxa"/>
            <w:noWrap/>
            <w:hideMark/>
          </w:tcPr>
          <w:p w14:paraId="1D2B9A6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0.37</w:t>
            </w:r>
          </w:p>
        </w:tc>
        <w:tc>
          <w:tcPr>
            <w:tcW w:w="663" w:type="dxa"/>
            <w:noWrap/>
            <w:hideMark/>
          </w:tcPr>
          <w:p w14:paraId="2CD04CF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0.51</w:t>
            </w:r>
          </w:p>
        </w:tc>
        <w:tc>
          <w:tcPr>
            <w:tcW w:w="663" w:type="dxa"/>
            <w:noWrap/>
            <w:hideMark/>
          </w:tcPr>
          <w:p w14:paraId="4E25AC3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0.50</w:t>
            </w:r>
          </w:p>
        </w:tc>
        <w:tc>
          <w:tcPr>
            <w:tcW w:w="663" w:type="dxa"/>
            <w:noWrap/>
            <w:hideMark/>
          </w:tcPr>
          <w:p w14:paraId="164CD04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0.40</w:t>
            </w:r>
          </w:p>
        </w:tc>
        <w:tc>
          <w:tcPr>
            <w:tcW w:w="663" w:type="dxa"/>
            <w:noWrap/>
            <w:hideMark/>
          </w:tcPr>
          <w:p w14:paraId="1BDF689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0.31</w:t>
            </w:r>
          </w:p>
        </w:tc>
        <w:tc>
          <w:tcPr>
            <w:tcW w:w="663" w:type="dxa"/>
            <w:noWrap/>
            <w:hideMark/>
          </w:tcPr>
          <w:p w14:paraId="64BC748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0.15</w:t>
            </w:r>
          </w:p>
        </w:tc>
      </w:tr>
      <w:tr w:rsidR="00260939" w:rsidRPr="00260939" w14:paraId="7AF3F8DA"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C9965ED"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Public Service Company of Colorado</w:t>
            </w:r>
          </w:p>
        </w:tc>
        <w:tc>
          <w:tcPr>
            <w:tcW w:w="489" w:type="dxa"/>
            <w:noWrap/>
            <w:hideMark/>
          </w:tcPr>
          <w:p w14:paraId="43E7EFE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0.26</w:t>
            </w:r>
          </w:p>
        </w:tc>
        <w:tc>
          <w:tcPr>
            <w:tcW w:w="663" w:type="dxa"/>
            <w:noWrap/>
            <w:hideMark/>
          </w:tcPr>
          <w:p w14:paraId="33EBD46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0.04</w:t>
            </w:r>
          </w:p>
        </w:tc>
        <w:tc>
          <w:tcPr>
            <w:tcW w:w="663" w:type="dxa"/>
            <w:noWrap/>
            <w:hideMark/>
          </w:tcPr>
          <w:p w14:paraId="7940389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0.02</w:t>
            </w:r>
          </w:p>
        </w:tc>
        <w:tc>
          <w:tcPr>
            <w:tcW w:w="663" w:type="dxa"/>
            <w:noWrap/>
            <w:hideMark/>
          </w:tcPr>
          <w:p w14:paraId="2FC7525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0.06</w:t>
            </w:r>
          </w:p>
        </w:tc>
        <w:tc>
          <w:tcPr>
            <w:tcW w:w="663" w:type="dxa"/>
            <w:noWrap/>
            <w:hideMark/>
          </w:tcPr>
          <w:p w14:paraId="0CAEC60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0.14</w:t>
            </w:r>
          </w:p>
        </w:tc>
        <w:tc>
          <w:tcPr>
            <w:tcW w:w="663" w:type="dxa"/>
            <w:noWrap/>
            <w:hideMark/>
          </w:tcPr>
          <w:p w14:paraId="27EF95A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0.25</w:t>
            </w:r>
          </w:p>
        </w:tc>
        <w:tc>
          <w:tcPr>
            <w:tcW w:w="663" w:type="dxa"/>
            <w:noWrap/>
            <w:hideMark/>
          </w:tcPr>
          <w:p w14:paraId="2D4D918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0.38</w:t>
            </w:r>
          </w:p>
        </w:tc>
        <w:tc>
          <w:tcPr>
            <w:tcW w:w="663" w:type="dxa"/>
            <w:noWrap/>
            <w:hideMark/>
          </w:tcPr>
          <w:p w14:paraId="13D4715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0.53</w:t>
            </w:r>
          </w:p>
        </w:tc>
        <w:tc>
          <w:tcPr>
            <w:tcW w:w="663" w:type="dxa"/>
            <w:noWrap/>
            <w:hideMark/>
          </w:tcPr>
          <w:p w14:paraId="580CB7C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0.52</w:t>
            </w:r>
          </w:p>
        </w:tc>
      </w:tr>
      <w:tr w:rsidR="00260939" w:rsidRPr="00260939" w14:paraId="2FCF8163"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7C9ECB09"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Seattle City Light</w:t>
            </w:r>
          </w:p>
        </w:tc>
        <w:tc>
          <w:tcPr>
            <w:tcW w:w="489" w:type="dxa"/>
            <w:noWrap/>
            <w:hideMark/>
          </w:tcPr>
          <w:p w14:paraId="72E0249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0.22</w:t>
            </w:r>
          </w:p>
        </w:tc>
        <w:tc>
          <w:tcPr>
            <w:tcW w:w="663" w:type="dxa"/>
            <w:noWrap/>
            <w:hideMark/>
          </w:tcPr>
          <w:p w14:paraId="1BE956C1"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0.27</w:t>
            </w:r>
          </w:p>
        </w:tc>
        <w:tc>
          <w:tcPr>
            <w:tcW w:w="663" w:type="dxa"/>
            <w:noWrap/>
            <w:hideMark/>
          </w:tcPr>
          <w:p w14:paraId="61B1FB1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0.13</w:t>
            </w:r>
          </w:p>
        </w:tc>
        <w:tc>
          <w:tcPr>
            <w:tcW w:w="663" w:type="dxa"/>
            <w:noWrap/>
            <w:hideMark/>
          </w:tcPr>
          <w:p w14:paraId="03FB489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0.25</w:t>
            </w:r>
          </w:p>
        </w:tc>
        <w:tc>
          <w:tcPr>
            <w:tcW w:w="663" w:type="dxa"/>
            <w:noWrap/>
            <w:hideMark/>
          </w:tcPr>
          <w:p w14:paraId="5A1BFC5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0.21</w:t>
            </w:r>
          </w:p>
        </w:tc>
        <w:tc>
          <w:tcPr>
            <w:tcW w:w="663" w:type="dxa"/>
            <w:noWrap/>
            <w:hideMark/>
          </w:tcPr>
          <w:p w14:paraId="7EACF77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0.26</w:t>
            </w:r>
          </w:p>
        </w:tc>
        <w:tc>
          <w:tcPr>
            <w:tcW w:w="663" w:type="dxa"/>
            <w:noWrap/>
            <w:hideMark/>
          </w:tcPr>
          <w:p w14:paraId="4C9D6F5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0.33</w:t>
            </w:r>
          </w:p>
        </w:tc>
        <w:tc>
          <w:tcPr>
            <w:tcW w:w="663" w:type="dxa"/>
            <w:noWrap/>
            <w:hideMark/>
          </w:tcPr>
          <w:p w14:paraId="4EC5F70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0.09</w:t>
            </w:r>
          </w:p>
        </w:tc>
        <w:tc>
          <w:tcPr>
            <w:tcW w:w="663" w:type="dxa"/>
            <w:noWrap/>
            <w:hideMark/>
          </w:tcPr>
          <w:p w14:paraId="1BA1F8B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0.16</w:t>
            </w:r>
          </w:p>
        </w:tc>
      </w:tr>
      <w:tr w:rsidR="00260939" w:rsidRPr="00260939" w14:paraId="5CA013AF"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46A384F0"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Electric Reliability Council of Texas, Inc.</w:t>
            </w:r>
          </w:p>
        </w:tc>
        <w:tc>
          <w:tcPr>
            <w:tcW w:w="489" w:type="dxa"/>
            <w:noWrap/>
            <w:hideMark/>
          </w:tcPr>
          <w:p w14:paraId="0A2FBA1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0.20</w:t>
            </w:r>
          </w:p>
        </w:tc>
        <w:tc>
          <w:tcPr>
            <w:tcW w:w="663" w:type="dxa"/>
            <w:noWrap/>
            <w:hideMark/>
          </w:tcPr>
          <w:p w14:paraId="6402C21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0.05</w:t>
            </w:r>
          </w:p>
        </w:tc>
        <w:tc>
          <w:tcPr>
            <w:tcW w:w="663" w:type="dxa"/>
            <w:noWrap/>
            <w:hideMark/>
          </w:tcPr>
          <w:p w14:paraId="58DD065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0.06</w:t>
            </w:r>
          </w:p>
        </w:tc>
        <w:tc>
          <w:tcPr>
            <w:tcW w:w="663" w:type="dxa"/>
            <w:noWrap/>
            <w:hideMark/>
          </w:tcPr>
          <w:p w14:paraId="3248CF2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0.09</w:t>
            </w:r>
          </w:p>
        </w:tc>
        <w:tc>
          <w:tcPr>
            <w:tcW w:w="663" w:type="dxa"/>
            <w:noWrap/>
            <w:hideMark/>
          </w:tcPr>
          <w:p w14:paraId="2E3F268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0.15</w:t>
            </w:r>
          </w:p>
        </w:tc>
        <w:tc>
          <w:tcPr>
            <w:tcW w:w="663" w:type="dxa"/>
            <w:noWrap/>
            <w:hideMark/>
          </w:tcPr>
          <w:p w14:paraId="47B6582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0.32</w:t>
            </w:r>
          </w:p>
        </w:tc>
        <w:tc>
          <w:tcPr>
            <w:tcW w:w="663" w:type="dxa"/>
            <w:noWrap/>
            <w:hideMark/>
          </w:tcPr>
          <w:p w14:paraId="39605F6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0.26</w:t>
            </w:r>
          </w:p>
        </w:tc>
        <w:tc>
          <w:tcPr>
            <w:tcW w:w="663" w:type="dxa"/>
            <w:noWrap/>
            <w:hideMark/>
          </w:tcPr>
          <w:p w14:paraId="4137E13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0.23</w:t>
            </w:r>
          </w:p>
        </w:tc>
        <w:tc>
          <w:tcPr>
            <w:tcW w:w="663" w:type="dxa"/>
            <w:noWrap/>
            <w:hideMark/>
          </w:tcPr>
          <w:p w14:paraId="17C7875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0.16</w:t>
            </w:r>
          </w:p>
        </w:tc>
      </w:tr>
      <w:tr w:rsidR="00260939" w:rsidRPr="00260939" w14:paraId="474136E2"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041FFCD1"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Portland General Electric Company</w:t>
            </w:r>
          </w:p>
        </w:tc>
        <w:tc>
          <w:tcPr>
            <w:tcW w:w="489" w:type="dxa"/>
            <w:noWrap/>
            <w:hideMark/>
          </w:tcPr>
          <w:p w14:paraId="5A32820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0.18</w:t>
            </w:r>
          </w:p>
        </w:tc>
        <w:tc>
          <w:tcPr>
            <w:tcW w:w="663" w:type="dxa"/>
            <w:noWrap/>
            <w:hideMark/>
          </w:tcPr>
          <w:p w14:paraId="5EB3A89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0.30</w:t>
            </w:r>
          </w:p>
        </w:tc>
        <w:tc>
          <w:tcPr>
            <w:tcW w:w="663" w:type="dxa"/>
            <w:noWrap/>
            <w:hideMark/>
          </w:tcPr>
          <w:p w14:paraId="2D57F62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0.28</w:t>
            </w:r>
          </w:p>
        </w:tc>
        <w:tc>
          <w:tcPr>
            <w:tcW w:w="663" w:type="dxa"/>
            <w:noWrap/>
            <w:hideMark/>
          </w:tcPr>
          <w:p w14:paraId="228B510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0.31</w:t>
            </w:r>
          </w:p>
        </w:tc>
        <w:tc>
          <w:tcPr>
            <w:tcW w:w="663" w:type="dxa"/>
            <w:noWrap/>
            <w:hideMark/>
          </w:tcPr>
          <w:p w14:paraId="55B0FE2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0.19</w:t>
            </w:r>
          </w:p>
        </w:tc>
        <w:tc>
          <w:tcPr>
            <w:tcW w:w="663" w:type="dxa"/>
            <w:noWrap/>
            <w:hideMark/>
          </w:tcPr>
          <w:p w14:paraId="0212A18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0.08</w:t>
            </w:r>
          </w:p>
        </w:tc>
        <w:tc>
          <w:tcPr>
            <w:tcW w:w="663" w:type="dxa"/>
            <w:noWrap/>
            <w:hideMark/>
          </w:tcPr>
          <w:p w14:paraId="1FCC0BA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0.09</w:t>
            </w:r>
          </w:p>
        </w:tc>
        <w:tc>
          <w:tcPr>
            <w:tcW w:w="663" w:type="dxa"/>
            <w:noWrap/>
            <w:hideMark/>
          </w:tcPr>
          <w:p w14:paraId="71E76A9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0.06</w:t>
            </w:r>
          </w:p>
        </w:tc>
        <w:tc>
          <w:tcPr>
            <w:tcW w:w="663" w:type="dxa"/>
            <w:noWrap/>
            <w:hideMark/>
          </w:tcPr>
          <w:p w14:paraId="55F230A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r>
      <w:tr w:rsidR="00260939" w:rsidRPr="00260939" w14:paraId="4640D9A2"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2BE34921"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JEA</w:t>
            </w:r>
          </w:p>
        </w:tc>
        <w:tc>
          <w:tcPr>
            <w:tcW w:w="489" w:type="dxa"/>
            <w:noWrap/>
            <w:hideMark/>
          </w:tcPr>
          <w:p w14:paraId="4979465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0.12</w:t>
            </w:r>
          </w:p>
        </w:tc>
        <w:tc>
          <w:tcPr>
            <w:tcW w:w="663" w:type="dxa"/>
            <w:noWrap/>
            <w:hideMark/>
          </w:tcPr>
          <w:p w14:paraId="4C8C38C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0.04</w:t>
            </w:r>
          </w:p>
        </w:tc>
        <w:tc>
          <w:tcPr>
            <w:tcW w:w="663" w:type="dxa"/>
            <w:noWrap/>
            <w:hideMark/>
          </w:tcPr>
          <w:p w14:paraId="3A6B9EA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0.06</w:t>
            </w:r>
          </w:p>
        </w:tc>
        <w:tc>
          <w:tcPr>
            <w:tcW w:w="663" w:type="dxa"/>
            <w:noWrap/>
            <w:hideMark/>
          </w:tcPr>
          <w:p w14:paraId="4DB1935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0.04</w:t>
            </w:r>
          </w:p>
        </w:tc>
        <w:tc>
          <w:tcPr>
            <w:tcW w:w="663" w:type="dxa"/>
            <w:noWrap/>
            <w:hideMark/>
          </w:tcPr>
          <w:p w14:paraId="306ED01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0.06</w:t>
            </w:r>
          </w:p>
        </w:tc>
        <w:tc>
          <w:tcPr>
            <w:tcW w:w="663" w:type="dxa"/>
            <w:noWrap/>
            <w:hideMark/>
          </w:tcPr>
          <w:p w14:paraId="2632E25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0.05</w:t>
            </w:r>
          </w:p>
        </w:tc>
        <w:tc>
          <w:tcPr>
            <w:tcW w:w="663" w:type="dxa"/>
            <w:noWrap/>
            <w:hideMark/>
          </w:tcPr>
          <w:p w14:paraId="0923175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0.18</w:t>
            </w:r>
          </w:p>
        </w:tc>
        <w:tc>
          <w:tcPr>
            <w:tcW w:w="663" w:type="dxa"/>
            <w:noWrap/>
            <w:hideMark/>
          </w:tcPr>
          <w:p w14:paraId="2242A99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0.19</w:t>
            </w:r>
          </w:p>
        </w:tc>
        <w:tc>
          <w:tcPr>
            <w:tcW w:w="663" w:type="dxa"/>
            <w:noWrap/>
            <w:hideMark/>
          </w:tcPr>
          <w:p w14:paraId="726FCE0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0.18</w:t>
            </w:r>
          </w:p>
        </w:tc>
      </w:tr>
      <w:tr w:rsidR="00260939" w:rsidRPr="00260939" w14:paraId="0A74994B"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40EA0114"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City of Tacoma, Department of Public Utilities, Light Division</w:t>
            </w:r>
          </w:p>
        </w:tc>
        <w:tc>
          <w:tcPr>
            <w:tcW w:w="489" w:type="dxa"/>
            <w:noWrap/>
            <w:hideMark/>
          </w:tcPr>
          <w:p w14:paraId="6C38455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0.01</w:t>
            </w:r>
          </w:p>
        </w:tc>
        <w:tc>
          <w:tcPr>
            <w:tcW w:w="663" w:type="dxa"/>
            <w:noWrap/>
            <w:hideMark/>
          </w:tcPr>
          <w:p w14:paraId="45C8013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c>
          <w:tcPr>
            <w:tcW w:w="663" w:type="dxa"/>
            <w:noWrap/>
            <w:hideMark/>
          </w:tcPr>
          <w:p w14:paraId="24E3EEF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c>
          <w:tcPr>
            <w:tcW w:w="663" w:type="dxa"/>
            <w:noWrap/>
            <w:hideMark/>
          </w:tcPr>
          <w:p w14:paraId="5752DB2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0.02</w:t>
            </w:r>
          </w:p>
        </w:tc>
        <w:tc>
          <w:tcPr>
            <w:tcW w:w="663" w:type="dxa"/>
            <w:noWrap/>
            <w:hideMark/>
          </w:tcPr>
          <w:p w14:paraId="20AE898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c>
          <w:tcPr>
            <w:tcW w:w="663" w:type="dxa"/>
            <w:noWrap/>
            <w:hideMark/>
          </w:tcPr>
          <w:p w14:paraId="62DF3E3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0.03</w:t>
            </w:r>
          </w:p>
        </w:tc>
        <w:tc>
          <w:tcPr>
            <w:tcW w:w="663" w:type="dxa"/>
            <w:noWrap/>
            <w:hideMark/>
          </w:tcPr>
          <w:p w14:paraId="2962779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c>
          <w:tcPr>
            <w:tcW w:w="663" w:type="dxa"/>
            <w:noWrap/>
            <w:hideMark/>
          </w:tcPr>
          <w:p w14:paraId="419354E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0.02</w:t>
            </w:r>
          </w:p>
        </w:tc>
        <w:tc>
          <w:tcPr>
            <w:tcW w:w="663" w:type="dxa"/>
            <w:noWrap/>
            <w:hideMark/>
          </w:tcPr>
          <w:p w14:paraId="4C2D8C8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r>
    </w:tbl>
    <w:p w14:paraId="48F27B00" w14:textId="6B05CFD5" w:rsidR="00260939" w:rsidRDefault="00260939" w:rsidP="00F9434B"/>
    <w:p w14:paraId="5903106B" w14:textId="77777777" w:rsidR="00260939" w:rsidRDefault="00260939">
      <w:r>
        <w:br w:type="page"/>
      </w:r>
    </w:p>
    <w:p w14:paraId="4E15A54C" w14:textId="3EFE9A73" w:rsidR="00840B1A" w:rsidRDefault="00840B1A" w:rsidP="00840B1A">
      <w:pPr>
        <w:pStyle w:val="Caption"/>
        <w:keepNext/>
      </w:pPr>
      <w:bookmarkStart w:id="9" w:name="_Ref179611009"/>
      <w:r>
        <w:lastRenderedPageBreak/>
        <w:t xml:space="preserve">Table </w:t>
      </w:r>
      <w:fldSimple w:instr=" SEQ Table \* ARABIC ">
        <w:r w:rsidR="00630ADB">
          <w:rPr>
            <w:noProof/>
          </w:rPr>
          <w:t>3</w:t>
        </w:r>
      </w:fldSimple>
      <w:bookmarkEnd w:id="9"/>
      <w:r>
        <w:t xml:space="preserve"> </w:t>
      </w:r>
      <w:r w:rsidR="00C32C83">
        <w:t>Import reliance-diversity metric for U.S. BAs</w:t>
      </w:r>
      <w:r w:rsidR="00E41D5D">
        <w:t>.</w:t>
      </w:r>
    </w:p>
    <w:tbl>
      <w:tblPr>
        <w:tblStyle w:val="GridTable4-Accent5"/>
        <w:tblW w:w="12268" w:type="dxa"/>
        <w:tblLook w:val="04A0" w:firstRow="1" w:lastRow="0" w:firstColumn="1" w:lastColumn="0" w:noHBand="0" w:noVBand="1"/>
      </w:tblPr>
      <w:tblGrid>
        <w:gridCol w:w="6295"/>
        <w:gridCol w:w="669"/>
        <w:gridCol w:w="663"/>
        <w:gridCol w:w="663"/>
        <w:gridCol w:w="663"/>
        <w:gridCol w:w="663"/>
        <w:gridCol w:w="663"/>
        <w:gridCol w:w="663"/>
        <w:gridCol w:w="663"/>
        <w:gridCol w:w="663"/>
      </w:tblGrid>
      <w:tr w:rsidR="00840B1A" w:rsidRPr="00840B1A" w14:paraId="0A85988E" w14:textId="77777777" w:rsidTr="00F5744F">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A07C9CC" w14:textId="77777777" w:rsidR="00840B1A" w:rsidRPr="00840B1A" w:rsidRDefault="00840B1A" w:rsidP="00840B1A">
            <w:pPr>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Name</w:t>
            </w:r>
          </w:p>
        </w:tc>
        <w:tc>
          <w:tcPr>
            <w:tcW w:w="669" w:type="dxa"/>
            <w:noWrap/>
            <w:hideMark/>
          </w:tcPr>
          <w:p w14:paraId="67D55812"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Total</w:t>
            </w:r>
          </w:p>
        </w:tc>
        <w:tc>
          <w:tcPr>
            <w:tcW w:w="663" w:type="dxa"/>
            <w:noWrap/>
            <w:hideMark/>
          </w:tcPr>
          <w:p w14:paraId="7EA096E2"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2016</w:t>
            </w:r>
          </w:p>
        </w:tc>
        <w:tc>
          <w:tcPr>
            <w:tcW w:w="663" w:type="dxa"/>
            <w:noWrap/>
            <w:hideMark/>
          </w:tcPr>
          <w:p w14:paraId="71C94EF7"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2017</w:t>
            </w:r>
          </w:p>
        </w:tc>
        <w:tc>
          <w:tcPr>
            <w:tcW w:w="663" w:type="dxa"/>
            <w:noWrap/>
            <w:hideMark/>
          </w:tcPr>
          <w:p w14:paraId="52E7451A"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2018</w:t>
            </w:r>
          </w:p>
        </w:tc>
        <w:tc>
          <w:tcPr>
            <w:tcW w:w="663" w:type="dxa"/>
            <w:noWrap/>
            <w:hideMark/>
          </w:tcPr>
          <w:p w14:paraId="0D52DB87"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2019</w:t>
            </w:r>
          </w:p>
        </w:tc>
        <w:tc>
          <w:tcPr>
            <w:tcW w:w="663" w:type="dxa"/>
            <w:noWrap/>
            <w:hideMark/>
          </w:tcPr>
          <w:p w14:paraId="3EBC7ECB"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2020</w:t>
            </w:r>
          </w:p>
        </w:tc>
        <w:tc>
          <w:tcPr>
            <w:tcW w:w="663" w:type="dxa"/>
            <w:noWrap/>
            <w:hideMark/>
          </w:tcPr>
          <w:p w14:paraId="605906CA"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2021</w:t>
            </w:r>
          </w:p>
        </w:tc>
        <w:tc>
          <w:tcPr>
            <w:tcW w:w="663" w:type="dxa"/>
            <w:noWrap/>
            <w:hideMark/>
          </w:tcPr>
          <w:p w14:paraId="52665371"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2022</w:t>
            </w:r>
          </w:p>
        </w:tc>
        <w:tc>
          <w:tcPr>
            <w:tcW w:w="663" w:type="dxa"/>
            <w:noWrap/>
            <w:hideMark/>
          </w:tcPr>
          <w:p w14:paraId="3A9BEAA5"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2023</w:t>
            </w:r>
          </w:p>
        </w:tc>
      </w:tr>
      <w:tr w:rsidR="00840B1A" w:rsidRPr="00840B1A" w14:paraId="56A0D1FF"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23A468B"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California Independent System Operator</w:t>
            </w:r>
          </w:p>
        </w:tc>
        <w:tc>
          <w:tcPr>
            <w:tcW w:w="669" w:type="dxa"/>
            <w:noWrap/>
            <w:hideMark/>
          </w:tcPr>
          <w:p w14:paraId="50B11CD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0.45</w:t>
            </w:r>
          </w:p>
        </w:tc>
        <w:tc>
          <w:tcPr>
            <w:tcW w:w="663" w:type="dxa"/>
            <w:noWrap/>
            <w:hideMark/>
          </w:tcPr>
          <w:p w14:paraId="35AD000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0.48</w:t>
            </w:r>
          </w:p>
        </w:tc>
        <w:tc>
          <w:tcPr>
            <w:tcW w:w="663" w:type="dxa"/>
            <w:noWrap/>
            <w:hideMark/>
          </w:tcPr>
          <w:p w14:paraId="48E62FA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0.45</w:t>
            </w:r>
          </w:p>
        </w:tc>
        <w:tc>
          <w:tcPr>
            <w:tcW w:w="663" w:type="dxa"/>
            <w:noWrap/>
            <w:hideMark/>
          </w:tcPr>
          <w:p w14:paraId="41BE2AB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0.47</w:t>
            </w:r>
          </w:p>
        </w:tc>
        <w:tc>
          <w:tcPr>
            <w:tcW w:w="663" w:type="dxa"/>
            <w:noWrap/>
            <w:hideMark/>
          </w:tcPr>
          <w:p w14:paraId="3778EE7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0.43</w:t>
            </w:r>
          </w:p>
        </w:tc>
        <w:tc>
          <w:tcPr>
            <w:tcW w:w="663" w:type="dxa"/>
            <w:noWrap/>
            <w:hideMark/>
          </w:tcPr>
          <w:p w14:paraId="35622CF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0.49</w:t>
            </w:r>
          </w:p>
        </w:tc>
        <w:tc>
          <w:tcPr>
            <w:tcW w:w="663" w:type="dxa"/>
            <w:noWrap/>
            <w:hideMark/>
          </w:tcPr>
          <w:p w14:paraId="1263EDB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0.48</w:t>
            </w:r>
          </w:p>
        </w:tc>
        <w:tc>
          <w:tcPr>
            <w:tcW w:w="663" w:type="dxa"/>
            <w:noWrap/>
            <w:hideMark/>
          </w:tcPr>
          <w:p w14:paraId="1EA3C4E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0.42</w:t>
            </w:r>
          </w:p>
        </w:tc>
        <w:tc>
          <w:tcPr>
            <w:tcW w:w="663" w:type="dxa"/>
            <w:noWrap/>
            <w:hideMark/>
          </w:tcPr>
          <w:p w14:paraId="0BC66F1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0.27</w:t>
            </w:r>
          </w:p>
        </w:tc>
      </w:tr>
      <w:tr w:rsidR="00840B1A" w:rsidRPr="00840B1A" w14:paraId="6B0C0243"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72A4FB26"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Tucson Electric Power</w:t>
            </w:r>
          </w:p>
        </w:tc>
        <w:tc>
          <w:tcPr>
            <w:tcW w:w="669" w:type="dxa"/>
            <w:noWrap/>
            <w:hideMark/>
          </w:tcPr>
          <w:p w14:paraId="3E43E70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0.44</w:t>
            </w:r>
          </w:p>
        </w:tc>
        <w:tc>
          <w:tcPr>
            <w:tcW w:w="663" w:type="dxa"/>
            <w:noWrap/>
            <w:hideMark/>
          </w:tcPr>
          <w:p w14:paraId="4E01D12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0.51</w:t>
            </w:r>
          </w:p>
        </w:tc>
        <w:tc>
          <w:tcPr>
            <w:tcW w:w="663" w:type="dxa"/>
            <w:noWrap/>
            <w:hideMark/>
          </w:tcPr>
          <w:p w14:paraId="36C0A89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0.53</w:t>
            </w:r>
          </w:p>
        </w:tc>
        <w:tc>
          <w:tcPr>
            <w:tcW w:w="663" w:type="dxa"/>
            <w:noWrap/>
            <w:hideMark/>
          </w:tcPr>
          <w:p w14:paraId="180FAAC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0.32</w:t>
            </w:r>
          </w:p>
        </w:tc>
        <w:tc>
          <w:tcPr>
            <w:tcW w:w="663" w:type="dxa"/>
            <w:noWrap/>
            <w:hideMark/>
          </w:tcPr>
          <w:p w14:paraId="2C166D0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0.42</w:t>
            </w:r>
          </w:p>
        </w:tc>
        <w:tc>
          <w:tcPr>
            <w:tcW w:w="663" w:type="dxa"/>
            <w:noWrap/>
            <w:hideMark/>
          </w:tcPr>
          <w:p w14:paraId="73627BB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0.47</w:t>
            </w:r>
          </w:p>
        </w:tc>
        <w:tc>
          <w:tcPr>
            <w:tcW w:w="663" w:type="dxa"/>
            <w:noWrap/>
            <w:hideMark/>
          </w:tcPr>
          <w:p w14:paraId="2431F0B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0.41</w:t>
            </w:r>
          </w:p>
        </w:tc>
        <w:tc>
          <w:tcPr>
            <w:tcW w:w="663" w:type="dxa"/>
            <w:noWrap/>
            <w:hideMark/>
          </w:tcPr>
          <w:p w14:paraId="2AEC0AB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0.44</w:t>
            </w:r>
          </w:p>
        </w:tc>
        <w:tc>
          <w:tcPr>
            <w:tcW w:w="663" w:type="dxa"/>
            <w:noWrap/>
            <w:hideMark/>
          </w:tcPr>
          <w:p w14:paraId="3C64332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0.35</w:t>
            </w:r>
          </w:p>
        </w:tc>
      </w:tr>
      <w:tr w:rsidR="00840B1A" w:rsidRPr="00840B1A" w14:paraId="542A32B6"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6BFB807"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PacifiCorp West</w:t>
            </w:r>
          </w:p>
        </w:tc>
        <w:tc>
          <w:tcPr>
            <w:tcW w:w="669" w:type="dxa"/>
            <w:noWrap/>
            <w:hideMark/>
          </w:tcPr>
          <w:p w14:paraId="4403CFC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0.44</w:t>
            </w:r>
          </w:p>
        </w:tc>
        <w:tc>
          <w:tcPr>
            <w:tcW w:w="663" w:type="dxa"/>
            <w:noWrap/>
            <w:hideMark/>
          </w:tcPr>
          <w:p w14:paraId="6146694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0.12</w:t>
            </w:r>
          </w:p>
        </w:tc>
        <w:tc>
          <w:tcPr>
            <w:tcW w:w="663" w:type="dxa"/>
            <w:noWrap/>
            <w:hideMark/>
          </w:tcPr>
          <w:p w14:paraId="6541587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0.13</w:t>
            </w:r>
          </w:p>
        </w:tc>
        <w:tc>
          <w:tcPr>
            <w:tcW w:w="663" w:type="dxa"/>
            <w:noWrap/>
            <w:hideMark/>
          </w:tcPr>
          <w:p w14:paraId="16EB328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0.19</w:t>
            </w:r>
          </w:p>
        </w:tc>
        <w:tc>
          <w:tcPr>
            <w:tcW w:w="663" w:type="dxa"/>
            <w:noWrap/>
            <w:hideMark/>
          </w:tcPr>
          <w:p w14:paraId="57FF585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0.42</w:t>
            </w:r>
          </w:p>
        </w:tc>
        <w:tc>
          <w:tcPr>
            <w:tcW w:w="663" w:type="dxa"/>
            <w:noWrap/>
            <w:hideMark/>
          </w:tcPr>
          <w:p w14:paraId="79EBD00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0.46</w:t>
            </w:r>
          </w:p>
        </w:tc>
        <w:tc>
          <w:tcPr>
            <w:tcW w:w="663" w:type="dxa"/>
            <w:noWrap/>
            <w:hideMark/>
          </w:tcPr>
          <w:p w14:paraId="669863A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0.47</w:t>
            </w:r>
          </w:p>
        </w:tc>
        <w:tc>
          <w:tcPr>
            <w:tcW w:w="663" w:type="dxa"/>
            <w:noWrap/>
            <w:hideMark/>
          </w:tcPr>
          <w:p w14:paraId="7F33BFA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0.77</w:t>
            </w:r>
          </w:p>
        </w:tc>
        <w:tc>
          <w:tcPr>
            <w:tcW w:w="663" w:type="dxa"/>
            <w:noWrap/>
            <w:hideMark/>
          </w:tcPr>
          <w:p w14:paraId="7F4D510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1.00</w:t>
            </w:r>
          </w:p>
        </w:tc>
      </w:tr>
      <w:tr w:rsidR="00840B1A" w:rsidRPr="00840B1A" w14:paraId="20F448BC"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71E860BB"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Duke Energy Progress West</w:t>
            </w:r>
          </w:p>
        </w:tc>
        <w:tc>
          <w:tcPr>
            <w:tcW w:w="669" w:type="dxa"/>
            <w:noWrap/>
            <w:hideMark/>
          </w:tcPr>
          <w:p w14:paraId="7AD3E65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0.38</w:t>
            </w:r>
          </w:p>
        </w:tc>
        <w:tc>
          <w:tcPr>
            <w:tcW w:w="663" w:type="dxa"/>
            <w:noWrap/>
            <w:hideMark/>
          </w:tcPr>
          <w:p w14:paraId="2E393E2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0.61</w:t>
            </w:r>
          </w:p>
        </w:tc>
        <w:tc>
          <w:tcPr>
            <w:tcW w:w="663" w:type="dxa"/>
            <w:noWrap/>
            <w:hideMark/>
          </w:tcPr>
          <w:p w14:paraId="651212D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0.63</w:t>
            </w:r>
          </w:p>
        </w:tc>
        <w:tc>
          <w:tcPr>
            <w:tcW w:w="663" w:type="dxa"/>
            <w:noWrap/>
            <w:hideMark/>
          </w:tcPr>
          <w:p w14:paraId="0169B68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0.53</w:t>
            </w:r>
          </w:p>
        </w:tc>
        <w:tc>
          <w:tcPr>
            <w:tcW w:w="663" w:type="dxa"/>
            <w:noWrap/>
            <w:hideMark/>
          </w:tcPr>
          <w:p w14:paraId="4F8CD6A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0.44</w:t>
            </w:r>
          </w:p>
        </w:tc>
        <w:tc>
          <w:tcPr>
            <w:tcW w:w="663" w:type="dxa"/>
            <w:noWrap/>
            <w:hideMark/>
          </w:tcPr>
          <w:p w14:paraId="69147F1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0.17</w:t>
            </w:r>
          </w:p>
        </w:tc>
        <w:tc>
          <w:tcPr>
            <w:tcW w:w="663" w:type="dxa"/>
            <w:noWrap/>
            <w:hideMark/>
          </w:tcPr>
          <w:p w14:paraId="525B9AC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0.17</w:t>
            </w:r>
          </w:p>
        </w:tc>
        <w:tc>
          <w:tcPr>
            <w:tcW w:w="663" w:type="dxa"/>
            <w:noWrap/>
            <w:hideMark/>
          </w:tcPr>
          <w:p w14:paraId="1F4D717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79071D1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0.13</w:t>
            </w:r>
          </w:p>
        </w:tc>
      </w:tr>
      <w:tr w:rsidR="00840B1A" w:rsidRPr="00840B1A" w14:paraId="57704AB5"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5697297D"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Duke Energy Florida, Inc.</w:t>
            </w:r>
          </w:p>
        </w:tc>
        <w:tc>
          <w:tcPr>
            <w:tcW w:w="669" w:type="dxa"/>
            <w:noWrap/>
            <w:hideMark/>
          </w:tcPr>
          <w:p w14:paraId="001F8E6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0.37</w:t>
            </w:r>
          </w:p>
        </w:tc>
        <w:tc>
          <w:tcPr>
            <w:tcW w:w="663" w:type="dxa"/>
            <w:noWrap/>
            <w:hideMark/>
          </w:tcPr>
          <w:p w14:paraId="55A6F82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0.41</w:t>
            </w:r>
          </w:p>
        </w:tc>
        <w:tc>
          <w:tcPr>
            <w:tcW w:w="663" w:type="dxa"/>
            <w:noWrap/>
            <w:hideMark/>
          </w:tcPr>
          <w:p w14:paraId="018A0DB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0.41</w:t>
            </w:r>
          </w:p>
        </w:tc>
        <w:tc>
          <w:tcPr>
            <w:tcW w:w="663" w:type="dxa"/>
            <w:noWrap/>
            <w:hideMark/>
          </w:tcPr>
          <w:p w14:paraId="283CF3C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0.44</w:t>
            </w:r>
          </w:p>
        </w:tc>
        <w:tc>
          <w:tcPr>
            <w:tcW w:w="663" w:type="dxa"/>
            <w:noWrap/>
            <w:hideMark/>
          </w:tcPr>
          <w:p w14:paraId="4561126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0.40</w:t>
            </w:r>
          </w:p>
        </w:tc>
        <w:tc>
          <w:tcPr>
            <w:tcW w:w="663" w:type="dxa"/>
            <w:noWrap/>
            <w:hideMark/>
          </w:tcPr>
          <w:p w14:paraId="380AE69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0.38</w:t>
            </w:r>
          </w:p>
        </w:tc>
        <w:tc>
          <w:tcPr>
            <w:tcW w:w="663" w:type="dxa"/>
            <w:noWrap/>
            <w:hideMark/>
          </w:tcPr>
          <w:p w14:paraId="153D452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0.35</w:t>
            </w:r>
          </w:p>
        </w:tc>
        <w:tc>
          <w:tcPr>
            <w:tcW w:w="663" w:type="dxa"/>
            <w:noWrap/>
            <w:hideMark/>
          </w:tcPr>
          <w:p w14:paraId="6A931DF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0.28</w:t>
            </w:r>
          </w:p>
        </w:tc>
        <w:tc>
          <w:tcPr>
            <w:tcW w:w="663" w:type="dxa"/>
            <w:noWrap/>
            <w:hideMark/>
          </w:tcPr>
          <w:p w14:paraId="28F1986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0.33</w:t>
            </w:r>
          </w:p>
        </w:tc>
      </w:tr>
      <w:tr w:rsidR="00840B1A" w:rsidRPr="00840B1A" w14:paraId="785952AD"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9EEF0CD"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South Carolina Public Service Authority</w:t>
            </w:r>
          </w:p>
        </w:tc>
        <w:tc>
          <w:tcPr>
            <w:tcW w:w="669" w:type="dxa"/>
            <w:noWrap/>
            <w:hideMark/>
          </w:tcPr>
          <w:p w14:paraId="2E98A34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0.37</w:t>
            </w:r>
          </w:p>
        </w:tc>
        <w:tc>
          <w:tcPr>
            <w:tcW w:w="663" w:type="dxa"/>
            <w:noWrap/>
            <w:hideMark/>
          </w:tcPr>
          <w:p w14:paraId="30BD3E4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0.32</w:t>
            </w:r>
          </w:p>
        </w:tc>
        <w:tc>
          <w:tcPr>
            <w:tcW w:w="663" w:type="dxa"/>
            <w:noWrap/>
            <w:hideMark/>
          </w:tcPr>
          <w:p w14:paraId="670AEEF3"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0.38</w:t>
            </w:r>
          </w:p>
        </w:tc>
        <w:tc>
          <w:tcPr>
            <w:tcW w:w="663" w:type="dxa"/>
            <w:noWrap/>
            <w:hideMark/>
          </w:tcPr>
          <w:p w14:paraId="297DD33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0.32</w:t>
            </w:r>
          </w:p>
        </w:tc>
        <w:tc>
          <w:tcPr>
            <w:tcW w:w="663" w:type="dxa"/>
            <w:noWrap/>
            <w:hideMark/>
          </w:tcPr>
          <w:p w14:paraId="5B1CD73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0.46</w:t>
            </w:r>
          </w:p>
        </w:tc>
        <w:tc>
          <w:tcPr>
            <w:tcW w:w="663" w:type="dxa"/>
            <w:noWrap/>
            <w:hideMark/>
          </w:tcPr>
          <w:p w14:paraId="7C7A65C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0.46</w:t>
            </w:r>
          </w:p>
        </w:tc>
        <w:tc>
          <w:tcPr>
            <w:tcW w:w="663" w:type="dxa"/>
            <w:noWrap/>
            <w:hideMark/>
          </w:tcPr>
          <w:p w14:paraId="7EA0421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0.39</w:t>
            </w:r>
          </w:p>
        </w:tc>
        <w:tc>
          <w:tcPr>
            <w:tcW w:w="663" w:type="dxa"/>
            <w:noWrap/>
            <w:hideMark/>
          </w:tcPr>
          <w:p w14:paraId="651527E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0.39</w:t>
            </w:r>
          </w:p>
        </w:tc>
        <w:tc>
          <w:tcPr>
            <w:tcW w:w="663" w:type="dxa"/>
            <w:noWrap/>
            <w:hideMark/>
          </w:tcPr>
          <w:p w14:paraId="77A7B86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0.31</w:t>
            </w:r>
          </w:p>
        </w:tc>
      </w:tr>
      <w:tr w:rsidR="00840B1A" w:rsidRPr="00840B1A" w14:paraId="2DF586B2"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15C5B75A"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El Paso Electric Company</w:t>
            </w:r>
          </w:p>
        </w:tc>
        <w:tc>
          <w:tcPr>
            <w:tcW w:w="669" w:type="dxa"/>
            <w:noWrap/>
            <w:hideMark/>
          </w:tcPr>
          <w:p w14:paraId="5D17BEF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0.33</w:t>
            </w:r>
          </w:p>
        </w:tc>
        <w:tc>
          <w:tcPr>
            <w:tcW w:w="663" w:type="dxa"/>
            <w:noWrap/>
            <w:hideMark/>
          </w:tcPr>
          <w:p w14:paraId="7305668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0.42</w:t>
            </w:r>
          </w:p>
        </w:tc>
        <w:tc>
          <w:tcPr>
            <w:tcW w:w="663" w:type="dxa"/>
            <w:noWrap/>
            <w:hideMark/>
          </w:tcPr>
          <w:p w14:paraId="313AA18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0.38</w:t>
            </w:r>
          </w:p>
        </w:tc>
        <w:tc>
          <w:tcPr>
            <w:tcW w:w="663" w:type="dxa"/>
            <w:noWrap/>
            <w:hideMark/>
          </w:tcPr>
          <w:p w14:paraId="3154A91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0.25</w:t>
            </w:r>
          </w:p>
        </w:tc>
        <w:tc>
          <w:tcPr>
            <w:tcW w:w="663" w:type="dxa"/>
            <w:noWrap/>
            <w:hideMark/>
          </w:tcPr>
          <w:p w14:paraId="17E6BAE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0.22</w:t>
            </w:r>
          </w:p>
        </w:tc>
        <w:tc>
          <w:tcPr>
            <w:tcW w:w="663" w:type="dxa"/>
            <w:noWrap/>
            <w:hideMark/>
          </w:tcPr>
          <w:p w14:paraId="099D25E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0.20</w:t>
            </w:r>
          </w:p>
        </w:tc>
        <w:tc>
          <w:tcPr>
            <w:tcW w:w="663" w:type="dxa"/>
            <w:noWrap/>
            <w:hideMark/>
          </w:tcPr>
          <w:p w14:paraId="6CC4F88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0.30</w:t>
            </w:r>
          </w:p>
        </w:tc>
        <w:tc>
          <w:tcPr>
            <w:tcW w:w="663" w:type="dxa"/>
            <w:noWrap/>
            <w:hideMark/>
          </w:tcPr>
          <w:p w14:paraId="5B7EF71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0.36</w:t>
            </w:r>
          </w:p>
        </w:tc>
        <w:tc>
          <w:tcPr>
            <w:tcW w:w="663" w:type="dxa"/>
            <w:noWrap/>
            <w:hideMark/>
          </w:tcPr>
          <w:p w14:paraId="30D9C8B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0.22</w:t>
            </w:r>
          </w:p>
        </w:tc>
      </w:tr>
      <w:tr w:rsidR="00840B1A" w:rsidRPr="00840B1A" w14:paraId="7E3F7053"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3F3D2452"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Avista Corporation</w:t>
            </w:r>
          </w:p>
        </w:tc>
        <w:tc>
          <w:tcPr>
            <w:tcW w:w="669" w:type="dxa"/>
            <w:noWrap/>
            <w:hideMark/>
          </w:tcPr>
          <w:p w14:paraId="27A7267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0.29</w:t>
            </w:r>
          </w:p>
        </w:tc>
        <w:tc>
          <w:tcPr>
            <w:tcW w:w="663" w:type="dxa"/>
            <w:noWrap/>
            <w:hideMark/>
          </w:tcPr>
          <w:p w14:paraId="527BAAC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0.26</w:t>
            </w:r>
          </w:p>
        </w:tc>
        <w:tc>
          <w:tcPr>
            <w:tcW w:w="663" w:type="dxa"/>
            <w:noWrap/>
            <w:hideMark/>
          </w:tcPr>
          <w:p w14:paraId="6D535E5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0.26</w:t>
            </w:r>
          </w:p>
        </w:tc>
        <w:tc>
          <w:tcPr>
            <w:tcW w:w="663" w:type="dxa"/>
            <w:noWrap/>
            <w:hideMark/>
          </w:tcPr>
          <w:p w14:paraId="32565B5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0.25</w:t>
            </w:r>
          </w:p>
        </w:tc>
        <w:tc>
          <w:tcPr>
            <w:tcW w:w="663" w:type="dxa"/>
            <w:noWrap/>
            <w:hideMark/>
          </w:tcPr>
          <w:p w14:paraId="35F9D8B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0.28</w:t>
            </w:r>
          </w:p>
        </w:tc>
        <w:tc>
          <w:tcPr>
            <w:tcW w:w="663" w:type="dxa"/>
            <w:noWrap/>
            <w:hideMark/>
          </w:tcPr>
          <w:p w14:paraId="4CFBB75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0.20</w:t>
            </w:r>
          </w:p>
        </w:tc>
        <w:tc>
          <w:tcPr>
            <w:tcW w:w="663" w:type="dxa"/>
            <w:noWrap/>
            <w:hideMark/>
          </w:tcPr>
          <w:p w14:paraId="6FB5CD7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0.27</w:t>
            </w:r>
          </w:p>
        </w:tc>
        <w:tc>
          <w:tcPr>
            <w:tcW w:w="663" w:type="dxa"/>
            <w:noWrap/>
            <w:hideMark/>
          </w:tcPr>
          <w:p w14:paraId="2C990D6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0.29</w:t>
            </w:r>
          </w:p>
        </w:tc>
        <w:tc>
          <w:tcPr>
            <w:tcW w:w="663" w:type="dxa"/>
            <w:noWrap/>
            <w:hideMark/>
          </w:tcPr>
          <w:p w14:paraId="06A4E05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0.38</w:t>
            </w:r>
          </w:p>
        </w:tc>
      </w:tr>
      <w:tr w:rsidR="00840B1A" w:rsidRPr="00840B1A" w14:paraId="4CC5403C"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62C5109E"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Western Area Power Administration - Desert Southwest Region</w:t>
            </w:r>
          </w:p>
        </w:tc>
        <w:tc>
          <w:tcPr>
            <w:tcW w:w="669" w:type="dxa"/>
            <w:noWrap/>
            <w:hideMark/>
          </w:tcPr>
          <w:p w14:paraId="3D1B6FF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0.25</w:t>
            </w:r>
          </w:p>
        </w:tc>
        <w:tc>
          <w:tcPr>
            <w:tcW w:w="663" w:type="dxa"/>
            <w:noWrap/>
            <w:hideMark/>
          </w:tcPr>
          <w:p w14:paraId="60A3262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0.33</w:t>
            </w:r>
          </w:p>
        </w:tc>
        <w:tc>
          <w:tcPr>
            <w:tcW w:w="663" w:type="dxa"/>
            <w:noWrap/>
            <w:hideMark/>
          </w:tcPr>
          <w:p w14:paraId="6DFB94A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0.47</w:t>
            </w:r>
          </w:p>
        </w:tc>
        <w:tc>
          <w:tcPr>
            <w:tcW w:w="663" w:type="dxa"/>
            <w:noWrap/>
            <w:hideMark/>
          </w:tcPr>
          <w:p w14:paraId="6783FAB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0.39</w:t>
            </w:r>
          </w:p>
        </w:tc>
        <w:tc>
          <w:tcPr>
            <w:tcW w:w="663" w:type="dxa"/>
            <w:noWrap/>
            <w:hideMark/>
          </w:tcPr>
          <w:p w14:paraId="4D35B26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0.21</w:t>
            </w:r>
          </w:p>
        </w:tc>
        <w:tc>
          <w:tcPr>
            <w:tcW w:w="663" w:type="dxa"/>
            <w:noWrap/>
            <w:hideMark/>
          </w:tcPr>
          <w:p w14:paraId="200A835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0.13</w:t>
            </w:r>
          </w:p>
        </w:tc>
        <w:tc>
          <w:tcPr>
            <w:tcW w:w="663" w:type="dxa"/>
            <w:noWrap/>
            <w:hideMark/>
          </w:tcPr>
          <w:p w14:paraId="4E5DA3F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c>
          <w:tcPr>
            <w:tcW w:w="663" w:type="dxa"/>
            <w:noWrap/>
            <w:hideMark/>
          </w:tcPr>
          <w:p w14:paraId="7967B17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c>
          <w:tcPr>
            <w:tcW w:w="663" w:type="dxa"/>
            <w:noWrap/>
            <w:hideMark/>
          </w:tcPr>
          <w:p w14:paraId="1A0F01D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r>
      <w:tr w:rsidR="00840B1A" w:rsidRPr="00840B1A" w14:paraId="18F5BE1D"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63E1610"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Los Angeles Department of Water and Power</w:t>
            </w:r>
          </w:p>
        </w:tc>
        <w:tc>
          <w:tcPr>
            <w:tcW w:w="669" w:type="dxa"/>
            <w:noWrap/>
            <w:hideMark/>
          </w:tcPr>
          <w:p w14:paraId="56E13C9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0.23</w:t>
            </w:r>
          </w:p>
        </w:tc>
        <w:tc>
          <w:tcPr>
            <w:tcW w:w="663" w:type="dxa"/>
            <w:noWrap/>
            <w:hideMark/>
          </w:tcPr>
          <w:p w14:paraId="19DEC32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0.21</w:t>
            </w:r>
          </w:p>
        </w:tc>
        <w:tc>
          <w:tcPr>
            <w:tcW w:w="663" w:type="dxa"/>
            <w:noWrap/>
            <w:hideMark/>
          </w:tcPr>
          <w:p w14:paraId="11F1758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7736850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0.19</w:t>
            </w:r>
          </w:p>
        </w:tc>
        <w:tc>
          <w:tcPr>
            <w:tcW w:w="663" w:type="dxa"/>
            <w:noWrap/>
            <w:hideMark/>
          </w:tcPr>
          <w:p w14:paraId="019A0DE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0E13040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0A8D1B4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0.23</w:t>
            </w:r>
          </w:p>
        </w:tc>
        <w:tc>
          <w:tcPr>
            <w:tcW w:w="663" w:type="dxa"/>
            <w:noWrap/>
            <w:hideMark/>
          </w:tcPr>
          <w:p w14:paraId="625BC59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0.31</w:t>
            </w:r>
          </w:p>
        </w:tc>
        <w:tc>
          <w:tcPr>
            <w:tcW w:w="663" w:type="dxa"/>
            <w:noWrap/>
            <w:hideMark/>
          </w:tcPr>
          <w:p w14:paraId="75B76DA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0.36</w:t>
            </w:r>
          </w:p>
        </w:tc>
      </w:tr>
      <w:tr w:rsidR="00840B1A" w:rsidRPr="00840B1A" w14:paraId="54B4ECAA"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268B257E"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Nevada Power Company</w:t>
            </w:r>
          </w:p>
        </w:tc>
        <w:tc>
          <w:tcPr>
            <w:tcW w:w="669" w:type="dxa"/>
            <w:noWrap/>
            <w:hideMark/>
          </w:tcPr>
          <w:p w14:paraId="432A2D2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0.23</w:t>
            </w:r>
          </w:p>
        </w:tc>
        <w:tc>
          <w:tcPr>
            <w:tcW w:w="663" w:type="dxa"/>
            <w:noWrap/>
            <w:hideMark/>
          </w:tcPr>
          <w:p w14:paraId="441273C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0.23</w:t>
            </w:r>
          </w:p>
        </w:tc>
        <w:tc>
          <w:tcPr>
            <w:tcW w:w="663" w:type="dxa"/>
            <w:noWrap/>
            <w:hideMark/>
          </w:tcPr>
          <w:p w14:paraId="12F1626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0.30</w:t>
            </w:r>
          </w:p>
        </w:tc>
        <w:tc>
          <w:tcPr>
            <w:tcW w:w="663" w:type="dxa"/>
            <w:noWrap/>
            <w:hideMark/>
          </w:tcPr>
          <w:p w14:paraId="5157F41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0.25</w:t>
            </w:r>
          </w:p>
        </w:tc>
        <w:tc>
          <w:tcPr>
            <w:tcW w:w="663" w:type="dxa"/>
            <w:noWrap/>
            <w:hideMark/>
          </w:tcPr>
          <w:p w14:paraId="363BC97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0.23</w:t>
            </w:r>
          </w:p>
        </w:tc>
        <w:tc>
          <w:tcPr>
            <w:tcW w:w="663" w:type="dxa"/>
            <w:noWrap/>
            <w:hideMark/>
          </w:tcPr>
          <w:p w14:paraId="2EAC62B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0.22</w:t>
            </w:r>
          </w:p>
        </w:tc>
        <w:tc>
          <w:tcPr>
            <w:tcW w:w="663" w:type="dxa"/>
            <w:noWrap/>
            <w:hideMark/>
          </w:tcPr>
          <w:p w14:paraId="265334A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0.21</w:t>
            </w:r>
          </w:p>
        </w:tc>
        <w:tc>
          <w:tcPr>
            <w:tcW w:w="663" w:type="dxa"/>
            <w:noWrap/>
            <w:hideMark/>
          </w:tcPr>
          <w:p w14:paraId="611803B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0.20</w:t>
            </w:r>
          </w:p>
        </w:tc>
        <w:tc>
          <w:tcPr>
            <w:tcW w:w="663" w:type="dxa"/>
            <w:noWrap/>
            <w:hideMark/>
          </w:tcPr>
          <w:p w14:paraId="715493B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r>
      <w:tr w:rsidR="00840B1A" w:rsidRPr="00840B1A" w14:paraId="07D9C051"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3BE80D59"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Idaho Power Company</w:t>
            </w:r>
          </w:p>
        </w:tc>
        <w:tc>
          <w:tcPr>
            <w:tcW w:w="669" w:type="dxa"/>
            <w:noWrap/>
            <w:hideMark/>
          </w:tcPr>
          <w:p w14:paraId="5054F62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0.22</w:t>
            </w:r>
          </w:p>
        </w:tc>
        <w:tc>
          <w:tcPr>
            <w:tcW w:w="663" w:type="dxa"/>
            <w:noWrap/>
            <w:hideMark/>
          </w:tcPr>
          <w:p w14:paraId="6673584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0.26</w:t>
            </w:r>
          </w:p>
        </w:tc>
        <w:tc>
          <w:tcPr>
            <w:tcW w:w="663" w:type="dxa"/>
            <w:noWrap/>
            <w:hideMark/>
          </w:tcPr>
          <w:p w14:paraId="720EAB8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37D65C8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0.20</w:t>
            </w:r>
          </w:p>
        </w:tc>
        <w:tc>
          <w:tcPr>
            <w:tcW w:w="663" w:type="dxa"/>
            <w:noWrap/>
            <w:hideMark/>
          </w:tcPr>
          <w:p w14:paraId="35A8EA8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0.14</w:t>
            </w:r>
          </w:p>
        </w:tc>
        <w:tc>
          <w:tcPr>
            <w:tcW w:w="663" w:type="dxa"/>
            <w:noWrap/>
            <w:hideMark/>
          </w:tcPr>
          <w:p w14:paraId="2C3A396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0.28</w:t>
            </w:r>
          </w:p>
        </w:tc>
        <w:tc>
          <w:tcPr>
            <w:tcW w:w="663" w:type="dxa"/>
            <w:noWrap/>
            <w:hideMark/>
          </w:tcPr>
          <w:p w14:paraId="50B9D22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0.19</w:t>
            </w:r>
          </w:p>
        </w:tc>
        <w:tc>
          <w:tcPr>
            <w:tcW w:w="663" w:type="dxa"/>
            <w:noWrap/>
            <w:hideMark/>
          </w:tcPr>
          <w:p w14:paraId="03C00DE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0.30</w:t>
            </w:r>
          </w:p>
        </w:tc>
        <w:tc>
          <w:tcPr>
            <w:tcW w:w="663" w:type="dxa"/>
            <w:noWrap/>
            <w:hideMark/>
          </w:tcPr>
          <w:p w14:paraId="79E2AB7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r>
      <w:tr w:rsidR="00840B1A" w:rsidRPr="00840B1A" w14:paraId="334D4797"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7B3981A"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Puget Sound Energy, Inc.</w:t>
            </w:r>
          </w:p>
        </w:tc>
        <w:tc>
          <w:tcPr>
            <w:tcW w:w="669" w:type="dxa"/>
            <w:noWrap/>
            <w:hideMark/>
          </w:tcPr>
          <w:p w14:paraId="4FDEEB8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0.20</w:t>
            </w:r>
          </w:p>
        </w:tc>
        <w:tc>
          <w:tcPr>
            <w:tcW w:w="663" w:type="dxa"/>
            <w:noWrap/>
            <w:hideMark/>
          </w:tcPr>
          <w:p w14:paraId="35FE317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c>
          <w:tcPr>
            <w:tcW w:w="663" w:type="dxa"/>
            <w:noWrap/>
            <w:hideMark/>
          </w:tcPr>
          <w:p w14:paraId="73BDA95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c>
          <w:tcPr>
            <w:tcW w:w="663" w:type="dxa"/>
            <w:noWrap/>
            <w:hideMark/>
          </w:tcPr>
          <w:p w14:paraId="4E16E83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c>
          <w:tcPr>
            <w:tcW w:w="663" w:type="dxa"/>
            <w:noWrap/>
            <w:hideMark/>
          </w:tcPr>
          <w:p w14:paraId="5FD67B7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0.12</w:t>
            </w:r>
          </w:p>
        </w:tc>
        <w:tc>
          <w:tcPr>
            <w:tcW w:w="663" w:type="dxa"/>
            <w:noWrap/>
            <w:hideMark/>
          </w:tcPr>
          <w:p w14:paraId="424A572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0.23</w:t>
            </w:r>
          </w:p>
        </w:tc>
        <w:tc>
          <w:tcPr>
            <w:tcW w:w="663" w:type="dxa"/>
            <w:noWrap/>
            <w:hideMark/>
          </w:tcPr>
          <w:p w14:paraId="38FE100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0.29</w:t>
            </w:r>
          </w:p>
        </w:tc>
        <w:tc>
          <w:tcPr>
            <w:tcW w:w="663" w:type="dxa"/>
            <w:noWrap/>
            <w:hideMark/>
          </w:tcPr>
          <w:p w14:paraId="05B940A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0.32</w:t>
            </w:r>
          </w:p>
        </w:tc>
        <w:tc>
          <w:tcPr>
            <w:tcW w:w="663" w:type="dxa"/>
            <w:noWrap/>
            <w:hideMark/>
          </w:tcPr>
          <w:p w14:paraId="2EF2CA7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0.28</w:t>
            </w:r>
          </w:p>
        </w:tc>
      </w:tr>
      <w:tr w:rsidR="00840B1A" w:rsidRPr="00840B1A" w14:paraId="6E736B18"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36C02CF8"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New York Independent System Operator</w:t>
            </w:r>
          </w:p>
        </w:tc>
        <w:tc>
          <w:tcPr>
            <w:tcW w:w="669" w:type="dxa"/>
            <w:noWrap/>
            <w:hideMark/>
          </w:tcPr>
          <w:p w14:paraId="0589FA0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0.19</w:t>
            </w:r>
          </w:p>
        </w:tc>
        <w:tc>
          <w:tcPr>
            <w:tcW w:w="663" w:type="dxa"/>
            <w:noWrap/>
            <w:hideMark/>
          </w:tcPr>
          <w:p w14:paraId="19492FB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27B8452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0.22</w:t>
            </w:r>
          </w:p>
        </w:tc>
        <w:tc>
          <w:tcPr>
            <w:tcW w:w="663" w:type="dxa"/>
            <w:noWrap/>
            <w:hideMark/>
          </w:tcPr>
          <w:p w14:paraId="6342333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0.20</w:t>
            </w:r>
          </w:p>
        </w:tc>
        <w:tc>
          <w:tcPr>
            <w:tcW w:w="663" w:type="dxa"/>
            <w:noWrap/>
            <w:hideMark/>
          </w:tcPr>
          <w:p w14:paraId="7DB4F3A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21F4C3A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c>
          <w:tcPr>
            <w:tcW w:w="663" w:type="dxa"/>
            <w:noWrap/>
            <w:hideMark/>
          </w:tcPr>
          <w:p w14:paraId="4602EA7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0.21</w:t>
            </w:r>
          </w:p>
        </w:tc>
        <w:tc>
          <w:tcPr>
            <w:tcW w:w="663" w:type="dxa"/>
            <w:noWrap/>
            <w:hideMark/>
          </w:tcPr>
          <w:p w14:paraId="78E96FF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0.22</w:t>
            </w:r>
          </w:p>
        </w:tc>
        <w:tc>
          <w:tcPr>
            <w:tcW w:w="663" w:type="dxa"/>
            <w:noWrap/>
            <w:hideMark/>
          </w:tcPr>
          <w:p w14:paraId="2E78E19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r>
      <w:tr w:rsidR="00840B1A" w:rsidRPr="00840B1A" w14:paraId="3D8EC79D"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5CE0609E"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Arizona Public Service Company</w:t>
            </w:r>
          </w:p>
        </w:tc>
        <w:tc>
          <w:tcPr>
            <w:tcW w:w="669" w:type="dxa"/>
            <w:noWrap/>
            <w:hideMark/>
          </w:tcPr>
          <w:p w14:paraId="26E772A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c>
          <w:tcPr>
            <w:tcW w:w="663" w:type="dxa"/>
            <w:noWrap/>
            <w:hideMark/>
          </w:tcPr>
          <w:p w14:paraId="18254D2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A0E842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49F0869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2B69029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6950E4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4F50C4A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0.19</w:t>
            </w:r>
          </w:p>
        </w:tc>
        <w:tc>
          <w:tcPr>
            <w:tcW w:w="663" w:type="dxa"/>
            <w:noWrap/>
            <w:hideMark/>
          </w:tcPr>
          <w:p w14:paraId="689624C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630E7AE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0.17</w:t>
            </w:r>
          </w:p>
        </w:tc>
      </w:tr>
      <w:tr w:rsidR="00840B1A" w:rsidRPr="00840B1A" w14:paraId="269C6100"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298CB2FE"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ISO New England</w:t>
            </w:r>
          </w:p>
        </w:tc>
        <w:tc>
          <w:tcPr>
            <w:tcW w:w="669" w:type="dxa"/>
            <w:noWrap/>
            <w:hideMark/>
          </w:tcPr>
          <w:p w14:paraId="15BB95C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c>
          <w:tcPr>
            <w:tcW w:w="663" w:type="dxa"/>
            <w:noWrap/>
            <w:hideMark/>
          </w:tcPr>
          <w:p w14:paraId="586D2B5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c>
          <w:tcPr>
            <w:tcW w:w="663" w:type="dxa"/>
            <w:noWrap/>
            <w:hideMark/>
          </w:tcPr>
          <w:p w14:paraId="6F255A3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0.14</w:t>
            </w:r>
          </w:p>
        </w:tc>
        <w:tc>
          <w:tcPr>
            <w:tcW w:w="663" w:type="dxa"/>
            <w:noWrap/>
            <w:hideMark/>
          </w:tcPr>
          <w:p w14:paraId="0703ACA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c>
          <w:tcPr>
            <w:tcW w:w="663" w:type="dxa"/>
            <w:noWrap/>
            <w:hideMark/>
          </w:tcPr>
          <w:p w14:paraId="330267A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7E4EDF8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32E2664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0.14</w:t>
            </w:r>
          </w:p>
        </w:tc>
        <w:tc>
          <w:tcPr>
            <w:tcW w:w="663" w:type="dxa"/>
            <w:noWrap/>
            <w:hideMark/>
          </w:tcPr>
          <w:p w14:paraId="3279C393"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0.11</w:t>
            </w:r>
          </w:p>
        </w:tc>
        <w:tc>
          <w:tcPr>
            <w:tcW w:w="663" w:type="dxa"/>
            <w:noWrap/>
            <w:hideMark/>
          </w:tcPr>
          <w:p w14:paraId="0450B0D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0.12</w:t>
            </w:r>
          </w:p>
        </w:tc>
      </w:tr>
      <w:tr w:rsidR="00840B1A" w:rsidRPr="00840B1A" w14:paraId="7E5EA3D5"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58420860"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Balancing Authority of Northern California</w:t>
            </w:r>
          </w:p>
        </w:tc>
        <w:tc>
          <w:tcPr>
            <w:tcW w:w="669" w:type="dxa"/>
            <w:noWrap/>
            <w:hideMark/>
          </w:tcPr>
          <w:p w14:paraId="784840B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c>
          <w:tcPr>
            <w:tcW w:w="663" w:type="dxa"/>
            <w:noWrap/>
            <w:hideMark/>
          </w:tcPr>
          <w:p w14:paraId="06E861C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1BFC2EA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0.09</w:t>
            </w:r>
          </w:p>
        </w:tc>
        <w:tc>
          <w:tcPr>
            <w:tcW w:w="663" w:type="dxa"/>
            <w:noWrap/>
            <w:hideMark/>
          </w:tcPr>
          <w:p w14:paraId="3497170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c>
          <w:tcPr>
            <w:tcW w:w="663" w:type="dxa"/>
            <w:noWrap/>
            <w:hideMark/>
          </w:tcPr>
          <w:p w14:paraId="235A8D1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0.09</w:t>
            </w:r>
          </w:p>
        </w:tc>
        <w:tc>
          <w:tcPr>
            <w:tcW w:w="663" w:type="dxa"/>
            <w:noWrap/>
            <w:hideMark/>
          </w:tcPr>
          <w:p w14:paraId="63E4156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c>
          <w:tcPr>
            <w:tcW w:w="663" w:type="dxa"/>
            <w:noWrap/>
            <w:hideMark/>
          </w:tcPr>
          <w:p w14:paraId="401707E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0.13</w:t>
            </w:r>
          </w:p>
        </w:tc>
        <w:tc>
          <w:tcPr>
            <w:tcW w:w="663" w:type="dxa"/>
            <w:noWrap/>
            <w:hideMark/>
          </w:tcPr>
          <w:p w14:paraId="4E964AA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0.28</w:t>
            </w:r>
          </w:p>
        </w:tc>
        <w:tc>
          <w:tcPr>
            <w:tcW w:w="663" w:type="dxa"/>
            <w:noWrap/>
            <w:hideMark/>
          </w:tcPr>
          <w:p w14:paraId="76BAFBE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r>
      <w:tr w:rsidR="00840B1A" w:rsidRPr="00840B1A" w14:paraId="26090F88"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FC01732"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Portland General Electric Company</w:t>
            </w:r>
          </w:p>
        </w:tc>
        <w:tc>
          <w:tcPr>
            <w:tcW w:w="669" w:type="dxa"/>
            <w:noWrap/>
            <w:hideMark/>
          </w:tcPr>
          <w:p w14:paraId="5746938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0.13</w:t>
            </w:r>
          </w:p>
        </w:tc>
        <w:tc>
          <w:tcPr>
            <w:tcW w:w="663" w:type="dxa"/>
            <w:noWrap/>
            <w:hideMark/>
          </w:tcPr>
          <w:p w14:paraId="4996B55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0.21</w:t>
            </w:r>
          </w:p>
        </w:tc>
        <w:tc>
          <w:tcPr>
            <w:tcW w:w="663" w:type="dxa"/>
            <w:noWrap/>
            <w:hideMark/>
          </w:tcPr>
          <w:p w14:paraId="35B81B9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0.21</w:t>
            </w:r>
          </w:p>
        </w:tc>
        <w:tc>
          <w:tcPr>
            <w:tcW w:w="663" w:type="dxa"/>
            <w:noWrap/>
            <w:hideMark/>
          </w:tcPr>
          <w:p w14:paraId="7306ED7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0.21</w:t>
            </w:r>
          </w:p>
        </w:tc>
        <w:tc>
          <w:tcPr>
            <w:tcW w:w="663" w:type="dxa"/>
            <w:noWrap/>
            <w:hideMark/>
          </w:tcPr>
          <w:p w14:paraId="6BD0828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0.14</w:t>
            </w:r>
          </w:p>
        </w:tc>
        <w:tc>
          <w:tcPr>
            <w:tcW w:w="663" w:type="dxa"/>
            <w:noWrap/>
            <w:hideMark/>
          </w:tcPr>
          <w:p w14:paraId="392CA44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00A7F26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460BC18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4C0CE70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7B1C75B5"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4A58928"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Midcontinent Independent System Operator, Inc.</w:t>
            </w:r>
          </w:p>
        </w:tc>
        <w:tc>
          <w:tcPr>
            <w:tcW w:w="669" w:type="dxa"/>
            <w:noWrap/>
            <w:hideMark/>
          </w:tcPr>
          <w:p w14:paraId="1D8B989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c>
          <w:tcPr>
            <w:tcW w:w="663" w:type="dxa"/>
            <w:noWrap/>
            <w:hideMark/>
          </w:tcPr>
          <w:p w14:paraId="0F691F7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0.13</w:t>
            </w:r>
          </w:p>
        </w:tc>
        <w:tc>
          <w:tcPr>
            <w:tcW w:w="663" w:type="dxa"/>
            <w:noWrap/>
            <w:hideMark/>
          </w:tcPr>
          <w:p w14:paraId="4EE8C67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c>
          <w:tcPr>
            <w:tcW w:w="663" w:type="dxa"/>
            <w:noWrap/>
            <w:hideMark/>
          </w:tcPr>
          <w:p w14:paraId="5312797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0.11</w:t>
            </w:r>
          </w:p>
        </w:tc>
        <w:tc>
          <w:tcPr>
            <w:tcW w:w="663" w:type="dxa"/>
            <w:noWrap/>
            <w:hideMark/>
          </w:tcPr>
          <w:p w14:paraId="06CB2AA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0.14</w:t>
            </w:r>
          </w:p>
        </w:tc>
        <w:tc>
          <w:tcPr>
            <w:tcW w:w="663" w:type="dxa"/>
            <w:noWrap/>
            <w:hideMark/>
          </w:tcPr>
          <w:p w14:paraId="3B2FAFF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c>
          <w:tcPr>
            <w:tcW w:w="663" w:type="dxa"/>
            <w:noWrap/>
            <w:hideMark/>
          </w:tcPr>
          <w:p w14:paraId="2F7D8CA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c>
          <w:tcPr>
            <w:tcW w:w="663" w:type="dxa"/>
            <w:noWrap/>
            <w:hideMark/>
          </w:tcPr>
          <w:p w14:paraId="7E892C1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0.08</w:t>
            </w:r>
          </w:p>
        </w:tc>
        <w:tc>
          <w:tcPr>
            <w:tcW w:w="663" w:type="dxa"/>
            <w:noWrap/>
            <w:hideMark/>
          </w:tcPr>
          <w:p w14:paraId="6F6E721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0.08</w:t>
            </w:r>
          </w:p>
        </w:tc>
      </w:tr>
      <w:tr w:rsidR="00840B1A" w:rsidRPr="00840B1A" w14:paraId="37A8CAFF"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DDCA35B"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Seattle City Light</w:t>
            </w:r>
          </w:p>
        </w:tc>
        <w:tc>
          <w:tcPr>
            <w:tcW w:w="669" w:type="dxa"/>
            <w:noWrap/>
            <w:hideMark/>
          </w:tcPr>
          <w:p w14:paraId="6473A49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0.09</w:t>
            </w:r>
          </w:p>
        </w:tc>
        <w:tc>
          <w:tcPr>
            <w:tcW w:w="663" w:type="dxa"/>
            <w:noWrap/>
            <w:hideMark/>
          </w:tcPr>
          <w:p w14:paraId="437EEA9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0.08</w:t>
            </w:r>
          </w:p>
        </w:tc>
        <w:tc>
          <w:tcPr>
            <w:tcW w:w="663" w:type="dxa"/>
            <w:noWrap/>
            <w:hideMark/>
          </w:tcPr>
          <w:p w14:paraId="76FB38C3"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1EBD85B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0.09</w:t>
            </w:r>
          </w:p>
        </w:tc>
        <w:tc>
          <w:tcPr>
            <w:tcW w:w="663" w:type="dxa"/>
            <w:noWrap/>
            <w:hideMark/>
          </w:tcPr>
          <w:p w14:paraId="67C0183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0.09</w:t>
            </w:r>
          </w:p>
        </w:tc>
        <w:tc>
          <w:tcPr>
            <w:tcW w:w="663" w:type="dxa"/>
            <w:noWrap/>
            <w:hideMark/>
          </w:tcPr>
          <w:p w14:paraId="4F6D180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c>
          <w:tcPr>
            <w:tcW w:w="663" w:type="dxa"/>
            <w:noWrap/>
            <w:hideMark/>
          </w:tcPr>
          <w:p w14:paraId="273F5A33"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0.12</w:t>
            </w:r>
          </w:p>
        </w:tc>
        <w:tc>
          <w:tcPr>
            <w:tcW w:w="663" w:type="dxa"/>
            <w:noWrap/>
            <w:hideMark/>
          </w:tcPr>
          <w:p w14:paraId="44741CF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3587D95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0.08</w:t>
            </w:r>
          </w:p>
        </w:tc>
      </w:tr>
      <w:tr w:rsidR="00840B1A" w:rsidRPr="00840B1A" w14:paraId="20AED347"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618078EB"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Public Service Company of New Mexico</w:t>
            </w:r>
          </w:p>
        </w:tc>
        <w:tc>
          <w:tcPr>
            <w:tcW w:w="669" w:type="dxa"/>
            <w:noWrap/>
            <w:hideMark/>
          </w:tcPr>
          <w:p w14:paraId="18ABB8D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0.08</w:t>
            </w:r>
          </w:p>
        </w:tc>
        <w:tc>
          <w:tcPr>
            <w:tcW w:w="663" w:type="dxa"/>
            <w:noWrap/>
            <w:hideMark/>
          </w:tcPr>
          <w:p w14:paraId="0EE0134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454FB96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1E89340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0.13</w:t>
            </w:r>
          </w:p>
        </w:tc>
        <w:tc>
          <w:tcPr>
            <w:tcW w:w="663" w:type="dxa"/>
            <w:noWrap/>
            <w:hideMark/>
          </w:tcPr>
          <w:p w14:paraId="109E01E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0.11</w:t>
            </w:r>
          </w:p>
        </w:tc>
        <w:tc>
          <w:tcPr>
            <w:tcW w:w="663" w:type="dxa"/>
            <w:noWrap/>
            <w:hideMark/>
          </w:tcPr>
          <w:p w14:paraId="18BBE37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0.07</w:t>
            </w:r>
          </w:p>
        </w:tc>
        <w:tc>
          <w:tcPr>
            <w:tcW w:w="663" w:type="dxa"/>
            <w:noWrap/>
            <w:hideMark/>
          </w:tcPr>
          <w:p w14:paraId="7B114EC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6208E5C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0.08</w:t>
            </w:r>
          </w:p>
        </w:tc>
        <w:tc>
          <w:tcPr>
            <w:tcW w:w="663" w:type="dxa"/>
            <w:noWrap/>
            <w:hideMark/>
          </w:tcPr>
          <w:p w14:paraId="0A635B3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r>
      <w:tr w:rsidR="00840B1A" w:rsidRPr="00840B1A" w14:paraId="27F5C48C"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6DEC0828"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PacifiCorp East</w:t>
            </w:r>
          </w:p>
        </w:tc>
        <w:tc>
          <w:tcPr>
            <w:tcW w:w="669" w:type="dxa"/>
            <w:noWrap/>
            <w:hideMark/>
          </w:tcPr>
          <w:p w14:paraId="1301DDA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49A1BBC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5CAD357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0.07</w:t>
            </w:r>
          </w:p>
        </w:tc>
        <w:tc>
          <w:tcPr>
            <w:tcW w:w="663" w:type="dxa"/>
            <w:noWrap/>
            <w:hideMark/>
          </w:tcPr>
          <w:p w14:paraId="7BE8888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22CA26F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0.07</w:t>
            </w:r>
          </w:p>
        </w:tc>
        <w:tc>
          <w:tcPr>
            <w:tcW w:w="663" w:type="dxa"/>
            <w:noWrap/>
            <w:hideMark/>
          </w:tcPr>
          <w:p w14:paraId="4044B01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0.07</w:t>
            </w:r>
          </w:p>
        </w:tc>
        <w:tc>
          <w:tcPr>
            <w:tcW w:w="663" w:type="dxa"/>
            <w:noWrap/>
            <w:hideMark/>
          </w:tcPr>
          <w:p w14:paraId="262503B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750CE37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0A7E3CF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r>
      <w:tr w:rsidR="00840B1A" w:rsidRPr="00840B1A" w14:paraId="521165BE"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1A81E928"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Associated Electric Cooperative, Inc.</w:t>
            </w:r>
          </w:p>
        </w:tc>
        <w:tc>
          <w:tcPr>
            <w:tcW w:w="669" w:type="dxa"/>
            <w:noWrap/>
            <w:hideMark/>
          </w:tcPr>
          <w:p w14:paraId="04DA632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491A647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148C59B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675B3F7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329F6F1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297650B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3B02C07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0.09</w:t>
            </w:r>
          </w:p>
        </w:tc>
        <w:tc>
          <w:tcPr>
            <w:tcW w:w="663" w:type="dxa"/>
            <w:noWrap/>
            <w:hideMark/>
          </w:tcPr>
          <w:p w14:paraId="739E5C1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0.07</w:t>
            </w:r>
          </w:p>
        </w:tc>
        <w:tc>
          <w:tcPr>
            <w:tcW w:w="663" w:type="dxa"/>
            <w:noWrap/>
            <w:hideMark/>
          </w:tcPr>
          <w:p w14:paraId="1D4097E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0.11</w:t>
            </w:r>
          </w:p>
        </w:tc>
      </w:tr>
      <w:tr w:rsidR="00840B1A" w:rsidRPr="00840B1A" w14:paraId="13BEFB35"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0791387"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Louisville Gas and Electric Company and Kentucky Utilities Company</w:t>
            </w:r>
          </w:p>
        </w:tc>
        <w:tc>
          <w:tcPr>
            <w:tcW w:w="669" w:type="dxa"/>
            <w:noWrap/>
            <w:hideMark/>
          </w:tcPr>
          <w:p w14:paraId="3FEECBE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4712318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20037CC3"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40D6017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D02BD5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1D25C823"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4D7B95F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0.09</w:t>
            </w:r>
          </w:p>
        </w:tc>
        <w:tc>
          <w:tcPr>
            <w:tcW w:w="663" w:type="dxa"/>
            <w:noWrap/>
            <w:hideMark/>
          </w:tcPr>
          <w:p w14:paraId="193622B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0.11</w:t>
            </w:r>
          </w:p>
        </w:tc>
        <w:tc>
          <w:tcPr>
            <w:tcW w:w="663" w:type="dxa"/>
            <w:noWrap/>
            <w:hideMark/>
          </w:tcPr>
          <w:p w14:paraId="4CDEA07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0.12</w:t>
            </w:r>
          </w:p>
        </w:tc>
      </w:tr>
      <w:tr w:rsidR="00840B1A" w:rsidRPr="00840B1A" w14:paraId="66C74ED2"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20B7CB0A"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Florida Municipal Power Pool</w:t>
            </w:r>
          </w:p>
        </w:tc>
        <w:tc>
          <w:tcPr>
            <w:tcW w:w="669" w:type="dxa"/>
            <w:noWrap/>
            <w:hideMark/>
          </w:tcPr>
          <w:p w14:paraId="45F50D9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6517DE6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5FBB1EB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2896D09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3CCBFBF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788E939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10C0E5A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5337947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164817D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r>
      <w:tr w:rsidR="00840B1A" w:rsidRPr="00840B1A" w14:paraId="08EA36CA"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727C594"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Duke Energy Progress East</w:t>
            </w:r>
          </w:p>
        </w:tc>
        <w:tc>
          <w:tcPr>
            <w:tcW w:w="669" w:type="dxa"/>
            <w:noWrap/>
            <w:hideMark/>
          </w:tcPr>
          <w:p w14:paraId="1BD378D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1ACF7AD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24A76BE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45E478A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68F58DC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2F4D402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41A39DE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3CED1FB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6FE6EB9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r>
      <w:tr w:rsidR="00840B1A" w:rsidRPr="00840B1A" w14:paraId="7F3CD584"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1C4498F6"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Duke Energy Carolinas</w:t>
            </w:r>
          </w:p>
        </w:tc>
        <w:tc>
          <w:tcPr>
            <w:tcW w:w="669" w:type="dxa"/>
            <w:noWrap/>
            <w:hideMark/>
          </w:tcPr>
          <w:p w14:paraId="0EACC3F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14E7008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7D0CD39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701D8AA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385C802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4FAC680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41EA51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46AF213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479A22F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r>
      <w:tr w:rsidR="00840B1A" w:rsidRPr="00840B1A" w14:paraId="5F89C347"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5BD81D17"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JEA</w:t>
            </w:r>
          </w:p>
        </w:tc>
        <w:tc>
          <w:tcPr>
            <w:tcW w:w="669" w:type="dxa"/>
            <w:noWrap/>
            <w:hideMark/>
          </w:tcPr>
          <w:p w14:paraId="0CE0EA2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2B848CA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713AC8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8CE2E5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48D509D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2FE73A1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54ACA56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7E513AF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0D50604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r>
      <w:tr w:rsidR="00840B1A" w:rsidRPr="00840B1A" w14:paraId="4D49E831"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3156BEF"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Florida Power &amp; Light Co.</w:t>
            </w:r>
          </w:p>
        </w:tc>
        <w:tc>
          <w:tcPr>
            <w:tcW w:w="669" w:type="dxa"/>
            <w:noWrap/>
            <w:hideMark/>
          </w:tcPr>
          <w:p w14:paraId="27DA944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07783E1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2AF1E1D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1C7138B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3E998EE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40B5C1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2D92FC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410AD96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8443FA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0BE8CA3D"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275D7E70"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lastRenderedPageBreak/>
              <w:t>Salt River Project Agricultural Improvement and Power District</w:t>
            </w:r>
          </w:p>
        </w:tc>
        <w:tc>
          <w:tcPr>
            <w:tcW w:w="669" w:type="dxa"/>
            <w:noWrap/>
            <w:hideMark/>
          </w:tcPr>
          <w:p w14:paraId="48C851F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47FD9BA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0.08</w:t>
            </w:r>
          </w:p>
        </w:tc>
        <w:tc>
          <w:tcPr>
            <w:tcW w:w="663" w:type="dxa"/>
            <w:noWrap/>
            <w:hideMark/>
          </w:tcPr>
          <w:p w14:paraId="6748C8C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6E4B713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5F42BBD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E2D334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4715BEA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2840EB6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D93D89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22BF3EDD"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7CA32E2B"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Public Service Company of Colorado</w:t>
            </w:r>
          </w:p>
        </w:tc>
        <w:tc>
          <w:tcPr>
            <w:tcW w:w="669" w:type="dxa"/>
            <w:noWrap/>
            <w:hideMark/>
          </w:tcPr>
          <w:p w14:paraId="1B2F27A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7B11DBA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724A4A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3CCA43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CC4587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4383F8C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38EB887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3EE004F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332B649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70E58D06"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1DDB72BD"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Southwest Power Pool</w:t>
            </w:r>
          </w:p>
        </w:tc>
        <w:tc>
          <w:tcPr>
            <w:tcW w:w="669" w:type="dxa"/>
            <w:noWrap/>
            <w:hideMark/>
          </w:tcPr>
          <w:p w14:paraId="06CD76F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1359549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510136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4C546B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0F377ED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5F0A41E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78EB9B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977A54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E0C820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r>
      <w:tr w:rsidR="00840B1A" w:rsidRPr="00840B1A" w14:paraId="553AA330"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316025D4" w14:textId="77777777" w:rsidR="00840B1A" w:rsidRPr="00F5744F" w:rsidRDefault="00840B1A" w:rsidP="00840B1A">
            <w:pPr>
              <w:rPr>
                <w:rFonts w:ascii="Aptos Narrow" w:eastAsia="Times New Roman" w:hAnsi="Aptos Narrow" w:cs="Times New Roman"/>
                <w:b w:val="0"/>
                <w:bCs w:val="0"/>
                <w:color w:val="000000"/>
              </w:rPr>
            </w:pPr>
            <w:proofErr w:type="spellStart"/>
            <w:r w:rsidRPr="00F5744F">
              <w:rPr>
                <w:rFonts w:ascii="Aptos Narrow" w:eastAsia="Times New Roman" w:hAnsi="Aptos Narrow" w:cs="Times New Roman"/>
                <w:b w:val="0"/>
                <w:bCs w:val="0"/>
                <w:color w:val="000000"/>
              </w:rPr>
              <w:t>NorthWestern</w:t>
            </w:r>
            <w:proofErr w:type="spellEnd"/>
            <w:r w:rsidRPr="00F5744F">
              <w:rPr>
                <w:rFonts w:ascii="Aptos Narrow" w:eastAsia="Times New Roman" w:hAnsi="Aptos Narrow" w:cs="Times New Roman"/>
                <w:b w:val="0"/>
                <w:bCs w:val="0"/>
                <w:color w:val="000000"/>
              </w:rPr>
              <w:t xml:space="preserve"> Corporation</w:t>
            </w:r>
          </w:p>
        </w:tc>
        <w:tc>
          <w:tcPr>
            <w:tcW w:w="669" w:type="dxa"/>
            <w:noWrap/>
            <w:hideMark/>
          </w:tcPr>
          <w:p w14:paraId="5097F93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7140FD4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541C3D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270305B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39FF2BE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0D44F2E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2927263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5DF0E7F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DFFB11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5E160AE2"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59359CE"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Public Utility District No. 2 of Grant County, Washington</w:t>
            </w:r>
          </w:p>
        </w:tc>
        <w:tc>
          <w:tcPr>
            <w:tcW w:w="669" w:type="dxa"/>
            <w:noWrap/>
            <w:hideMark/>
          </w:tcPr>
          <w:p w14:paraId="40E906D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46B8E34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3DF45EA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62E0258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4C0C855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1764E1A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432A01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7534379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6F45A69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r>
      <w:tr w:rsidR="00840B1A" w:rsidRPr="00840B1A" w14:paraId="2966011D"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EAC7A50" w14:textId="77777777" w:rsidR="00840B1A" w:rsidRPr="00F5744F" w:rsidRDefault="00840B1A" w:rsidP="00840B1A">
            <w:pPr>
              <w:rPr>
                <w:rFonts w:ascii="Aptos Narrow" w:eastAsia="Times New Roman" w:hAnsi="Aptos Narrow" w:cs="Times New Roman"/>
                <w:b w:val="0"/>
                <w:bCs w:val="0"/>
                <w:color w:val="000000"/>
              </w:rPr>
            </w:pPr>
            <w:proofErr w:type="spellStart"/>
            <w:r w:rsidRPr="00F5744F">
              <w:rPr>
                <w:rFonts w:ascii="Aptos Narrow" w:eastAsia="Times New Roman" w:hAnsi="Aptos Narrow" w:cs="Times New Roman"/>
                <w:b w:val="0"/>
                <w:bCs w:val="0"/>
                <w:color w:val="000000"/>
              </w:rPr>
              <w:t>PowerSouth</w:t>
            </w:r>
            <w:proofErr w:type="spellEnd"/>
            <w:r w:rsidRPr="00F5744F">
              <w:rPr>
                <w:rFonts w:ascii="Aptos Narrow" w:eastAsia="Times New Roman" w:hAnsi="Aptos Narrow" w:cs="Times New Roman"/>
                <w:b w:val="0"/>
                <w:bCs w:val="0"/>
                <w:color w:val="000000"/>
              </w:rPr>
              <w:t xml:space="preserve"> Energy Cooperative</w:t>
            </w:r>
          </w:p>
        </w:tc>
        <w:tc>
          <w:tcPr>
            <w:tcW w:w="669" w:type="dxa"/>
            <w:noWrap/>
            <w:hideMark/>
          </w:tcPr>
          <w:p w14:paraId="09DD0C5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002FC8D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44399CE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14522D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04572B1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1F1CCAD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2E9DE6B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7AA8705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2AEB8BF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515D772C"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94582B6"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Tennessee Valley Authority</w:t>
            </w:r>
          </w:p>
        </w:tc>
        <w:tc>
          <w:tcPr>
            <w:tcW w:w="669" w:type="dxa"/>
            <w:noWrap/>
            <w:hideMark/>
          </w:tcPr>
          <w:p w14:paraId="0AB45D6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447017B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1B4B163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A9FCEB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4FCA05B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14492E8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568A684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16CF3BF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273C5A3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r>
      <w:tr w:rsidR="00840B1A" w:rsidRPr="00840B1A" w14:paraId="56A7C72C"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9B1BD9C"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Tampa Electric Company</w:t>
            </w:r>
          </w:p>
        </w:tc>
        <w:tc>
          <w:tcPr>
            <w:tcW w:w="669" w:type="dxa"/>
            <w:noWrap/>
            <w:hideMark/>
          </w:tcPr>
          <w:p w14:paraId="02C3CF5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CF6AD0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0E59A12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1F87D59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391AEBA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8D077E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5093F4B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5720D61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1C3267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r>
      <w:tr w:rsidR="00840B1A" w:rsidRPr="00840B1A" w14:paraId="135F4F54"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7D90CD4E"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City of Tacoma, Department of Public Utilities, Light Division</w:t>
            </w:r>
          </w:p>
        </w:tc>
        <w:tc>
          <w:tcPr>
            <w:tcW w:w="669" w:type="dxa"/>
            <w:noWrap/>
            <w:hideMark/>
          </w:tcPr>
          <w:p w14:paraId="37211FE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0CD095A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909701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A1D44E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0FE9D82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916B993"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17D9E89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DBD88F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0B3BE22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5F312F98"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A731199"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Dominion Energy South Carolina, Inc.</w:t>
            </w:r>
          </w:p>
        </w:tc>
        <w:tc>
          <w:tcPr>
            <w:tcW w:w="669" w:type="dxa"/>
            <w:noWrap/>
            <w:hideMark/>
          </w:tcPr>
          <w:p w14:paraId="3B76EA6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C0A763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866C45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986668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418936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6DDC878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4048121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7EB0AA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F04334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029FA881"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7CFBC896"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Bonneville Power Administration</w:t>
            </w:r>
          </w:p>
        </w:tc>
        <w:tc>
          <w:tcPr>
            <w:tcW w:w="669" w:type="dxa"/>
            <w:noWrap/>
            <w:hideMark/>
          </w:tcPr>
          <w:p w14:paraId="624B11A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4F255B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0FCE4F7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8CADB3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948070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B414BF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30C08B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4FB7212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F7EE83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6CA7014F"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2100F84"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Electric Reliability Council of Texas, Inc.</w:t>
            </w:r>
          </w:p>
        </w:tc>
        <w:tc>
          <w:tcPr>
            <w:tcW w:w="669" w:type="dxa"/>
            <w:noWrap/>
            <w:hideMark/>
          </w:tcPr>
          <w:p w14:paraId="7D300CB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764266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8218B7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9EF41F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4AC2B1B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2A28A58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463030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57845B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42164D7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68A558DD"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5DEA122F"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PJM Interconnection, LLC</w:t>
            </w:r>
          </w:p>
        </w:tc>
        <w:tc>
          <w:tcPr>
            <w:tcW w:w="669" w:type="dxa"/>
            <w:noWrap/>
            <w:hideMark/>
          </w:tcPr>
          <w:p w14:paraId="77C870D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F9E955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61D325C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C5C5B7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E2CE15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ACD474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034610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047C565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10A066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068E1B44"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2A4F0B40"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Southern Company Services, Inc. - Trans</w:t>
            </w:r>
          </w:p>
        </w:tc>
        <w:tc>
          <w:tcPr>
            <w:tcW w:w="669" w:type="dxa"/>
            <w:noWrap/>
            <w:hideMark/>
          </w:tcPr>
          <w:p w14:paraId="356F5E7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0C88726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99A55A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0D3C46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37225EC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3C9A334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02AE463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2C7BB5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36BB86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1BD6119C"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14B8BD13"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Western Area Power Administration - Rocky Mountain Region</w:t>
            </w:r>
          </w:p>
        </w:tc>
        <w:tc>
          <w:tcPr>
            <w:tcW w:w="669" w:type="dxa"/>
            <w:noWrap/>
            <w:hideMark/>
          </w:tcPr>
          <w:p w14:paraId="0E3A2C5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8C2CB8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408064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2E525F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BEE1E3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90AFC1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5773C1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A49A19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5C9DAA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bl>
    <w:p w14:paraId="5AA4455C" w14:textId="140C3B3F" w:rsidR="006952FC" w:rsidRDefault="006952FC" w:rsidP="00F9434B"/>
    <w:p w14:paraId="344993D0" w14:textId="77777777" w:rsidR="006952FC" w:rsidRDefault="006952FC">
      <w:r>
        <w:br w:type="page"/>
      </w:r>
    </w:p>
    <w:p w14:paraId="11E77DE0" w14:textId="778B990B" w:rsidR="00630ADB" w:rsidRDefault="00630ADB" w:rsidP="00630ADB">
      <w:pPr>
        <w:pStyle w:val="Caption"/>
        <w:keepNext/>
      </w:pPr>
      <w:bookmarkStart w:id="10" w:name="_Ref183551621"/>
      <w:r>
        <w:lastRenderedPageBreak/>
        <w:t xml:space="preserve">Table </w:t>
      </w:r>
      <w:fldSimple w:instr=" SEQ Table \* ARABIC ">
        <w:r>
          <w:rPr>
            <w:noProof/>
          </w:rPr>
          <w:t>4</w:t>
        </w:r>
      </w:fldSimple>
      <w:bookmarkEnd w:id="10"/>
      <w:r>
        <w:t xml:space="preserve"> Import shares during high net load periods </w:t>
      </w:r>
      <w:r w:rsidR="00A679F1">
        <w:t xml:space="preserve">(&gt;=p95) </w:t>
      </w:r>
      <w:r>
        <w:t>compared to import shares during all periods by US balancing authority, 2018-2023.</w:t>
      </w:r>
    </w:p>
    <w:tbl>
      <w:tblPr>
        <w:tblStyle w:val="GridTable4-Accent1"/>
        <w:tblW w:w="11561" w:type="dxa"/>
        <w:tblLook w:val="04A0" w:firstRow="1" w:lastRow="0" w:firstColumn="1" w:lastColumn="0" w:noHBand="0" w:noVBand="1"/>
      </w:tblPr>
      <w:tblGrid>
        <w:gridCol w:w="6336"/>
        <w:gridCol w:w="2345"/>
        <w:gridCol w:w="90"/>
        <w:gridCol w:w="1530"/>
        <w:gridCol w:w="90"/>
        <w:gridCol w:w="1177"/>
      </w:tblGrid>
      <w:tr w:rsidR="00D6341A" w:rsidRPr="00D0785F" w14:paraId="5BFFFA70" w14:textId="77777777" w:rsidTr="001A669F">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24875B4F" w14:textId="77777777" w:rsidR="00D0785F" w:rsidRPr="00D0785F" w:rsidRDefault="00D0785F" w:rsidP="00D0785F">
            <w:pPr>
              <w:rPr>
                <w:rFonts w:ascii="Aptos Narrow" w:eastAsia="Times New Roman" w:hAnsi="Aptos Narrow" w:cs="Times New Roman"/>
                <w:b w:val="0"/>
                <w:bCs w:val="0"/>
                <w:color w:val="FFFFFF"/>
              </w:rPr>
            </w:pPr>
            <w:r w:rsidRPr="00D0785F">
              <w:rPr>
                <w:rFonts w:ascii="Aptos Narrow" w:eastAsia="Times New Roman" w:hAnsi="Aptos Narrow" w:cs="Times New Roman"/>
                <w:color w:val="FFFFFF"/>
              </w:rPr>
              <w:t>Name</w:t>
            </w:r>
          </w:p>
        </w:tc>
        <w:tc>
          <w:tcPr>
            <w:tcW w:w="2435" w:type="dxa"/>
            <w:gridSpan w:val="2"/>
            <w:noWrap/>
            <w:hideMark/>
          </w:tcPr>
          <w:p w14:paraId="77C6BA24" w14:textId="1BB8C342" w:rsidR="00D0785F" w:rsidRPr="00D0785F" w:rsidRDefault="00D0785F" w:rsidP="008F59E7">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D0785F">
              <w:rPr>
                <w:rFonts w:ascii="Aptos Narrow" w:eastAsia="Times New Roman" w:hAnsi="Aptos Narrow" w:cs="Times New Roman"/>
                <w:color w:val="FFFFFF"/>
              </w:rPr>
              <w:t xml:space="preserve">Average Import Share </w:t>
            </w:r>
            <w:r w:rsidR="006F42C9">
              <w:rPr>
                <w:rFonts w:ascii="Aptos Narrow" w:eastAsia="Times New Roman" w:hAnsi="Aptos Narrow" w:cs="Times New Roman"/>
                <w:color w:val="FFFFFF"/>
              </w:rPr>
              <w:t>with</w:t>
            </w:r>
            <w:r w:rsidRPr="00D0785F">
              <w:rPr>
                <w:rFonts w:ascii="Aptos Narrow" w:eastAsia="Times New Roman" w:hAnsi="Aptos Narrow" w:cs="Times New Roman"/>
                <w:color w:val="FFFFFF"/>
              </w:rPr>
              <w:t xml:space="preserve"> High Net Load</w:t>
            </w:r>
          </w:p>
        </w:tc>
        <w:tc>
          <w:tcPr>
            <w:tcW w:w="1620" w:type="dxa"/>
            <w:gridSpan w:val="2"/>
            <w:noWrap/>
            <w:hideMark/>
          </w:tcPr>
          <w:p w14:paraId="1DDFEC1E" w14:textId="77777777" w:rsidR="00D0785F" w:rsidRPr="00D0785F" w:rsidRDefault="00D0785F" w:rsidP="008F59E7">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D0785F">
              <w:rPr>
                <w:rFonts w:ascii="Aptos Narrow" w:eastAsia="Times New Roman" w:hAnsi="Aptos Narrow" w:cs="Times New Roman"/>
                <w:color w:val="FFFFFF"/>
              </w:rPr>
              <w:t>Average Import Share</w:t>
            </w:r>
          </w:p>
        </w:tc>
        <w:tc>
          <w:tcPr>
            <w:tcW w:w="1170" w:type="dxa"/>
            <w:noWrap/>
            <w:hideMark/>
          </w:tcPr>
          <w:p w14:paraId="32720A40" w14:textId="77777777" w:rsidR="00D0785F" w:rsidRPr="00D0785F" w:rsidRDefault="00D0785F" w:rsidP="008F59E7">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D0785F">
              <w:rPr>
                <w:rFonts w:ascii="Aptos Narrow" w:eastAsia="Times New Roman" w:hAnsi="Aptos Narrow" w:cs="Times New Roman"/>
                <w:color w:val="FFFFFF"/>
              </w:rPr>
              <w:t>Difference</w:t>
            </w:r>
          </w:p>
        </w:tc>
      </w:tr>
      <w:tr w:rsidR="00D6341A" w:rsidRPr="00D0785F" w14:paraId="5CA88914"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06377594"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PacifiCorp West</w:t>
            </w:r>
          </w:p>
        </w:tc>
        <w:tc>
          <w:tcPr>
            <w:tcW w:w="2345" w:type="dxa"/>
            <w:noWrap/>
            <w:hideMark/>
          </w:tcPr>
          <w:p w14:paraId="18A66EE8" w14:textId="60370C5C"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0.6</w:t>
            </w:r>
            <w:r w:rsidR="00E33DB5">
              <w:rPr>
                <w:rFonts w:ascii="Aptos Narrow" w:eastAsia="Times New Roman" w:hAnsi="Aptos Narrow" w:cs="Times New Roman"/>
                <w:color w:val="000000"/>
              </w:rPr>
              <w:t>0</w:t>
            </w:r>
          </w:p>
        </w:tc>
        <w:tc>
          <w:tcPr>
            <w:tcW w:w="1620" w:type="dxa"/>
            <w:gridSpan w:val="2"/>
            <w:noWrap/>
            <w:hideMark/>
          </w:tcPr>
          <w:p w14:paraId="43F98057"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0.46</w:t>
            </w:r>
          </w:p>
        </w:tc>
        <w:tc>
          <w:tcPr>
            <w:tcW w:w="1260" w:type="dxa"/>
            <w:gridSpan w:val="2"/>
            <w:noWrap/>
            <w:hideMark/>
          </w:tcPr>
          <w:p w14:paraId="55BD5D13"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0.14</w:t>
            </w:r>
          </w:p>
        </w:tc>
      </w:tr>
      <w:tr w:rsidR="00D6341A" w:rsidRPr="00D0785F" w14:paraId="10749154"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489FA2AD"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Associated Electric Cooperative, Inc.</w:t>
            </w:r>
          </w:p>
        </w:tc>
        <w:tc>
          <w:tcPr>
            <w:tcW w:w="2345" w:type="dxa"/>
            <w:noWrap/>
            <w:hideMark/>
          </w:tcPr>
          <w:p w14:paraId="2F309B98"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0.18</w:t>
            </w:r>
          </w:p>
        </w:tc>
        <w:tc>
          <w:tcPr>
            <w:tcW w:w="1620" w:type="dxa"/>
            <w:gridSpan w:val="2"/>
            <w:noWrap/>
            <w:hideMark/>
          </w:tcPr>
          <w:p w14:paraId="76CDDA67"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0.07</w:t>
            </w:r>
          </w:p>
        </w:tc>
        <w:tc>
          <w:tcPr>
            <w:tcW w:w="1260" w:type="dxa"/>
            <w:gridSpan w:val="2"/>
            <w:noWrap/>
            <w:hideMark/>
          </w:tcPr>
          <w:p w14:paraId="5240867F"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0.11</w:t>
            </w:r>
          </w:p>
        </w:tc>
      </w:tr>
      <w:tr w:rsidR="00D6341A" w:rsidRPr="00D0785F" w14:paraId="201D8BC5"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2F7F92A"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Idaho Power Company</w:t>
            </w:r>
          </w:p>
        </w:tc>
        <w:tc>
          <w:tcPr>
            <w:tcW w:w="2345" w:type="dxa"/>
            <w:noWrap/>
            <w:hideMark/>
          </w:tcPr>
          <w:p w14:paraId="5E1E9C31"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0.39</w:t>
            </w:r>
          </w:p>
        </w:tc>
        <w:tc>
          <w:tcPr>
            <w:tcW w:w="1620" w:type="dxa"/>
            <w:gridSpan w:val="2"/>
            <w:noWrap/>
            <w:hideMark/>
          </w:tcPr>
          <w:p w14:paraId="575AFF22"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0.29</w:t>
            </w:r>
          </w:p>
        </w:tc>
        <w:tc>
          <w:tcPr>
            <w:tcW w:w="1260" w:type="dxa"/>
            <w:gridSpan w:val="2"/>
            <w:noWrap/>
            <w:hideMark/>
          </w:tcPr>
          <w:p w14:paraId="58FA9471" w14:textId="071C91F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w:t>
            </w:r>
            <w:r w:rsidR="00631F54">
              <w:rPr>
                <w:rFonts w:ascii="Aptos Narrow" w:eastAsia="Times New Roman" w:hAnsi="Aptos Narrow" w:cs="Times New Roman"/>
                <w:color w:val="000000"/>
              </w:rPr>
              <w:t>0</w:t>
            </w:r>
          </w:p>
        </w:tc>
      </w:tr>
      <w:tr w:rsidR="00D6341A" w:rsidRPr="00D0785F" w14:paraId="352BC85C"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2887BA71"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Arizona Public Service Company</w:t>
            </w:r>
          </w:p>
        </w:tc>
        <w:tc>
          <w:tcPr>
            <w:tcW w:w="2345" w:type="dxa"/>
            <w:noWrap/>
            <w:hideMark/>
          </w:tcPr>
          <w:p w14:paraId="7A084B87"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0.33</w:t>
            </w:r>
          </w:p>
        </w:tc>
        <w:tc>
          <w:tcPr>
            <w:tcW w:w="1620" w:type="dxa"/>
            <w:gridSpan w:val="2"/>
            <w:noWrap/>
            <w:hideMark/>
          </w:tcPr>
          <w:p w14:paraId="2B466903"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0.23</w:t>
            </w:r>
          </w:p>
        </w:tc>
        <w:tc>
          <w:tcPr>
            <w:tcW w:w="1260" w:type="dxa"/>
            <w:gridSpan w:val="2"/>
            <w:noWrap/>
            <w:hideMark/>
          </w:tcPr>
          <w:p w14:paraId="47377261" w14:textId="7F941021"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w:t>
            </w:r>
            <w:r w:rsidR="00631F54">
              <w:rPr>
                <w:rFonts w:ascii="Aptos Narrow" w:eastAsia="Times New Roman" w:hAnsi="Aptos Narrow" w:cs="Times New Roman"/>
                <w:color w:val="000000"/>
              </w:rPr>
              <w:t>0</w:t>
            </w:r>
          </w:p>
        </w:tc>
      </w:tr>
      <w:tr w:rsidR="00D6341A" w:rsidRPr="00D0785F" w14:paraId="447DDD32"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BB23215"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Nevada Power Company</w:t>
            </w:r>
          </w:p>
        </w:tc>
        <w:tc>
          <w:tcPr>
            <w:tcW w:w="2345" w:type="dxa"/>
            <w:noWrap/>
            <w:hideMark/>
          </w:tcPr>
          <w:p w14:paraId="2E384677"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0.27</w:t>
            </w:r>
          </w:p>
        </w:tc>
        <w:tc>
          <w:tcPr>
            <w:tcW w:w="1620" w:type="dxa"/>
            <w:gridSpan w:val="2"/>
            <w:noWrap/>
            <w:hideMark/>
          </w:tcPr>
          <w:p w14:paraId="3FF4205E"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0.17</w:t>
            </w:r>
          </w:p>
        </w:tc>
        <w:tc>
          <w:tcPr>
            <w:tcW w:w="1260" w:type="dxa"/>
            <w:gridSpan w:val="2"/>
            <w:noWrap/>
            <w:hideMark/>
          </w:tcPr>
          <w:p w14:paraId="138A8786" w14:textId="6E3BCC61"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w:t>
            </w:r>
            <w:r w:rsidR="00631F54">
              <w:rPr>
                <w:rFonts w:ascii="Aptos Narrow" w:eastAsia="Times New Roman" w:hAnsi="Aptos Narrow" w:cs="Times New Roman"/>
                <w:color w:val="000000"/>
              </w:rPr>
              <w:t>0</w:t>
            </w:r>
          </w:p>
        </w:tc>
      </w:tr>
      <w:tr w:rsidR="00D6341A" w:rsidRPr="00D0785F" w14:paraId="3FA0D680"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2B9BA5E0"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Tucson Electric Power</w:t>
            </w:r>
          </w:p>
        </w:tc>
        <w:tc>
          <w:tcPr>
            <w:tcW w:w="2345" w:type="dxa"/>
            <w:noWrap/>
            <w:hideMark/>
          </w:tcPr>
          <w:p w14:paraId="0D374CA2"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0.36</w:t>
            </w:r>
          </w:p>
        </w:tc>
        <w:tc>
          <w:tcPr>
            <w:tcW w:w="1620" w:type="dxa"/>
            <w:gridSpan w:val="2"/>
            <w:noWrap/>
            <w:hideMark/>
          </w:tcPr>
          <w:p w14:paraId="1D83968E"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0.27</w:t>
            </w:r>
          </w:p>
        </w:tc>
        <w:tc>
          <w:tcPr>
            <w:tcW w:w="1260" w:type="dxa"/>
            <w:gridSpan w:val="2"/>
            <w:noWrap/>
            <w:hideMark/>
          </w:tcPr>
          <w:p w14:paraId="5C3385CC"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0.09</w:t>
            </w:r>
          </w:p>
        </w:tc>
      </w:tr>
      <w:tr w:rsidR="00D6341A" w:rsidRPr="00D0785F" w14:paraId="604E7510"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1851BBDA"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Avista Corporation</w:t>
            </w:r>
          </w:p>
        </w:tc>
        <w:tc>
          <w:tcPr>
            <w:tcW w:w="2345" w:type="dxa"/>
            <w:noWrap/>
            <w:hideMark/>
          </w:tcPr>
          <w:p w14:paraId="12A05B63"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0.45</w:t>
            </w:r>
          </w:p>
        </w:tc>
        <w:tc>
          <w:tcPr>
            <w:tcW w:w="1620" w:type="dxa"/>
            <w:gridSpan w:val="2"/>
            <w:noWrap/>
            <w:hideMark/>
          </w:tcPr>
          <w:p w14:paraId="2CDE997E"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0.37</w:t>
            </w:r>
          </w:p>
        </w:tc>
        <w:tc>
          <w:tcPr>
            <w:tcW w:w="1260" w:type="dxa"/>
            <w:gridSpan w:val="2"/>
            <w:noWrap/>
            <w:hideMark/>
          </w:tcPr>
          <w:p w14:paraId="72B336E9"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0.08</w:t>
            </w:r>
          </w:p>
        </w:tc>
      </w:tr>
      <w:tr w:rsidR="00D6341A" w:rsidRPr="00D0785F" w14:paraId="2C39D9F8"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3CEDE0B9"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Public Service Company of New Mexico</w:t>
            </w:r>
          </w:p>
        </w:tc>
        <w:tc>
          <w:tcPr>
            <w:tcW w:w="2345" w:type="dxa"/>
            <w:noWrap/>
            <w:hideMark/>
          </w:tcPr>
          <w:p w14:paraId="0CD2E0FE"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0.14</w:t>
            </w:r>
          </w:p>
        </w:tc>
        <w:tc>
          <w:tcPr>
            <w:tcW w:w="1620" w:type="dxa"/>
            <w:gridSpan w:val="2"/>
            <w:noWrap/>
            <w:hideMark/>
          </w:tcPr>
          <w:p w14:paraId="110E2434"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0.06</w:t>
            </w:r>
          </w:p>
        </w:tc>
        <w:tc>
          <w:tcPr>
            <w:tcW w:w="1260" w:type="dxa"/>
            <w:gridSpan w:val="2"/>
            <w:noWrap/>
            <w:hideMark/>
          </w:tcPr>
          <w:p w14:paraId="668F8DA5"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0.08</w:t>
            </w:r>
          </w:p>
        </w:tc>
      </w:tr>
      <w:tr w:rsidR="00D6341A" w:rsidRPr="00D0785F" w14:paraId="7F7F69B1"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426BCF91"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Seattle City Light</w:t>
            </w:r>
          </w:p>
        </w:tc>
        <w:tc>
          <w:tcPr>
            <w:tcW w:w="2345" w:type="dxa"/>
            <w:noWrap/>
            <w:hideMark/>
          </w:tcPr>
          <w:p w14:paraId="3D06CAAA"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0.49</w:t>
            </w:r>
          </w:p>
        </w:tc>
        <w:tc>
          <w:tcPr>
            <w:tcW w:w="1620" w:type="dxa"/>
            <w:gridSpan w:val="2"/>
            <w:noWrap/>
            <w:hideMark/>
          </w:tcPr>
          <w:p w14:paraId="48999F31"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0.41</w:t>
            </w:r>
          </w:p>
        </w:tc>
        <w:tc>
          <w:tcPr>
            <w:tcW w:w="1260" w:type="dxa"/>
            <w:gridSpan w:val="2"/>
            <w:noWrap/>
            <w:hideMark/>
          </w:tcPr>
          <w:p w14:paraId="487D06EC"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0.08</w:t>
            </w:r>
          </w:p>
        </w:tc>
      </w:tr>
      <w:tr w:rsidR="00D6341A" w:rsidRPr="00D0785F" w14:paraId="6313A226"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606A2F6"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Duke Energy Progress East</w:t>
            </w:r>
          </w:p>
        </w:tc>
        <w:tc>
          <w:tcPr>
            <w:tcW w:w="2345" w:type="dxa"/>
            <w:noWrap/>
            <w:hideMark/>
          </w:tcPr>
          <w:p w14:paraId="57A6945A"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0.08</w:t>
            </w:r>
          </w:p>
        </w:tc>
        <w:tc>
          <w:tcPr>
            <w:tcW w:w="1620" w:type="dxa"/>
            <w:gridSpan w:val="2"/>
            <w:noWrap/>
            <w:hideMark/>
          </w:tcPr>
          <w:p w14:paraId="2C962A7F"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c>
          <w:tcPr>
            <w:tcW w:w="1260" w:type="dxa"/>
            <w:gridSpan w:val="2"/>
            <w:noWrap/>
            <w:hideMark/>
          </w:tcPr>
          <w:p w14:paraId="17E90FE6"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r>
      <w:tr w:rsidR="00D6341A" w:rsidRPr="00D0785F" w14:paraId="016DFAA4"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03408378"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PacifiCorp East</w:t>
            </w:r>
          </w:p>
        </w:tc>
        <w:tc>
          <w:tcPr>
            <w:tcW w:w="2345" w:type="dxa"/>
            <w:noWrap/>
            <w:hideMark/>
          </w:tcPr>
          <w:p w14:paraId="5D004924"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0.09</w:t>
            </w:r>
          </w:p>
        </w:tc>
        <w:tc>
          <w:tcPr>
            <w:tcW w:w="1620" w:type="dxa"/>
            <w:gridSpan w:val="2"/>
            <w:noWrap/>
            <w:hideMark/>
          </w:tcPr>
          <w:p w14:paraId="6F02CCE9"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0.05</w:t>
            </w:r>
          </w:p>
        </w:tc>
        <w:tc>
          <w:tcPr>
            <w:tcW w:w="1260" w:type="dxa"/>
            <w:gridSpan w:val="2"/>
            <w:noWrap/>
            <w:hideMark/>
          </w:tcPr>
          <w:p w14:paraId="597BE787"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r>
      <w:tr w:rsidR="00D6341A" w:rsidRPr="00D0785F" w14:paraId="3E63A2D5"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73351BD3"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Tennessee Valley Authority</w:t>
            </w:r>
          </w:p>
        </w:tc>
        <w:tc>
          <w:tcPr>
            <w:tcW w:w="2345" w:type="dxa"/>
            <w:noWrap/>
            <w:hideMark/>
          </w:tcPr>
          <w:p w14:paraId="57795AF9"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0.06</w:t>
            </w:r>
          </w:p>
        </w:tc>
        <w:tc>
          <w:tcPr>
            <w:tcW w:w="1620" w:type="dxa"/>
            <w:gridSpan w:val="2"/>
            <w:noWrap/>
            <w:hideMark/>
          </w:tcPr>
          <w:p w14:paraId="65A3E86F"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c>
          <w:tcPr>
            <w:tcW w:w="1260" w:type="dxa"/>
            <w:gridSpan w:val="2"/>
            <w:noWrap/>
            <w:hideMark/>
          </w:tcPr>
          <w:p w14:paraId="5C18CC54"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r>
      <w:tr w:rsidR="00D6341A" w:rsidRPr="00D0785F" w14:paraId="13482130"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0F6AA9F0"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Public Service Company of Colorado</w:t>
            </w:r>
          </w:p>
        </w:tc>
        <w:tc>
          <w:tcPr>
            <w:tcW w:w="2345" w:type="dxa"/>
            <w:noWrap/>
            <w:hideMark/>
          </w:tcPr>
          <w:p w14:paraId="0A060687"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0.07</w:t>
            </w:r>
          </w:p>
        </w:tc>
        <w:tc>
          <w:tcPr>
            <w:tcW w:w="1620" w:type="dxa"/>
            <w:gridSpan w:val="2"/>
            <w:noWrap/>
            <w:hideMark/>
          </w:tcPr>
          <w:p w14:paraId="24350E36"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0.05</w:t>
            </w:r>
          </w:p>
        </w:tc>
        <w:tc>
          <w:tcPr>
            <w:tcW w:w="1260" w:type="dxa"/>
            <w:gridSpan w:val="2"/>
            <w:noWrap/>
            <w:hideMark/>
          </w:tcPr>
          <w:p w14:paraId="226EE4B1"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r>
      <w:tr w:rsidR="00D6341A" w:rsidRPr="00D0785F" w14:paraId="44E68B01"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12DDB78"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Electric Reliability Council of Texas, Inc.</w:t>
            </w:r>
          </w:p>
        </w:tc>
        <w:tc>
          <w:tcPr>
            <w:tcW w:w="2345" w:type="dxa"/>
            <w:noWrap/>
            <w:hideMark/>
          </w:tcPr>
          <w:p w14:paraId="67496ACD"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620" w:type="dxa"/>
            <w:gridSpan w:val="2"/>
            <w:noWrap/>
            <w:hideMark/>
          </w:tcPr>
          <w:p w14:paraId="06931D02" w14:textId="61F71411"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c>
          <w:tcPr>
            <w:tcW w:w="1260" w:type="dxa"/>
            <w:gridSpan w:val="2"/>
            <w:noWrap/>
            <w:hideMark/>
          </w:tcPr>
          <w:p w14:paraId="54CC83BB"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r>
      <w:tr w:rsidR="00D6341A" w:rsidRPr="00D0785F" w14:paraId="425FE30C"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B6F78AF"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Florida Power &amp; Light Co.</w:t>
            </w:r>
          </w:p>
        </w:tc>
        <w:tc>
          <w:tcPr>
            <w:tcW w:w="2345" w:type="dxa"/>
            <w:noWrap/>
            <w:hideMark/>
          </w:tcPr>
          <w:p w14:paraId="5E75AAD0"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620" w:type="dxa"/>
            <w:gridSpan w:val="2"/>
            <w:noWrap/>
            <w:hideMark/>
          </w:tcPr>
          <w:p w14:paraId="6326D436" w14:textId="7B4AD40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c>
          <w:tcPr>
            <w:tcW w:w="1260" w:type="dxa"/>
            <w:gridSpan w:val="2"/>
            <w:noWrap/>
            <w:hideMark/>
          </w:tcPr>
          <w:p w14:paraId="63A815F9"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r>
      <w:tr w:rsidR="00D6341A" w:rsidRPr="00D0785F" w14:paraId="262CA77D"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73962B48" w14:textId="77777777" w:rsidR="00D0785F" w:rsidRPr="00B90C63" w:rsidRDefault="00D0785F" w:rsidP="00D0785F">
            <w:pPr>
              <w:rPr>
                <w:rFonts w:ascii="Aptos Narrow" w:eastAsia="Times New Roman" w:hAnsi="Aptos Narrow" w:cs="Times New Roman"/>
                <w:b w:val="0"/>
                <w:bCs w:val="0"/>
                <w:color w:val="000000"/>
              </w:rPr>
            </w:pPr>
            <w:proofErr w:type="spellStart"/>
            <w:r w:rsidRPr="00B90C63">
              <w:rPr>
                <w:rFonts w:ascii="Aptos Narrow" w:eastAsia="Times New Roman" w:hAnsi="Aptos Narrow" w:cs="Times New Roman"/>
                <w:b w:val="0"/>
                <w:bCs w:val="0"/>
                <w:color w:val="000000"/>
              </w:rPr>
              <w:t>NorthWestern</w:t>
            </w:r>
            <w:proofErr w:type="spellEnd"/>
            <w:r w:rsidRPr="00B90C63">
              <w:rPr>
                <w:rFonts w:ascii="Aptos Narrow" w:eastAsia="Times New Roman" w:hAnsi="Aptos Narrow" w:cs="Times New Roman"/>
                <w:b w:val="0"/>
                <w:bCs w:val="0"/>
                <w:color w:val="000000"/>
              </w:rPr>
              <w:t xml:space="preserve"> Corporation</w:t>
            </w:r>
          </w:p>
        </w:tc>
        <w:tc>
          <w:tcPr>
            <w:tcW w:w="2345" w:type="dxa"/>
            <w:noWrap/>
            <w:hideMark/>
          </w:tcPr>
          <w:p w14:paraId="630766E2"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c>
          <w:tcPr>
            <w:tcW w:w="1620" w:type="dxa"/>
            <w:gridSpan w:val="2"/>
            <w:noWrap/>
            <w:hideMark/>
          </w:tcPr>
          <w:p w14:paraId="2E02E483"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260" w:type="dxa"/>
            <w:gridSpan w:val="2"/>
            <w:noWrap/>
            <w:hideMark/>
          </w:tcPr>
          <w:p w14:paraId="40054B75"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r>
      <w:tr w:rsidR="00D6341A" w:rsidRPr="00D0785F" w14:paraId="2DBB61CE"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1A22340A"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El Paso Electric Company</w:t>
            </w:r>
          </w:p>
        </w:tc>
        <w:tc>
          <w:tcPr>
            <w:tcW w:w="2345" w:type="dxa"/>
            <w:noWrap/>
            <w:hideMark/>
          </w:tcPr>
          <w:p w14:paraId="2D331E01"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0.41</w:t>
            </w:r>
          </w:p>
        </w:tc>
        <w:tc>
          <w:tcPr>
            <w:tcW w:w="1620" w:type="dxa"/>
            <w:gridSpan w:val="2"/>
            <w:noWrap/>
            <w:hideMark/>
          </w:tcPr>
          <w:p w14:paraId="1D12D2F3"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0.4</w:t>
            </w:r>
          </w:p>
        </w:tc>
        <w:tc>
          <w:tcPr>
            <w:tcW w:w="1260" w:type="dxa"/>
            <w:gridSpan w:val="2"/>
            <w:noWrap/>
            <w:hideMark/>
          </w:tcPr>
          <w:p w14:paraId="76336BCC"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r>
      <w:tr w:rsidR="00D6341A" w:rsidRPr="00D0785F" w14:paraId="24CA8270"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08A3D682"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Balancing Authority of Northern California</w:t>
            </w:r>
          </w:p>
        </w:tc>
        <w:tc>
          <w:tcPr>
            <w:tcW w:w="2345" w:type="dxa"/>
            <w:noWrap/>
            <w:hideMark/>
          </w:tcPr>
          <w:p w14:paraId="1068F553"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0.25</w:t>
            </w:r>
          </w:p>
        </w:tc>
        <w:tc>
          <w:tcPr>
            <w:tcW w:w="1620" w:type="dxa"/>
            <w:gridSpan w:val="2"/>
            <w:noWrap/>
            <w:hideMark/>
          </w:tcPr>
          <w:p w14:paraId="25981831"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0.25</w:t>
            </w:r>
          </w:p>
        </w:tc>
        <w:tc>
          <w:tcPr>
            <w:tcW w:w="1260" w:type="dxa"/>
            <w:gridSpan w:val="2"/>
            <w:noWrap/>
            <w:hideMark/>
          </w:tcPr>
          <w:p w14:paraId="56E4DBA1" w14:textId="28AB28C1"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r>
      <w:tr w:rsidR="00D6341A" w:rsidRPr="00D0785F" w14:paraId="500EBC61"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07FAB917"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Bonneville Power Administration</w:t>
            </w:r>
          </w:p>
        </w:tc>
        <w:tc>
          <w:tcPr>
            <w:tcW w:w="2345" w:type="dxa"/>
            <w:noWrap/>
            <w:hideMark/>
          </w:tcPr>
          <w:p w14:paraId="389B55E3" w14:textId="5CB2902B"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c>
          <w:tcPr>
            <w:tcW w:w="1620" w:type="dxa"/>
            <w:gridSpan w:val="2"/>
            <w:noWrap/>
            <w:hideMark/>
          </w:tcPr>
          <w:p w14:paraId="3A3AB796" w14:textId="39D96ABF"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c>
          <w:tcPr>
            <w:tcW w:w="1260" w:type="dxa"/>
            <w:gridSpan w:val="2"/>
            <w:noWrap/>
            <w:hideMark/>
          </w:tcPr>
          <w:p w14:paraId="79A1D253" w14:textId="74D33F1C"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r>
      <w:tr w:rsidR="00D6341A" w:rsidRPr="00D0785F" w14:paraId="40BE238A"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05DA363"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Duke Energy Carolinas</w:t>
            </w:r>
          </w:p>
        </w:tc>
        <w:tc>
          <w:tcPr>
            <w:tcW w:w="2345" w:type="dxa"/>
            <w:noWrap/>
            <w:hideMark/>
          </w:tcPr>
          <w:p w14:paraId="0351F81E"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620" w:type="dxa"/>
            <w:gridSpan w:val="2"/>
            <w:noWrap/>
            <w:hideMark/>
          </w:tcPr>
          <w:p w14:paraId="7AA840A1"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260" w:type="dxa"/>
            <w:gridSpan w:val="2"/>
            <w:noWrap/>
            <w:hideMark/>
          </w:tcPr>
          <w:p w14:paraId="23C4675D" w14:textId="23671C4E"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r>
      <w:tr w:rsidR="00D6341A" w:rsidRPr="00D0785F" w14:paraId="65C49676"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9664D48"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Midcontinent Independent System Operator, Inc.</w:t>
            </w:r>
          </w:p>
        </w:tc>
        <w:tc>
          <w:tcPr>
            <w:tcW w:w="2345" w:type="dxa"/>
            <w:noWrap/>
            <w:hideMark/>
          </w:tcPr>
          <w:p w14:paraId="44AFAF6D"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0.06</w:t>
            </w:r>
          </w:p>
        </w:tc>
        <w:tc>
          <w:tcPr>
            <w:tcW w:w="1620" w:type="dxa"/>
            <w:gridSpan w:val="2"/>
            <w:noWrap/>
            <w:hideMark/>
          </w:tcPr>
          <w:p w14:paraId="22E9D47F"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0.06</w:t>
            </w:r>
          </w:p>
        </w:tc>
        <w:tc>
          <w:tcPr>
            <w:tcW w:w="1260" w:type="dxa"/>
            <w:gridSpan w:val="2"/>
            <w:noWrap/>
            <w:hideMark/>
          </w:tcPr>
          <w:p w14:paraId="7F89D530" w14:textId="3EEAB0FC"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r>
      <w:tr w:rsidR="00D6341A" w:rsidRPr="00D0785F" w14:paraId="392409BF"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41CD08CE"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PJM Interconnection, LLC</w:t>
            </w:r>
          </w:p>
        </w:tc>
        <w:tc>
          <w:tcPr>
            <w:tcW w:w="2345" w:type="dxa"/>
            <w:noWrap/>
            <w:hideMark/>
          </w:tcPr>
          <w:p w14:paraId="71D79BCD" w14:textId="1946787F"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c>
          <w:tcPr>
            <w:tcW w:w="1620" w:type="dxa"/>
            <w:gridSpan w:val="2"/>
            <w:noWrap/>
            <w:hideMark/>
          </w:tcPr>
          <w:p w14:paraId="778106EC" w14:textId="57ED8AAC" w:rsidR="00D0785F" w:rsidRPr="00D0785F" w:rsidRDefault="00884B55"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Pr>
                <w:rFonts w:ascii="Aptos Narrow" w:eastAsia="Times New Roman" w:hAnsi="Aptos Narrow" w:cs="Times New Roman"/>
                <w:color w:val="000000"/>
              </w:rPr>
              <w:t>0.0</w:t>
            </w:r>
            <w:r w:rsidR="00D0785F" w:rsidRPr="00D0785F">
              <w:rPr>
                <w:rFonts w:ascii="Aptos Narrow" w:eastAsia="Times New Roman" w:hAnsi="Aptos Narrow" w:cs="Times New Roman"/>
                <w:color w:val="000000"/>
              </w:rPr>
              <w:t>0</w:t>
            </w:r>
          </w:p>
        </w:tc>
        <w:tc>
          <w:tcPr>
            <w:tcW w:w="1260" w:type="dxa"/>
            <w:gridSpan w:val="2"/>
            <w:noWrap/>
            <w:hideMark/>
          </w:tcPr>
          <w:p w14:paraId="2BF38AE4" w14:textId="759FBA73" w:rsidR="00D0785F" w:rsidRPr="00D0785F" w:rsidRDefault="00884B55"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Pr>
                <w:rFonts w:ascii="Aptos Narrow" w:eastAsia="Times New Roman" w:hAnsi="Aptos Narrow" w:cs="Times New Roman"/>
                <w:color w:val="000000"/>
              </w:rPr>
              <w:t>0.0</w:t>
            </w:r>
            <w:r w:rsidR="00D0785F" w:rsidRPr="00D0785F">
              <w:rPr>
                <w:rFonts w:ascii="Aptos Narrow" w:eastAsia="Times New Roman" w:hAnsi="Aptos Narrow" w:cs="Times New Roman"/>
                <w:color w:val="000000"/>
              </w:rPr>
              <w:t>0</w:t>
            </w:r>
          </w:p>
        </w:tc>
      </w:tr>
      <w:tr w:rsidR="00884B55" w:rsidRPr="00D0785F" w14:paraId="5942736D"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3696B1B7"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Southern Company Services, Inc. - Trans</w:t>
            </w:r>
          </w:p>
        </w:tc>
        <w:tc>
          <w:tcPr>
            <w:tcW w:w="2345" w:type="dxa"/>
            <w:noWrap/>
            <w:hideMark/>
          </w:tcPr>
          <w:p w14:paraId="4E2C7E57"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620" w:type="dxa"/>
            <w:gridSpan w:val="2"/>
            <w:noWrap/>
            <w:hideMark/>
          </w:tcPr>
          <w:p w14:paraId="1BF7A6AD"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260" w:type="dxa"/>
            <w:gridSpan w:val="2"/>
            <w:noWrap/>
            <w:hideMark/>
          </w:tcPr>
          <w:p w14:paraId="06C1F0E0" w14:textId="73DFDF86"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Pr>
                <w:rFonts w:ascii="Aptos Narrow" w:eastAsia="Times New Roman" w:hAnsi="Aptos Narrow" w:cs="Times New Roman"/>
                <w:color w:val="000000"/>
              </w:rPr>
              <w:t>.00</w:t>
            </w:r>
          </w:p>
        </w:tc>
      </w:tr>
      <w:tr w:rsidR="00884B55" w:rsidRPr="00D0785F" w14:paraId="3447439B"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5530353"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Salt River Project Agricultural Improvement and Power District</w:t>
            </w:r>
          </w:p>
        </w:tc>
        <w:tc>
          <w:tcPr>
            <w:tcW w:w="2345" w:type="dxa"/>
            <w:noWrap/>
            <w:hideMark/>
          </w:tcPr>
          <w:p w14:paraId="3CB3621E" w14:textId="7688550A"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Pr>
                <w:rFonts w:ascii="Aptos Narrow" w:eastAsia="Times New Roman" w:hAnsi="Aptos Narrow" w:cs="Times New Roman"/>
                <w:color w:val="000000"/>
              </w:rPr>
              <w:t>.00</w:t>
            </w:r>
          </w:p>
        </w:tc>
        <w:tc>
          <w:tcPr>
            <w:tcW w:w="1620" w:type="dxa"/>
            <w:gridSpan w:val="2"/>
            <w:noWrap/>
            <w:hideMark/>
          </w:tcPr>
          <w:p w14:paraId="48C7E001" w14:textId="39618021"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Pr>
                <w:rFonts w:ascii="Aptos Narrow" w:eastAsia="Times New Roman" w:hAnsi="Aptos Narrow" w:cs="Times New Roman"/>
                <w:color w:val="000000"/>
              </w:rPr>
              <w:t>0.0</w:t>
            </w:r>
            <w:r w:rsidRPr="00D0785F">
              <w:rPr>
                <w:rFonts w:ascii="Aptos Narrow" w:eastAsia="Times New Roman" w:hAnsi="Aptos Narrow" w:cs="Times New Roman"/>
                <w:color w:val="000000"/>
              </w:rPr>
              <w:t>0</w:t>
            </w:r>
          </w:p>
        </w:tc>
        <w:tc>
          <w:tcPr>
            <w:tcW w:w="1260" w:type="dxa"/>
            <w:gridSpan w:val="2"/>
            <w:noWrap/>
            <w:hideMark/>
          </w:tcPr>
          <w:p w14:paraId="36E96EAA" w14:textId="1A3DDEF2"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Pr>
                <w:rFonts w:ascii="Aptos Narrow" w:eastAsia="Times New Roman" w:hAnsi="Aptos Narrow" w:cs="Times New Roman"/>
                <w:color w:val="000000"/>
              </w:rPr>
              <w:t>0.0</w:t>
            </w:r>
            <w:r w:rsidRPr="00D0785F">
              <w:rPr>
                <w:rFonts w:ascii="Aptos Narrow" w:eastAsia="Times New Roman" w:hAnsi="Aptos Narrow" w:cs="Times New Roman"/>
                <w:color w:val="000000"/>
              </w:rPr>
              <w:t>0</w:t>
            </w:r>
          </w:p>
        </w:tc>
      </w:tr>
      <w:tr w:rsidR="00884B55" w:rsidRPr="00D0785F" w14:paraId="5C708B22"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2CF94E9A"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Southwest Power Pool</w:t>
            </w:r>
          </w:p>
        </w:tc>
        <w:tc>
          <w:tcPr>
            <w:tcW w:w="2345" w:type="dxa"/>
            <w:noWrap/>
            <w:hideMark/>
          </w:tcPr>
          <w:p w14:paraId="734933BF"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620" w:type="dxa"/>
            <w:gridSpan w:val="2"/>
            <w:noWrap/>
            <w:hideMark/>
          </w:tcPr>
          <w:p w14:paraId="5A53235E"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260" w:type="dxa"/>
            <w:gridSpan w:val="2"/>
            <w:noWrap/>
            <w:hideMark/>
          </w:tcPr>
          <w:p w14:paraId="4280A617" w14:textId="5BE42E93"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Pr>
                <w:rFonts w:ascii="Aptos Narrow" w:eastAsia="Times New Roman" w:hAnsi="Aptos Narrow" w:cs="Times New Roman"/>
                <w:color w:val="000000"/>
              </w:rPr>
              <w:t>.00</w:t>
            </w:r>
          </w:p>
        </w:tc>
      </w:tr>
      <w:tr w:rsidR="00884B55" w:rsidRPr="00D0785F" w14:paraId="4A8BC50B"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4967BD4"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Tampa Electric Company</w:t>
            </w:r>
          </w:p>
        </w:tc>
        <w:tc>
          <w:tcPr>
            <w:tcW w:w="2345" w:type="dxa"/>
            <w:noWrap/>
            <w:hideMark/>
          </w:tcPr>
          <w:p w14:paraId="7C19641B"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c>
          <w:tcPr>
            <w:tcW w:w="1620" w:type="dxa"/>
            <w:gridSpan w:val="2"/>
            <w:noWrap/>
            <w:hideMark/>
          </w:tcPr>
          <w:p w14:paraId="752255D1"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c>
          <w:tcPr>
            <w:tcW w:w="1260" w:type="dxa"/>
            <w:gridSpan w:val="2"/>
            <w:noWrap/>
            <w:hideMark/>
          </w:tcPr>
          <w:p w14:paraId="4143366D" w14:textId="13290CFB"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Pr>
                <w:rFonts w:ascii="Aptos Narrow" w:eastAsia="Times New Roman" w:hAnsi="Aptos Narrow" w:cs="Times New Roman"/>
                <w:color w:val="000000"/>
              </w:rPr>
              <w:t>.00</w:t>
            </w:r>
          </w:p>
        </w:tc>
      </w:tr>
      <w:tr w:rsidR="00884B55" w:rsidRPr="00D0785F" w14:paraId="5F508A0F"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F1321D7"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Western Area Power Administration - Rocky Mountain Region</w:t>
            </w:r>
          </w:p>
        </w:tc>
        <w:tc>
          <w:tcPr>
            <w:tcW w:w="2345" w:type="dxa"/>
            <w:noWrap/>
            <w:hideMark/>
          </w:tcPr>
          <w:p w14:paraId="4C06360F" w14:textId="12DED918"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Pr>
                <w:rFonts w:ascii="Aptos Narrow" w:eastAsia="Times New Roman" w:hAnsi="Aptos Narrow" w:cs="Times New Roman"/>
                <w:color w:val="000000"/>
              </w:rPr>
              <w:t>.00</w:t>
            </w:r>
          </w:p>
        </w:tc>
        <w:tc>
          <w:tcPr>
            <w:tcW w:w="1620" w:type="dxa"/>
            <w:gridSpan w:val="2"/>
            <w:noWrap/>
            <w:hideMark/>
          </w:tcPr>
          <w:p w14:paraId="2554A828" w14:textId="1A91E009"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Pr>
                <w:rFonts w:ascii="Aptos Narrow" w:eastAsia="Times New Roman" w:hAnsi="Aptos Narrow" w:cs="Times New Roman"/>
                <w:color w:val="000000"/>
              </w:rPr>
              <w:t>0.0</w:t>
            </w:r>
            <w:r w:rsidRPr="00D0785F">
              <w:rPr>
                <w:rFonts w:ascii="Aptos Narrow" w:eastAsia="Times New Roman" w:hAnsi="Aptos Narrow" w:cs="Times New Roman"/>
                <w:color w:val="000000"/>
              </w:rPr>
              <w:t>0</w:t>
            </w:r>
          </w:p>
        </w:tc>
        <w:tc>
          <w:tcPr>
            <w:tcW w:w="1260" w:type="dxa"/>
            <w:gridSpan w:val="2"/>
            <w:noWrap/>
            <w:hideMark/>
          </w:tcPr>
          <w:p w14:paraId="3BC3BDAE" w14:textId="35FCF5A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Pr>
                <w:rFonts w:ascii="Aptos Narrow" w:eastAsia="Times New Roman" w:hAnsi="Aptos Narrow" w:cs="Times New Roman"/>
                <w:color w:val="000000"/>
              </w:rPr>
              <w:t>0.0</w:t>
            </w:r>
            <w:r w:rsidRPr="00D0785F">
              <w:rPr>
                <w:rFonts w:ascii="Aptos Narrow" w:eastAsia="Times New Roman" w:hAnsi="Aptos Narrow" w:cs="Times New Roman"/>
                <w:color w:val="000000"/>
              </w:rPr>
              <w:t>0</w:t>
            </w:r>
          </w:p>
        </w:tc>
      </w:tr>
      <w:tr w:rsidR="00884B55" w:rsidRPr="00D0785F" w14:paraId="53149A02"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2FCD5717"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Louisville Gas and Electric Company and Kentucky Utilities Company</w:t>
            </w:r>
          </w:p>
        </w:tc>
        <w:tc>
          <w:tcPr>
            <w:tcW w:w="2345" w:type="dxa"/>
            <w:noWrap/>
            <w:hideMark/>
          </w:tcPr>
          <w:p w14:paraId="7392C792"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0.05</w:t>
            </w:r>
          </w:p>
        </w:tc>
        <w:tc>
          <w:tcPr>
            <w:tcW w:w="1620" w:type="dxa"/>
            <w:gridSpan w:val="2"/>
            <w:noWrap/>
            <w:hideMark/>
          </w:tcPr>
          <w:p w14:paraId="60FF3169"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0.06</w:t>
            </w:r>
          </w:p>
        </w:tc>
        <w:tc>
          <w:tcPr>
            <w:tcW w:w="1260" w:type="dxa"/>
            <w:gridSpan w:val="2"/>
            <w:noWrap/>
            <w:hideMark/>
          </w:tcPr>
          <w:p w14:paraId="39176F46"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r>
      <w:tr w:rsidR="00884B55" w:rsidRPr="00D0785F" w14:paraId="55BF8C2F"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86526CD"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lastRenderedPageBreak/>
              <w:t>Dominion Energy South Carolina, Inc.</w:t>
            </w:r>
          </w:p>
        </w:tc>
        <w:tc>
          <w:tcPr>
            <w:tcW w:w="2345" w:type="dxa"/>
            <w:noWrap/>
            <w:hideMark/>
          </w:tcPr>
          <w:p w14:paraId="3B8E6BC7" w14:textId="7058DA0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C231D6">
              <w:rPr>
                <w:rFonts w:ascii="Aptos Narrow" w:eastAsia="Times New Roman" w:hAnsi="Aptos Narrow" w:cs="Times New Roman"/>
                <w:color w:val="000000"/>
              </w:rPr>
              <w:t>.00</w:t>
            </w:r>
          </w:p>
        </w:tc>
        <w:tc>
          <w:tcPr>
            <w:tcW w:w="1620" w:type="dxa"/>
            <w:gridSpan w:val="2"/>
            <w:noWrap/>
            <w:hideMark/>
          </w:tcPr>
          <w:p w14:paraId="61C97AF2"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260" w:type="dxa"/>
            <w:gridSpan w:val="2"/>
            <w:noWrap/>
            <w:hideMark/>
          </w:tcPr>
          <w:p w14:paraId="097E84F6"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r>
      <w:tr w:rsidR="00884B55" w:rsidRPr="00D0785F" w14:paraId="3F2E2DCE"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3071D778"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Florida Municipal Power Pool</w:t>
            </w:r>
          </w:p>
        </w:tc>
        <w:tc>
          <w:tcPr>
            <w:tcW w:w="2345" w:type="dxa"/>
            <w:noWrap/>
            <w:hideMark/>
          </w:tcPr>
          <w:p w14:paraId="1A63DBC1"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0.03</w:t>
            </w:r>
          </w:p>
        </w:tc>
        <w:tc>
          <w:tcPr>
            <w:tcW w:w="1620" w:type="dxa"/>
            <w:gridSpan w:val="2"/>
            <w:noWrap/>
            <w:hideMark/>
          </w:tcPr>
          <w:p w14:paraId="03F247B2"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c>
          <w:tcPr>
            <w:tcW w:w="1260" w:type="dxa"/>
            <w:gridSpan w:val="2"/>
            <w:noWrap/>
            <w:hideMark/>
          </w:tcPr>
          <w:p w14:paraId="00B51D35"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r>
      <w:tr w:rsidR="00884B55" w:rsidRPr="00D0785F" w14:paraId="15CDD10F"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9A0107A"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Duke Energy Florida, Inc.</w:t>
            </w:r>
          </w:p>
        </w:tc>
        <w:tc>
          <w:tcPr>
            <w:tcW w:w="2345" w:type="dxa"/>
            <w:noWrap/>
            <w:hideMark/>
          </w:tcPr>
          <w:p w14:paraId="3CA4F90E"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0.22</w:t>
            </w:r>
          </w:p>
        </w:tc>
        <w:tc>
          <w:tcPr>
            <w:tcW w:w="1620" w:type="dxa"/>
            <w:gridSpan w:val="2"/>
            <w:noWrap/>
            <w:hideMark/>
          </w:tcPr>
          <w:p w14:paraId="1FF354AC"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0.24</w:t>
            </w:r>
          </w:p>
        </w:tc>
        <w:tc>
          <w:tcPr>
            <w:tcW w:w="1260" w:type="dxa"/>
            <w:gridSpan w:val="2"/>
            <w:noWrap/>
            <w:hideMark/>
          </w:tcPr>
          <w:p w14:paraId="55040201"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r>
      <w:tr w:rsidR="00884B55" w:rsidRPr="00D0785F" w14:paraId="26BD3D9D"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13D9E71F"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Public Utility District No. 2 of Grant County, Washington</w:t>
            </w:r>
          </w:p>
        </w:tc>
        <w:tc>
          <w:tcPr>
            <w:tcW w:w="2345" w:type="dxa"/>
            <w:noWrap/>
            <w:hideMark/>
          </w:tcPr>
          <w:p w14:paraId="29844C5B"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620" w:type="dxa"/>
            <w:gridSpan w:val="2"/>
            <w:noWrap/>
            <w:hideMark/>
          </w:tcPr>
          <w:p w14:paraId="53720C75"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0.03</w:t>
            </w:r>
          </w:p>
        </w:tc>
        <w:tc>
          <w:tcPr>
            <w:tcW w:w="1260" w:type="dxa"/>
            <w:gridSpan w:val="2"/>
            <w:noWrap/>
            <w:hideMark/>
          </w:tcPr>
          <w:p w14:paraId="5954D6B2"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r>
      <w:tr w:rsidR="00884B55" w:rsidRPr="00D0785F" w14:paraId="04D1110B"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44F1666F"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Duke Energy Progress West</w:t>
            </w:r>
          </w:p>
        </w:tc>
        <w:tc>
          <w:tcPr>
            <w:tcW w:w="2345" w:type="dxa"/>
            <w:noWrap/>
            <w:hideMark/>
          </w:tcPr>
          <w:p w14:paraId="7BF38537"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0.31</w:t>
            </w:r>
          </w:p>
        </w:tc>
        <w:tc>
          <w:tcPr>
            <w:tcW w:w="1620" w:type="dxa"/>
            <w:gridSpan w:val="2"/>
            <w:noWrap/>
            <w:hideMark/>
          </w:tcPr>
          <w:p w14:paraId="484A8777"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0.33</w:t>
            </w:r>
          </w:p>
        </w:tc>
        <w:tc>
          <w:tcPr>
            <w:tcW w:w="1260" w:type="dxa"/>
            <w:gridSpan w:val="2"/>
            <w:noWrap/>
            <w:hideMark/>
          </w:tcPr>
          <w:p w14:paraId="6E3BBD10"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r>
      <w:tr w:rsidR="00884B55" w:rsidRPr="00D0785F" w14:paraId="42B088EB"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3877AC8"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Portland General Electric Company</w:t>
            </w:r>
          </w:p>
        </w:tc>
        <w:tc>
          <w:tcPr>
            <w:tcW w:w="2345" w:type="dxa"/>
            <w:noWrap/>
            <w:hideMark/>
          </w:tcPr>
          <w:p w14:paraId="5F7E35CD"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0.69</w:t>
            </w:r>
          </w:p>
        </w:tc>
        <w:tc>
          <w:tcPr>
            <w:tcW w:w="1620" w:type="dxa"/>
            <w:gridSpan w:val="2"/>
            <w:noWrap/>
            <w:hideMark/>
          </w:tcPr>
          <w:p w14:paraId="07E2EFF0"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0.71</w:t>
            </w:r>
          </w:p>
        </w:tc>
        <w:tc>
          <w:tcPr>
            <w:tcW w:w="1260" w:type="dxa"/>
            <w:gridSpan w:val="2"/>
            <w:noWrap/>
            <w:hideMark/>
          </w:tcPr>
          <w:p w14:paraId="281B8455"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r>
      <w:tr w:rsidR="00884B55" w:rsidRPr="00D0785F" w14:paraId="78253B97"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098189A0"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New York Independent System Operator</w:t>
            </w:r>
          </w:p>
        </w:tc>
        <w:tc>
          <w:tcPr>
            <w:tcW w:w="2345" w:type="dxa"/>
            <w:noWrap/>
            <w:hideMark/>
          </w:tcPr>
          <w:p w14:paraId="498961F7"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0.14</w:t>
            </w:r>
          </w:p>
        </w:tc>
        <w:tc>
          <w:tcPr>
            <w:tcW w:w="1620" w:type="dxa"/>
            <w:gridSpan w:val="2"/>
            <w:noWrap/>
            <w:hideMark/>
          </w:tcPr>
          <w:p w14:paraId="36802C54"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0.17</w:t>
            </w:r>
          </w:p>
        </w:tc>
        <w:tc>
          <w:tcPr>
            <w:tcW w:w="1260" w:type="dxa"/>
            <w:gridSpan w:val="2"/>
            <w:noWrap/>
            <w:hideMark/>
          </w:tcPr>
          <w:p w14:paraId="6E31660F"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-0.03</w:t>
            </w:r>
          </w:p>
        </w:tc>
      </w:tr>
      <w:tr w:rsidR="00884B55" w:rsidRPr="00D0785F" w14:paraId="13B67F1A"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476C10A8"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JEA</w:t>
            </w:r>
          </w:p>
        </w:tc>
        <w:tc>
          <w:tcPr>
            <w:tcW w:w="2345" w:type="dxa"/>
            <w:noWrap/>
            <w:hideMark/>
          </w:tcPr>
          <w:p w14:paraId="17C7E02A"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0.24</w:t>
            </w:r>
          </w:p>
        </w:tc>
        <w:tc>
          <w:tcPr>
            <w:tcW w:w="1620" w:type="dxa"/>
            <w:gridSpan w:val="2"/>
            <w:noWrap/>
            <w:hideMark/>
          </w:tcPr>
          <w:p w14:paraId="69EF6AA5"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0.27</w:t>
            </w:r>
          </w:p>
        </w:tc>
        <w:tc>
          <w:tcPr>
            <w:tcW w:w="1260" w:type="dxa"/>
            <w:gridSpan w:val="2"/>
            <w:noWrap/>
            <w:hideMark/>
          </w:tcPr>
          <w:p w14:paraId="20DB2F68"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-0.03</w:t>
            </w:r>
          </w:p>
        </w:tc>
      </w:tr>
      <w:tr w:rsidR="00884B55" w:rsidRPr="00D0785F" w14:paraId="018B5D9B"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B36C583"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California Independent System Operator</w:t>
            </w:r>
          </w:p>
        </w:tc>
        <w:tc>
          <w:tcPr>
            <w:tcW w:w="2345" w:type="dxa"/>
            <w:noWrap/>
            <w:hideMark/>
          </w:tcPr>
          <w:p w14:paraId="5F440DDA"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0.19</w:t>
            </w:r>
          </w:p>
        </w:tc>
        <w:tc>
          <w:tcPr>
            <w:tcW w:w="1620" w:type="dxa"/>
            <w:gridSpan w:val="2"/>
            <w:noWrap/>
            <w:hideMark/>
          </w:tcPr>
          <w:p w14:paraId="50D4472D"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0.23</w:t>
            </w:r>
          </w:p>
        </w:tc>
        <w:tc>
          <w:tcPr>
            <w:tcW w:w="1260" w:type="dxa"/>
            <w:gridSpan w:val="2"/>
            <w:noWrap/>
            <w:hideMark/>
          </w:tcPr>
          <w:p w14:paraId="7ABB6129"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r>
      <w:tr w:rsidR="00884B55" w:rsidRPr="00D0785F" w14:paraId="242C947B"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A92B296"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ISO New England</w:t>
            </w:r>
          </w:p>
        </w:tc>
        <w:tc>
          <w:tcPr>
            <w:tcW w:w="2345" w:type="dxa"/>
            <w:noWrap/>
            <w:hideMark/>
          </w:tcPr>
          <w:p w14:paraId="48DA15EF"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0.13</w:t>
            </w:r>
          </w:p>
        </w:tc>
        <w:tc>
          <w:tcPr>
            <w:tcW w:w="1620" w:type="dxa"/>
            <w:gridSpan w:val="2"/>
            <w:noWrap/>
            <w:hideMark/>
          </w:tcPr>
          <w:p w14:paraId="71885746"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0.17</w:t>
            </w:r>
          </w:p>
        </w:tc>
        <w:tc>
          <w:tcPr>
            <w:tcW w:w="1260" w:type="dxa"/>
            <w:gridSpan w:val="2"/>
            <w:noWrap/>
            <w:hideMark/>
          </w:tcPr>
          <w:p w14:paraId="16891663"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r>
      <w:tr w:rsidR="00884B55" w:rsidRPr="00D0785F" w14:paraId="035BCE58"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D48F538"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Puget Sound Energy, Inc.</w:t>
            </w:r>
          </w:p>
        </w:tc>
        <w:tc>
          <w:tcPr>
            <w:tcW w:w="2345" w:type="dxa"/>
            <w:noWrap/>
            <w:hideMark/>
          </w:tcPr>
          <w:p w14:paraId="52F44A92"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0.59</w:t>
            </w:r>
          </w:p>
        </w:tc>
        <w:tc>
          <w:tcPr>
            <w:tcW w:w="1620" w:type="dxa"/>
            <w:gridSpan w:val="2"/>
            <w:noWrap/>
            <w:hideMark/>
          </w:tcPr>
          <w:p w14:paraId="00DDAC18"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0.63</w:t>
            </w:r>
          </w:p>
        </w:tc>
        <w:tc>
          <w:tcPr>
            <w:tcW w:w="1260" w:type="dxa"/>
            <w:gridSpan w:val="2"/>
            <w:noWrap/>
            <w:hideMark/>
          </w:tcPr>
          <w:p w14:paraId="531FBB28"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r>
      <w:tr w:rsidR="00884B55" w:rsidRPr="00D0785F" w14:paraId="32DCBBC0"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7407B89E" w14:textId="77777777" w:rsidR="00884B55" w:rsidRPr="00B90C63" w:rsidRDefault="00884B55" w:rsidP="00884B55">
            <w:pPr>
              <w:rPr>
                <w:rFonts w:ascii="Aptos Narrow" w:eastAsia="Times New Roman" w:hAnsi="Aptos Narrow" w:cs="Times New Roman"/>
                <w:b w:val="0"/>
                <w:bCs w:val="0"/>
                <w:color w:val="000000"/>
              </w:rPr>
            </w:pPr>
            <w:proofErr w:type="spellStart"/>
            <w:r w:rsidRPr="00B90C63">
              <w:rPr>
                <w:rFonts w:ascii="Aptos Narrow" w:eastAsia="Times New Roman" w:hAnsi="Aptos Narrow" w:cs="Times New Roman"/>
                <w:b w:val="0"/>
                <w:bCs w:val="0"/>
                <w:color w:val="000000"/>
              </w:rPr>
              <w:t>PowerSouth</w:t>
            </w:r>
            <w:proofErr w:type="spellEnd"/>
            <w:r w:rsidRPr="00B90C63">
              <w:rPr>
                <w:rFonts w:ascii="Aptos Narrow" w:eastAsia="Times New Roman" w:hAnsi="Aptos Narrow" w:cs="Times New Roman"/>
                <w:b w:val="0"/>
                <w:bCs w:val="0"/>
                <w:color w:val="000000"/>
              </w:rPr>
              <w:t xml:space="preserve"> Energy Cooperative</w:t>
            </w:r>
          </w:p>
        </w:tc>
        <w:tc>
          <w:tcPr>
            <w:tcW w:w="2345" w:type="dxa"/>
            <w:noWrap/>
            <w:hideMark/>
          </w:tcPr>
          <w:p w14:paraId="67427D82"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620" w:type="dxa"/>
            <w:gridSpan w:val="2"/>
            <w:noWrap/>
            <w:hideMark/>
          </w:tcPr>
          <w:p w14:paraId="7CD5C4A8"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0.06</w:t>
            </w:r>
          </w:p>
        </w:tc>
        <w:tc>
          <w:tcPr>
            <w:tcW w:w="1260" w:type="dxa"/>
            <w:gridSpan w:val="2"/>
            <w:noWrap/>
            <w:hideMark/>
          </w:tcPr>
          <w:p w14:paraId="2FE65878"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-0.05</w:t>
            </w:r>
          </w:p>
        </w:tc>
      </w:tr>
      <w:tr w:rsidR="00884B55" w:rsidRPr="00D0785F" w14:paraId="2CCFFAD9"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91B8B84"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South Carolina Public Service Authority</w:t>
            </w:r>
          </w:p>
        </w:tc>
        <w:tc>
          <w:tcPr>
            <w:tcW w:w="2345" w:type="dxa"/>
            <w:noWrap/>
            <w:hideMark/>
          </w:tcPr>
          <w:p w14:paraId="10C42DD5"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0.27</w:t>
            </w:r>
          </w:p>
        </w:tc>
        <w:tc>
          <w:tcPr>
            <w:tcW w:w="1620" w:type="dxa"/>
            <w:gridSpan w:val="2"/>
            <w:noWrap/>
            <w:hideMark/>
          </w:tcPr>
          <w:p w14:paraId="511F06EA"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0.34</w:t>
            </w:r>
          </w:p>
        </w:tc>
        <w:tc>
          <w:tcPr>
            <w:tcW w:w="1260" w:type="dxa"/>
            <w:gridSpan w:val="2"/>
            <w:noWrap/>
            <w:hideMark/>
          </w:tcPr>
          <w:p w14:paraId="2E59243D"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-0.07</w:t>
            </w:r>
          </w:p>
        </w:tc>
      </w:tr>
      <w:tr w:rsidR="00884B55" w:rsidRPr="00D0785F" w14:paraId="7FC8BCC8"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41D723A2"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Los Angeles Department of Water and Power</w:t>
            </w:r>
          </w:p>
        </w:tc>
        <w:tc>
          <w:tcPr>
            <w:tcW w:w="2345" w:type="dxa"/>
            <w:noWrap/>
            <w:hideMark/>
          </w:tcPr>
          <w:p w14:paraId="757EDEA8" w14:textId="19229EE9"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w:t>
            </w:r>
            <w:r w:rsidR="00E33DB5">
              <w:rPr>
                <w:rFonts w:ascii="Aptos Narrow" w:eastAsia="Times New Roman" w:hAnsi="Aptos Narrow" w:cs="Times New Roman"/>
                <w:color w:val="000000"/>
              </w:rPr>
              <w:t>0</w:t>
            </w:r>
          </w:p>
        </w:tc>
        <w:tc>
          <w:tcPr>
            <w:tcW w:w="1620" w:type="dxa"/>
            <w:gridSpan w:val="2"/>
            <w:noWrap/>
            <w:hideMark/>
          </w:tcPr>
          <w:p w14:paraId="1F30C6F3"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0.19</w:t>
            </w:r>
          </w:p>
        </w:tc>
        <w:tc>
          <w:tcPr>
            <w:tcW w:w="1260" w:type="dxa"/>
            <w:gridSpan w:val="2"/>
            <w:noWrap/>
            <w:hideMark/>
          </w:tcPr>
          <w:p w14:paraId="2D4D0BC1"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-0.09</w:t>
            </w:r>
          </w:p>
        </w:tc>
      </w:tr>
      <w:tr w:rsidR="00884B55" w:rsidRPr="00D0785F" w14:paraId="1C774E4C"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2FF4468"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Western Area Power Administration - Desert Southwest Region</w:t>
            </w:r>
          </w:p>
        </w:tc>
        <w:tc>
          <w:tcPr>
            <w:tcW w:w="2345" w:type="dxa"/>
            <w:noWrap/>
            <w:hideMark/>
          </w:tcPr>
          <w:p w14:paraId="25F03E72"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0.06</w:t>
            </w:r>
          </w:p>
        </w:tc>
        <w:tc>
          <w:tcPr>
            <w:tcW w:w="1620" w:type="dxa"/>
            <w:gridSpan w:val="2"/>
            <w:noWrap/>
            <w:hideMark/>
          </w:tcPr>
          <w:p w14:paraId="0C986E23"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0.15</w:t>
            </w:r>
          </w:p>
        </w:tc>
        <w:tc>
          <w:tcPr>
            <w:tcW w:w="1260" w:type="dxa"/>
            <w:gridSpan w:val="2"/>
            <w:noWrap/>
            <w:hideMark/>
          </w:tcPr>
          <w:p w14:paraId="4EC5FC92"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-0.09</w:t>
            </w:r>
          </w:p>
        </w:tc>
      </w:tr>
      <w:tr w:rsidR="00884B55" w:rsidRPr="00D0785F" w14:paraId="1D4FAF0C"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28038A9C"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City of Tacoma, Department of Public Utilities, Light Division</w:t>
            </w:r>
          </w:p>
        </w:tc>
        <w:tc>
          <w:tcPr>
            <w:tcW w:w="2345" w:type="dxa"/>
            <w:noWrap/>
            <w:hideMark/>
          </w:tcPr>
          <w:p w14:paraId="2AE943B6"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0.43</w:t>
            </w:r>
          </w:p>
        </w:tc>
        <w:tc>
          <w:tcPr>
            <w:tcW w:w="1620" w:type="dxa"/>
            <w:gridSpan w:val="2"/>
            <w:noWrap/>
            <w:hideMark/>
          </w:tcPr>
          <w:p w14:paraId="51D76A11"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0.52</w:t>
            </w:r>
          </w:p>
        </w:tc>
        <w:tc>
          <w:tcPr>
            <w:tcW w:w="1260" w:type="dxa"/>
            <w:gridSpan w:val="2"/>
            <w:noWrap/>
            <w:hideMark/>
          </w:tcPr>
          <w:p w14:paraId="500CFCEB"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-0.09</w:t>
            </w:r>
          </w:p>
        </w:tc>
      </w:tr>
    </w:tbl>
    <w:p w14:paraId="0FDC5DEE" w14:textId="77777777" w:rsidR="005C6530" w:rsidRDefault="005C6530" w:rsidP="00F9434B"/>
    <w:p w14:paraId="7480AF5A" w14:textId="77777777" w:rsidR="003153DB" w:rsidRDefault="003153DB" w:rsidP="00F9434B"/>
    <w:p w14:paraId="3F6A8712" w14:textId="3EDD2BC4" w:rsidR="003153DB" w:rsidRPr="00F9434B" w:rsidRDefault="003153DB" w:rsidP="00F9434B">
      <w:pPr>
        <w:sectPr w:rsidR="003153DB" w:rsidRPr="00F9434B" w:rsidSect="00CD404A">
          <w:pgSz w:w="15840" w:h="12240" w:orient="landscape"/>
          <w:pgMar w:top="1440" w:right="1440" w:bottom="1440" w:left="1440" w:header="720" w:footer="720" w:gutter="0"/>
          <w:pgNumType w:start="1"/>
          <w:cols w:space="720"/>
          <w:docGrid w:linePitch="299"/>
        </w:sectPr>
      </w:pPr>
    </w:p>
    <w:p w14:paraId="55052817" w14:textId="77777777" w:rsidR="00611F5E" w:rsidRDefault="00164B3C">
      <w:pPr>
        <w:pStyle w:val="Heading1"/>
      </w:pPr>
      <w:r>
        <w:lastRenderedPageBreak/>
        <w:t>Bibliography</w:t>
      </w:r>
    </w:p>
    <w:p w14:paraId="4F8A4721" w14:textId="77777777" w:rsidR="00F530E9" w:rsidRDefault="00100C02" w:rsidP="00F530E9">
      <w:pPr>
        <w:pStyle w:val="Bibliography"/>
      </w:pPr>
      <w:r>
        <w:fldChar w:fldCharType="begin"/>
      </w:r>
      <w:r w:rsidR="000536C5">
        <w:instrText xml:space="preserve"> ADDIN ZOTERO_BIBL {"uncited":[],"omitted":[],"custom":[]} CSL_BIBLIOGRAPHY </w:instrText>
      </w:r>
      <w:r>
        <w:fldChar w:fldCharType="separate"/>
      </w:r>
      <w:r w:rsidR="00F530E9">
        <w:t>[1]</w:t>
      </w:r>
      <w:r w:rsidR="00F530E9">
        <w:tab/>
        <w:t>Newbery D. Missing money and missing markets: Reliability, capacity auctions and interconnectors. Energy Policy 2016;94:401–10. https://doi.org/10.1016/j.enpol.2015.10.028.</w:t>
      </w:r>
    </w:p>
    <w:p w14:paraId="06D7951C" w14:textId="77777777" w:rsidR="00F530E9" w:rsidRDefault="00F530E9" w:rsidP="00F530E9">
      <w:pPr>
        <w:pStyle w:val="Bibliography"/>
      </w:pPr>
      <w:r>
        <w:t>[2]</w:t>
      </w:r>
      <w:r>
        <w:tab/>
        <w:t>Newbery D, Grubb M. Security of supply, the role of interconnectors and option values: Insights from the GB capacity auction. Economics of Energy and Environmental Policy 2015;4:65–81. https://doi.org/10.5547/2160-5890.4.2.DNEW.</w:t>
      </w:r>
    </w:p>
    <w:p w14:paraId="177FF7AA" w14:textId="77777777" w:rsidR="00F530E9" w:rsidRDefault="00F530E9" w:rsidP="00F530E9">
      <w:pPr>
        <w:pStyle w:val="Bibliography"/>
      </w:pPr>
      <w:r>
        <w:t>[3]</w:t>
      </w:r>
      <w:r>
        <w:tab/>
        <w:t>Larsen E, van Ackere A. Importing from? Capacity adequacy in a European context. The Electricity Journal 2023;36:107236–107236. https://doi.org/10.1016/J.TEJ.2023.107236.</w:t>
      </w:r>
    </w:p>
    <w:p w14:paraId="234CF9D8" w14:textId="77777777" w:rsidR="00F530E9" w:rsidRDefault="00F530E9" w:rsidP="00F530E9">
      <w:pPr>
        <w:pStyle w:val="Bibliography"/>
      </w:pPr>
      <w:r>
        <w:t>[4]</w:t>
      </w:r>
      <w:r>
        <w:tab/>
        <w:t>Astier N, Ovaere M. Reliability standards and generation adequacy assessments for interconnected electricity systems. Energy Policy 2022;168. https://doi.org/10.1016/j.enpol.2022.113131.</w:t>
      </w:r>
    </w:p>
    <w:p w14:paraId="5B199913" w14:textId="77777777" w:rsidR="00F530E9" w:rsidRDefault="00F530E9" w:rsidP="00F530E9">
      <w:pPr>
        <w:pStyle w:val="Bibliography"/>
      </w:pPr>
      <w:r>
        <w:t>[5]</w:t>
      </w:r>
      <w:r>
        <w:tab/>
        <w:t>Tindemans SH, Woolf M, Strbac G. Capacity Value of Interconnection Between Two Systems, 2019. https://doi.org/10.1109/PESGM40551.2019.8973865.</w:t>
      </w:r>
    </w:p>
    <w:p w14:paraId="0012644B" w14:textId="77777777" w:rsidR="00F530E9" w:rsidRDefault="00F530E9" w:rsidP="00F530E9">
      <w:pPr>
        <w:pStyle w:val="Bibliography"/>
      </w:pPr>
      <w:r>
        <w:t>[6]</w:t>
      </w:r>
      <w:r>
        <w:tab/>
        <w:t>Hagspiel S, Knaut A, Peter J. Reliability in Multi-regional Power Systems: Capacity Adequacy and the Role of Interconnectors. The Energy Journal 2018;39:183–204. https://doi.org/10.5547/01956574.39.5.shag.</w:t>
      </w:r>
    </w:p>
    <w:p w14:paraId="5C9E446C" w14:textId="77777777" w:rsidR="00F530E9" w:rsidRDefault="00F530E9" w:rsidP="00F530E9">
      <w:pPr>
        <w:pStyle w:val="Bibliography"/>
      </w:pPr>
      <w:r>
        <w:t>[7]</w:t>
      </w:r>
      <w:r>
        <w:tab/>
        <w:t>Cepeda M, Saguan M, Finon D, Pignon V. Generation adequacy and transmission interconnection in regional electricity markets. Energy Policy 2009;37:5612–22. https://doi.org/10.1016/J.ENPOL.2009.08.060.</w:t>
      </w:r>
    </w:p>
    <w:p w14:paraId="3EB3BF66" w14:textId="77777777" w:rsidR="00F530E9" w:rsidRDefault="00F530E9" w:rsidP="00F530E9">
      <w:pPr>
        <w:pStyle w:val="Bibliography"/>
      </w:pPr>
      <w:r>
        <w:t>[8]</w:t>
      </w:r>
      <w:r>
        <w:tab/>
        <w:t>National Electric Reliability Council (NERC). Glossary of Terms Used in NERC Reliability Standards. Https://WwwNercCom/Pa/Stand/Glossary%20of%20Terms/Glossary_of_TermsPdf 2023.</w:t>
      </w:r>
    </w:p>
    <w:p w14:paraId="10C27D35" w14:textId="77777777" w:rsidR="00F530E9" w:rsidRDefault="00F530E9" w:rsidP="00F530E9">
      <w:pPr>
        <w:pStyle w:val="Bibliography"/>
      </w:pPr>
      <w:r>
        <w:t>[9]</w:t>
      </w:r>
      <w:r>
        <w:tab/>
        <w:t>Osorio S, van Ackere A, Larsen ER. Interdependencies in security of electricity supply. Energy 2017;135:598–609. https://doi.org/10.1016/j.energy.2017.06.095.</w:t>
      </w:r>
    </w:p>
    <w:p w14:paraId="104A02DE" w14:textId="77777777" w:rsidR="00F530E9" w:rsidRDefault="00F530E9" w:rsidP="00F530E9">
      <w:pPr>
        <w:pStyle w:val="Bibliography"/>
      </w:pPr>
      <w:r>
        <w:t>[10]</w:t>
      </w:r>
      <w:r>
        <w:tab/>
        <w:t>Sovacool BK, Mukherjee I. Conceptualizing and measuring energy security: A synthesized approach. Energy 2011;36:5343–55. https://doi.org/10.1016/j.energy.2011.06.043.</w:t>
      </w:r>
    </w:p>
    <w:p w14:paraId="025CC35D" w14:textId="77777777" w:rsidR="00F530E9" w:rsidRDefault="00F530E9" w:rsidP="00F530E9">
      <w:pPr>
        <w:pStyle w:val="Bibliography"/>
      </w:pPr>
      <w:r>
        <w:t>[11]</w:t>
      </w:r>
      <w:r>
        <w:tab/>
        <w:t>Lilliestam J, Ellenbeck S. Energy security and renewable electricity trade—Will Desertec make Europe vulnerable to the “energy weapon”? Energy Policy 2011;39:3380–91. https://doi.org/10.1016/J.ENPOL.2011.03.035.</w:t>
      </w:r>
    </w:p>
    <w:p w14:paraId="3BBF698D" w14:textId="77777777" w:rsidR="00F530E9" w:rsidRDefault="00F530E9" w:rsidP="00F530E9">
      <w:pPr>
        <w:pStyle w:val="Bibliography"/>
      </w:pPr>
      <w:r>
        <w:t>[12]</w:t>
      </w:r>
      <w:r>
        <w:tab/>
        <w:t>Ren J, Dong L. Evaluation of electricity supply sustainability and security: Multi-criteria decision analysis approach. Journal of Cleaner Production 2018;172:438–53. https://doi.org/10.1016/J.JCLEPRO.2017.10.167.</w:t>
      </w:r>
    </w:p>
    <w:p w14:paraId="39412ADB" w14:textId="77777777" w:rsidR="00F530E9" w:rsidRDefault="00F530E9" w:rsidP="00F530E9">
      <w:pPr>
        <w:pStyle w:val="Bibliography"/>
      </w:pPr>
      <w:r>
        <w:t>[13]</w:t>
      </w:r>
      <w:r>
        <w:tab/>
        <w:t>Das A, Halder A, Mazumder R, Saini VK, Parikh J, Parikh KS. Bangladesh power supply scenarios on renewables and electricity import. Energy 2018;155. https://doi.org/10.1016/j.energy.2018.04.169.</w:t>
      </w:r>
    </w:p>
    <w:p w14:paraId="1415DBDE" w14:textId="77777777" w:rsidR="00F530E9" w:rsidRDefault="00F530E9" w:rsidP="00F530E9">
      <w:pPr>
        <w:pStyle w:val="Bibliography"/>
      </w:pPr>
      <w:r>
        <w:t>[14]</w:t>
      </w:r>
      <w:r>
        <w:tab/>
        <w:t>Yuan M, Tapia-Ahumada K, Reilly J. The role of cross-border electricity trade in transition to a low-carbon economy in the Northeastern U.S. Energy Policy 2021;154:112261. https://doi.org/10.1016/j.enpol.2021.112261.</w:t>
      </w:r>
    </w:p>
    <w:p w14:paraId="25A091FE" w14:textId="77777777" w:rsidR="00F530E9" w:rsidRDefault="00F530E9" w:rsidP="00F530E9">
      <w:pPr>
        <w:pStyle w:val="Bibliography"/>
      </w:pPr>
      <w:r>
        <w:t>[15]</w:t>
      </w:r>
      <w:r>
        <w:tab/>
        <w:t>Bahar H, Sauvage J. Cross-Border Trade in Electricity and the Development of Renewables-Based Electric Power: Lessons from Europe. Paris: OECD; 2013. https://doi.org/10.1787/5k4869cdwnzr-en.</w:t>
      </w:r>
    </w:p>
    <w:p w14:paraId="1C0D758C" w14:textId="77777777" w:rsidR="00F530E9" w:rsidRDefault="00F530E9" w:rsidP="00F530E9">
      <w:pPr>
        <w:pStyle w:val="Bibliography"/>
      </w:pPr>
      <w:r>
        <w:t>[16]</w:t>
      </w:r>
      <w:r>
        <w:tab/>
        <w:t>Crozier C, Baker K. The effect of renewable electricity generation on the value of cross-border interconnection. Applied Energy 2022;324:119717. https://doi.org/10.1016/j.apenergy.2022.119717.</w:t>
      </w:r>
    </w:p>
    <w:p w14:paraId="4B633F25" w14:textId="77777777" w:rsidR="00F530E9" w:rsidRDefault="00F530E9" w:rsidP="00F530E9">
      <w:pPr>
        <w:pStyle w:val="Bibliography"/>
      </w:pPr>
      <w:r>
        <w:t>[17]</w:t>
      </w:r>
      <w:r>
        <w:tab/>
        <w:t>Joskow PL. Lessons Learned From Electricity Market Liberalization. The Energy Journal 2008;29:9–42. https://doi.org/10.5547/ISSN0195-6574-EJ-Vol29-NoSI2-3.</w:t>
      </w:r>
    </w:p>
    <w:p w14:paraId="397A4CA1" w14:textId="77777777" w:rsidR="00F530E9" w:rsidRDefault="00F530E9" w:rsidP="00F530E9">
      <w:pPr>
        <w:pStyle w:val="Bibliography"/>
      </w:pPr>
      <w:r>
        <w:lastRenderedPageBreak/>
        <w:t>[18]</w:t>
      </w:r>
      <w:r>
        <w:tab/>
        <w:t>Blumsack S. Measuring the Benefits and Costs of Regional Electric Grid Integration. The Energy Law Journal 2007;28.</w:t>
      </w:r>
    </w:p>
    <w:p w14:paraId="23DA7C54" w14:textId="77777777" w:rsidR="00F530E9" w:rsidRDefault="00F530E9" w:rsidP="00F530E9">
      <w:pPr>
        <w:pStyle w:val="Bibliography"/>
      </w:pPr>
      <w:r>
        <w:t>[19]</w:t>
      </w:r>
      <w:r>
        <w:tab/>
        <w:t>Oseni MO, Pollitt MG. The promotion of regional integration of electricity markets: Lessons for developing countries. Energy Policy 2016;88:628–38. https://doi.org/10.1016/j.enpol.2015.09.007.</w:t>
      </w:r>
    </w:p>
    <w:p w14:paraId="0FE07311" w14:textId="77777777" w:rsidR="00F530E9" w:rsidRDefault="00F530E9" w:rsidP="00F530E9">
      <w:pPr>
        <w:pStyle w:val="Bibliography"/>
      </w:pPr>
      <w:r>
        <w:t>[20]</w:t>
      </w:r>
      <w:r>
        <w:tab/>
        <w:t>Pineau P, Lefebvre V. The value of unused interregional transmission: Estimating the opportunity cost for Quebec (Canada). International Journal of Energy Sector Management 2009;3:406–23. https://doi.org/10.1108/17506220911005768.</w:t>
      </w:r>
    </w:p>
    <w:p w14:paraId="30AB10C5" w14:textId="77777777" w:rsidR="00F530E9" w:rsidRDefault="00F530E9" w:rsidP="00F530E9">
      <w:pPr>
        <w:pStyle w:val="Bibliography"/>
      </w:pPr>
      <w:r>
        <w:t>[21]</w:t>
      </w:r>
      <w:r>
        <w:tab/>
        <w:t>Moore S. Evaluating the energy security of electricity interdependence: Perspectives from Morocco. Energy Research &amp; Social Science 2017;24:21–9. https://doi.org/10.1016/j.erss.2016.12.008.</w:t>
      </w:r>
    </w:p>
    <w:p w14:paraId="2DAF14E2" w14:textId="77777777" w:rsidR="00F530E9" w:rsidRDefault="00F530E9" w:rsidP="00F530E9">
      <w:pPr>
        <w:pStyle w:val="Bibliography"/>
      </w:pPr>
      <w:r>
        <w:t>[22]</w:t>
      </w:r>
      <w:r>
        <w:tab/>
        <w:t>Yang M, Shi X, Zhou Y, Xiang J, Zhang R. Deepening regional power connectivity: Beyond the industry-centric perspective. Energy Research &amp; Social Science 2022;90:102614. https://doi.org/10.1016/j.erss.2022.102614.</w:t>
      </w:r>
    </w:p>
    <w:p w14:paraId="30C0E83C" w14:textId="77777777" w:rsidR="00F530E9" w:rsidRDefault="00F530E9" w:rsidP="00F530E9">
      <w:pPr>
        <w:pStyle w:val="Bibliography"/>
      </w:pPr>
      <w:r>
        <w:t>[23]</w:t>
      </w:r>
      <w:r>
        <w:tab/>
        <w:t>Abrell J, Rausch S. Cross-country electricity trade, renewable energy and European transmission infrastructure policy. Journal of Environmental Economics and Management 2016;79:87–113. https://doi.org/10.1016/j.jeem.2016.04.001.</w:t>
      </w:r>
    </w:p>
    <w:p w14:paraId="739A203C" w14:textId="77777777" w:rsidR="00F530E9" w:rsidRDefault="00F530E9" w:rsidP="00F530E9">
      <w:pPr>
        <w:pStyle w:val="Bibliography"/>
      </w:pPr>
      <w:r>
        <w:t>[24]</w:t>
      </w:r>
      <w:r>
        <w:tab/>
        <w:t>Antweiler W. Cross-border trade in electricity. Journal of International Economics 2016;101:42–51. https://doi.org/10.1016/j.jinteco.2016.03.007.</w:t>
      </w:r>
    </w:p>
    <w:p w14:paraId="7AD380D9" w14:textId="77777777" w:rsidR="00F530E9" w:rsidRDefault="00F530E9" w:rsidP="00F530E9">
      <w:pPr>
        <w:pStyle w:val="Bibliography"/>
      </w:pPr>
      <w:r>
        <w:t>[25]</w:t>
      </w:r>
      <w:r>
        <w:tab/>
        <w:t>Dahlke S. Integrating energy markets: Implications of increasing electricity trade on prices and emissions in the Western United States. International Journal of Sustainable Energy Planning and Management 2020;25. https://doi.org/10.5278/ijsepm.3416.</w:t>
      </w:r>
    </w:p>
    <w:p w14:paraId="1F030A22" w14:textId="77777777" w:rsidR="00F530E9" w:rsidRDefault="00F530E9" w:rsidP="00F530E9">
      <w:pPr>
        <w:pStyle w:val="Bibliography"/>
      </w:pPr>
      <w:r>
        <w:t>[26]</w:t>
      </w:r>
      <w:r>
        <w:tab/>
        <w:t>Glachant J-M. Twenty years to address electricity market and system seams issues in the European Union</w:t>
      </w:r>
      <w:r>
        <w:rPr>
          <w:rFonts w:ascii="Arial" w:hAnsi="Arial" w:cs="Arial"/>
        </w:rPr>
        <w:t> </w:t>
      </w:r>
      <w:r>
        <w:t>: why? why not? 2017.</w:t>
      </w:r>
    </w:p>
    <w:p w14:paraId="52A87339" w14:textId="77777777" w:rsidR="00F530E9" w:rsidRDefault="00F530E9" w:rsidP="00F530E9">
      <w:pPr>
        <w:pStyle w:val="Bibliography"/>
      </w:pPr>
      <w:r>
        <w:t>[27]</w:t>
      </w:r>
      <w:r>
        <w:tab/>
        <w:t>Kavulla T. Efficient Solutions for Issues in Electricity Seams. R Street Institute; 2019.</w:t>
      </w:r>
    </w:p>
    <w:p w14:paraId="23592661" w14:textId="77777777" w:rsidR="00F530E9" w:rsidRDefault="00F530E9" w:rsidP="00F530E9">
      <w:pPr>
        <w:pStyle w:val="Bibliography"/>
      </w:pPr>
      <w:r>
        <w:t>[28]</w:t>
      </w:r>
      <w:r>
        <w:tab/>
        <w:t>Li D. Do Grid Operators Dream of Electric Seams?: Coordinating Interregional Transmission Stakeholders to Improve Energy Deliverability. Geo Wash J Energy &amp; Env’t L 2022;13:82.</w:t>
      </w:r>
    </w:p>
    <w:p w14:paraId="2E221475" w14:textId="77777777" w:rsidR="00F530E9" w:rsidRDefault="00F530E9" w:rsidP="00F530E9">
      <w:pPr>
        <w:pStyle w:val="Bibliography"/>
      </w:pPr>
      <w:r>
        <w:t>[29]</w:t>
      </w:r>
      <w:r>
        <w:tab/>
        <w:t>Shannon CE. A mathematical theory of communication. The Bell System Technical Journal 1948;27:379–423. https://doi.org/10.1002/j.1538-7305.1948.tb01338.x.</w:t>
      </w:r>
    </w:p>
    <w:p w14:paraId="6C778F56" w14:textId="77777777" w:rsidR="00F530E9" w:rsidRDefault="00F530E9" w:rsidP="00F530E9">
      <w:pPr>
        <w:pStyle w:val="Bibliography"/>
      </w:pPr>
      <w:r>
        <w:t>[30]</w:t>
      </w:r>
      <w:r>
        <w:tab/>
        <w:t>Margalef R. Information theory in ecology 1973.</w:t>
      </w:r>
    </w:p>
    <w:p w14:paraId="41C2D758" w14:textId="77777777" w:rsidR="00F530E9" w:rsidRDefault="00F530E9" w:rsidP="00F530E9">
      <w:pPr>
        <w:pStyle w:val="Bibliography"/>
      </w:pPr>
      <w:r>
        <w:t>[31]</w:t>
      </w:r>
      <w:r>
        <w:tab/>
        <w:t>Pielou EC. The measurement of diversity in different types of biological collections. Journal of Theoretical Biology 1966;13:131–44. https://doi.org/10.1016/0022-5193(66)90013-0.</w:t>
      </w:r>
    </w:p>
    <w:p w14:paraId="6ACC239B" w14:textId="77777777" w:rsidR="00F530E9" w:rsidRDefault="00F530E9" w:rsidP="00F530E9">
      <w:pPr>
        <w:pStyle w:val="Bibliography"/>
      </w:pPr>
      <w:r>
        <w:t>[32]</w:t>
      </w:r>
      <w:r>
        <w:tab/>
        <w:t>Stirling A. On the economics and analysis of diversity. Science Policy Research Unit (SPRU), Electronic Working Papers Series, Paper 1998;28:1–156.</w:t>
      </w:r>
    </w:p>
    <w:p w14:paraId="347EECF1" w14:textId="77777777" w:rsidR="00F530E9" w:rsidRDefault="00F530E9" w:rsidP="00F530E9">
      <w:pPr>
        <w:pStyle w:val="Bibliography"/>
      </w:pPr>
      <w:r>
        <w:t>[33]</w:t>
      </w:r>
      <w:r>
        <w:tab/>
        <w:t>Jun E, Kim W, Chang SH. The analysis of security cost for different energy sources. Applied Energy 2009;86:1894–901. https://doi.org/10.1016/j.apenergy.2008.11.028.</w:t>
      </w:r>
    </w:p>
    <w:p w14:paraId="0454A84E" w14:textId="77777777" w:rsidR="00F530E9" w:rsidRDefault="00F530E9" w:rsidP="00F530E9">
      <w:pPr>
        <w:pStyle w:val="Bibliography"/>
      </w:pPr>
      <w:r>
        <w:t>[34]</w:t>
      </w:r>
      <w:r>
        <w:tab/>
        <w:t>Kruyt B, van Vuuren DP, de Vries HJM, Groenenberg H. Indicators for energy security. Energy Policy 2009;37:2166–81. https://doi.org/10.1016/j.enpol.2009.02.006.</w:t>
      </w:r>
    </w:p>
    <w:p w14:paraId="3EC96824" w14:textId="77777777" w:rsidR="00F530E9" w:rsidRDefault="00F530E9" w:rsidP="00F530E9">
      <w:pPr>
        <w:pStyle w:val="Bibliography"/>
      </w:pPr>
      <w:r>
        <w:t>[35]</w:t>
      </w:r>
      <w:r>
        <w:tab/>
        <w:t>Chuang MC, Ma HW. Energy security and improvements in the function of diversity indices—Taiwan energy supply structure case study. Renewable and Sustainable Energy Reviews 2013;24:9–20. https://doi.org/10.1016/j.rser.2013.03.021.</w:t>
      </w:r>
    </w:p>
    <w:p w14:paraId="4FAD0292" w14:textId="77777777" w:rsidR="00F530E9" w:rsidRDefault="00F530E9" w:rsidP="00F530E9">
      <w:pPr>
        <w:pStyle w:val="Bibliography"/>
      </w:pPr>
      <w:r>
        <w:t>[36]</w:t>
      </w:r>
      <w:r>
        <w:tab/>
        <w:t>Martchamadol J, Kumar S. An aggregated energy security performance indicator. Applied Energy 2013;103:653–70. https://doi.org/10.1016/j.apenergy.2012.10.027.</w:t>
      </w:r>
    </w:p>
    <w:p w14:paraId="3B487E8B" w14:textId="77777777" w:rsidR="00F530E9" w:rsidRDefault="00F530E9" w:rsidP="00F530E9">
      <w:pPr>
        <w:pStyle w:val="Bibliography"/>
      </w:pPr>
      <w:r>
        <w:t>[37]</w:t>
      </w:r>
      <w:r>
        <w:tab/>
        <w:t>Jewell J, Cherp A, Riahi K. Energy security under de-carbonization scenarios: An assessment framework and evaluation under different technology and policy choices. Energy Policy 2014;65:743–60. https://doi.org/10.1016/j.enpol.2013.10.051.</w:t>
      </w:r>
    </w:p>
    <w:p w14:paraId="672B7CBA" w14:textId="77777777" w:rsidR="00F530E9" w:rsidRDefault="00F530E9" w:rsidP="00F530E9">
      <w:pPr>
        <w:pStyle w:val="Bibliography"/>
      </w:pPr>
      <w:r>
        <w:t>[38]</w:t>
      </w:r>
      <w:r>
        <w:tab/>
        <w:t>Ranjan A, Hughes L. Energy security and the diversity of energy flows in an energy system. Energy 2014;73:137–44. https://doi.org/10.1016/j.energy.2014.05.108.</w:t>
      </w:r>
    </w:p>
    <w:p w14:paraId="0A5CCA6F" w14:textId="77777777" w:rsidR="00F530E9" w:rsidRDefault="00F530E9" w:rsidP="00F530E9">
      <w:pPr>
        <w:pStyle w:val="Bibliography"/>
      </w:pPr>
      <w:r>
        <w:lastRenderedPageBreak/>
        <w:t>[39]</w:t>
      </w:r>
      <w:r>
        <w:tab/>
        <w:t>Ren J, Sovacool BK. Quantifying, measuring, and strategizing energy security: Determining the most meaningful dimensions and metrics. Energy 2014;76:838–49. https://doi.org/10.1016/j.energy.2014.08.083.</w:t>
      </w:r>
    </w:p>
    <w:p w14:paraId="24CEB627" w14:textId="77777777" w:rsidR="00F530E9" w:rsidRDefault="00F530E9" w:rsidP="00F530E9">
      <w:pPr>
        <w:pStyle w:val="Bibliography"/>
      </w:pPr>
      <w:r>
        <w:t>[40]</w:t>
      </w:r>
      <w:r>
        <w:tab/>
        <w:t>Ang BW, Choong WL, Ng TS. Energy security: Definitions, dimensions and indexes. Renewable and Sustainable Energy Reviews 2015;42:1077–93. https://doi.org/10.1016/j.rser.2014.10.064.</w:t>
      </w:r>
    </w:p>
    <w:p w14:paraId="292EC7FE" w14:textId="77777777" w:rsidR="00F530E9" w:rsidRDefault="00F530E9" w:rsidP="00F530E9">
      <w:pPr>
        <w:pStyle w:val="Bibliography"/>
      </w:pPr>
      <w:r>
        <w:t>[41]</w:t>
      </w:r>
      <w:r>
        <w:tab/>
        <w:t>Erahman QF, Purwanto WW, Sudibandriyo M, Hidayatno A. An assessment of Indonesia’s energy security index and comparison with seventy countries. Energy 2016;111:364–76. https://doi.org/10.1016/j.energy.2016.05.100.</w:t>
      </w:r>
    </w:p>
    <w:p w14:paraId="02BB1C3E" w14:textId="77777777" w:rsidR="00F530E9" w:rsidRDefault="00F530E9" w:rsidP="00F530E9">
      <w:pPr>
        <w:pStyle w:val="Bibliography"/>
      </w:pPr>
      <w:r>
        <w:t>[42]</w:t>
      </w:r>
      <w:r>
        <w:tab/>
        <w:t>Zhang L, Yu J, Sovacool BK, Ren J. Measuring energy security performance within China: Toward an inter-provincial prospective. Energy 2017;125:825–36. https://doi.org/10.1016/j.energy.2016.12.030.</w:t>
      </w:r>
    </w:p>
    <w:p w14:paraId="5F371624" w14:textId="77777777" w:rsidR="00F530E9" w:rsidRDefault="00F530E9" w:rsidP="00F530E9">
      <w:pPr>
        <w:pStyle w:val="Bibliography"/>
      </w:pPr>
      <w:r>
        <w:t>[43]</w:t>
      </w:r>
      <w:r>
        <w:tab/>
        <w:t>Matsumoto K, Doumpos M, Andriosopoulos K. Historical energy security performance in EU countries. Renewable and Sustainable Energy Reviews 2018;82:1737–48. https://doi.org/10.1016/j.rser.2017.06.058.</w:t>
      </w:r>
    </w:p>
    <w:p w14:paraId="5F5955F2" w14:textId="77777777" w:rsidR="00F530E9" w:rsidRDefault="00F530E9" w:rsidP="00F530E9">
      <w:pPr>
        <w:pStyle w:val="Bibliography"/>
      </w:pPr>
      <w:r>
        <w:t>[44]</w:t>
      </w:r>
      <w:r>
        <w:tab/>
        <w:t>Song Y, Zhang M, Sun R. Using a new aggregated indicator to evaluate China’s energy security. Energy Policy 2019;132:167–74. https://doi.org/10.1016/j.enpol.2019.05.036.</w:t>
      </w:r>
    </w:p>
    <w:p w14:paraId="014300DB" w14:textId="77777777" w:rsidR="00F530E9" w:rsidRDefault="00F530E9" w:rsidP="00F530E9">
      <w:pPr>
        <w:pStyle w:val="Bibliography"/>
      </w:pPr>
      <w:r>
        <w:t>[45]</w:t>
      </w:r>
      <w:r>
        <w:tab/>
        <w:t>Wang D, Tian S, Fang L, Xu Y. A functional index model for dynamically evaluating China’s energy security. Energy Policy 2020;147:111706. https://doi.org/10.1016/j.enpol.2020.111706.</w:t>
      </w:r>
    </w:p>
    <w:p w14:paraId="0284802B" w14:textId="77777777" w:rsidR="00F530E9" w:rsidRDefault="00F530E9" w:rsidP="00F530E9">
      <w:pPr>
        <w:pStyle w:val="Bibliography"/>
      </w:pPr>
      <w:r>
        <w:t>[46]</w:t>
      </w:r>
      <w:r>
        <w:tab/>
        <w:t>Lin B, Raza MY. Analysis of energy security indicators and CO2 emissions. A case from a developing economy. Energy 2020;200:117575. https://doi.org/10.1016/j.energy.2020.117575.</w:t>
      </w:r>
    </w:p>
    <w:p w14:paraId="3035A45A" w14:textId="77777777" w:rsidR="00F530E9" w:rsidRDefault="00F530E9" w:rsidP="00F530E9">
      <w:pPr>
        <w:pStyle w:val="Bibliography"/>
      </w:pPr>
      <w:r>
        <w:t>[47]</w:t>
      </w:r>
      <w:r>
        <w:tab/>
        <w:t>De Rosa M, Gainsford K, Pallonetto F, Finn DP. Diversification, concentration and renewability of the energy supply in the European Union. Energy 2022;253:124097. https://doi.org/10.1016/j.energy.2022.124097.</w:t>
      </w:r>
    </w:p>
    <w:p w14:paraId="14EECE8D" w14:textId="77777777" w:rsidR="00F530E9" w:rsidRDefault="00F530E9" w:rsidP="00F530E9">
      <w:pPr>
        <w:pStyle w:val="Bibliography"/>
      </w:pPr>
      <w:r>
        <w:t>[48]</w:t>
      </w:r>
      <w:r>
        <w:tab/>
        <w:t>Stirling A. Diversity and ignorance in electricity supply investment: Addressing the solution rather than the problem. Energy Policy 1994;22:195–216. https://doi.org/10.1016/0301-4215(94)90159-7.</w:t>
      </w:r>
    </w:p>
    <w:p w14:paraId="2876A4BE" w14:textId="77777777" w:rsidR="00F530E9" w:rsidRDefault="00F530E9" w:rsidP="00F530E9">
      <w:pPr>
        <w:pStyle w:val="Bibliography"/>
      </w:pPr>
      <w:r>
        <w:t>[49]</w:t>
      </w:r>
      <w:r>
        <w:tab/>
        <w:t>Grubb M, Butler L, Twomey P. Diversity and security in UK electricity generation: The influence of low-carbon objectives. Energy Policy 2006;34:4050–62. https://doi.org/10.1016/J.ENPOL.2005.09.004.</w:t>
      </w:r>
    </w:p>
    <w:p w14:paraId="6A9AE0FA" w14:textId="77777777" w:rsidR="00F530E9" w:rsidRDefault="00F530E9" w:rsidP="00F530E9">
      <w:pPr>
        <w:pStyle w:val="Bibliography"/>
      </w:pPr>
      <w:r>
        <w:t>[50]</w:t>
      </w:r>
      <w:r>
        <w:tab/>
        <w:t>Chalvatzis KJ, Rubel K. Electricity portfolio innovation for energy security: The case of carbon constrained China. Technological Forecasting and Social Change 2015;100:267–76. https://doi.org/10.1016/J.TECHFORE.2015.07.012.</w:t>
      </w:r>
    </w:p>
    <w:p w14:paraId="52B5D81C" w14:textId="77777777" w:rsidR="00F530E9" w:rsidRDefault="00F530E9" w:rsidP="00F530E9">
      <w:pPr>
        <w:pStyle w:val="Bibliography"/>
      </w:pPr>
      <w:r>
        <w:t>[51]</w:t>
      </w:r>
      <w:r>
        <w:tab/>
        <w:t>Cox E. Assessing long-term energy security: The case of electricity in the United Kingdom. Renewable and Sustainable Energy Reviews 2018;82:2287–99. https://doi.org/10.1016/J.RSER.2017.08.084.</w:t>
      </w:r>
    </w:p>
    <w:p w14:paraId="253080F1" w14:textId="77777777" w:rsidR="00F530E9" w:rsidRDefault="00F530E9" w:rsidP="00F530E9">
      <w:pPr>
        <w:pStyle w:val="Bibliography"/>
      </w:pPr>
      <w:r>
        <w:t>[52]</w:t>
      </w:r>
      <w:r>
        <w:tab/>
        <w:t>Dilek S, Konak A. Resource Diversification in Turkey’s Electricity Generation. Journal of Original Studies 2022. https://doi.org/10.47243/jos.3.2.03.</w:t>
      </w:r>
    </w:p>
    <w:p w14:paraId="50CF5E10" w14:textId="77777777" w:rsidR="00F530E9" w:rsidRDefault="00F530E9" w:rsidP="00F530E9">
      <w:pPr>
        <w:pStyle w:val="Bibliography"/>
      </w:pPr>
      <w:r>
        <w:t>[53]</w:t>
      </w:r>
      <w:r>
        <w:tab/>
        <w:t>Peet RK. The Measurement of Species Diversity. Annual Review of Ecology, Evolution, and Systematics 1974;5:285–307. https://doi.org/10.1146/annurev.es.05.110174.001441.</w:t>
      </w:r>
    </w:p>
    <w:p w14:paraId="3E5874B6" w14:textId="77777777" w:rsidR="00F530E9" w:rsidRDefault="00F530E9" w:rsidP="00F530E9">
      <w:pPr>
        <w:pStyle w:val="Bibliography"/>
      </w:pPr>
      <w:r>
        <w:t>[54]</w:t>
      </w:r>
      <w:r>
        <w:tab/>
        <w:t>Hill MO. Diversity and Evenness: A Unifying Notation and Its Consequences. Ecology 1973;54:427–32. https://doi.org/10.2307/1934352.</w:t>
      </w:r>
    </w:p>
    <w:p w14:paraId="62824F58" w14:textId="77777777" w:rsidR="00F530E9" w:rsidRDefault="00F530E9" w:rsidP="00F530E9">
      <w:pPr>
        <w:pStyle w:val="Bibliography"/>
      </w:pPr>
      <w:r>
        <w:t>[55]</w:t>
      </w:r>
      <w:r>
        <w:tab/>
        <w:t>Geospatial Management Office, U.S. Department of Homeland Security. Homeland Infrastructure Foundation LEvel Database - Control Areas 2022.</w:t>
      </w:r>
    </w:p>
    <w:p w14:paraId="3C2ACC05" w14:textId="77777777" w:rsidR="00F530E9" w:rsidRDefault="00F530E9" w:rsidP="00F530E9">
      <w:pPr>
        <w:pStyle w:val="Bibliography"/>
      </w:pPr>
      <w:r>
        <w:t>[56]</w:t>
      </w:r>
      <w:r>
        <w:tab/>
        <w:t>U.S. Energy Information Administration. Hourly Electric Grid Monitor. 2024.</w:t>
      </w:r>
    </w:p>
    <w:p w14:paraId="50E1A89E" w14:textId="77777777" w:rsidR="00F530E9" w:rsidRDefault="00F530E9" w:rsidP="00F530E9">
      <w:pPr>
        <w:pStyle w:val="Bibliography"/>
      </w:pPr>
      <w:r>
        <w:t>[57]</w:t>
      </w:r>
      <w:r>
        <w:tab/>
        <w:t>Mclellan M, Opatrny C. Maintaining A Balance: Innovation in Power System Balancing Authorities. Washington Journal of Environmental Law &amp; Policy 2011.</w:t>
      </w:r>
    </w:p>
    <w:p w14:paraId="7C0E9634" w14:textId="77777777" w:rsidR="00F530E9" w:rsidRDefault="00F530E9" w:rsidP="00F530E9">
      <w:pPr>
        <w:pStyle w:val="Bibliography"/>
      </w:pPr>
      <w:r>
        <w:lastRenderedPageBreak/>
        <w:t>[58]</w:t>
      </w:r>
      <w:r>
        <w:tab/>
        <w:t>Shaker H, Zareipour H, Wood D. Impacts of large-scale wind and solar power integration on California</w:t>
      </w:r>
      <w:r>
        <w:rPr>
          <w:rFonts w:ascii="Arial" w:hAnsi="Arial" w:cs="Arial"/>
        </w:rPr>
        <w:t>׳</w:t>
      </w:r>
      <w:r>
        <w:t>s net electrical load. Renewable and Sustainable Energy Reviews 2016;58:761–74. https://doi.org/10.1016/j.rser.2015.12.287.</w:t>
      </w:r>
    </w:p>
    <w:p w14:paraId="1C2665F3" w14:textId="1C1A84AD" w:rsidR="00100C02" w:rsidRDefault="00100C02" w:rsidP="00100C02">
      <w:r>
        <w:fldChar w:fldCharType="end"/>
      </w:r>
    </w:p>
    <w:sectPr w:rsidR="00100C02" w:rsidSect="00CD404A">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21D772" w14:textId="77777777" w:rsidR="00E37785" w:rsidRDefault="00E37785">
      <w:pPr>
        <w:spacing w:after="0" w:line="240" w:lineRule="auto"/>
      </w:pPr>
      <w:r>
        <w:separator/>
      </w:r>
    </w:p>
  </w:endnote>
  <w:endnote w:type="continuationSeparator" w:id="0">
    <w:p w14:paraId="6E8A4D29" w14:textId="77777777" w:rsidR="00E37785" w:rsidRDefault="00E377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6CDC8D16-C8B6-475D-83CA-A38BC8C20C36}"/>
  </w:font>
  <w:font w:name="Aptos">
    <w:charset w:val="00"/>
    <w:family w:val="swiss"/>
    <w:pitch w:val="variable"/>
    <w:sig w:usb0="20000287" w:usb1="00000003" w:usb2="00000000" w:usb3="00000000" w:csb0="0000019F" w:csb1="00000000"/>
    <w:embedRegular r:id="rId2" w:fontKey="{52C1E4B5-04D4-48A1-9385-51C5AC9E5CFC}"/>
    <w:embedBold r:id="rId3" w:fontKey="{1880F910-5EF2-4D51-80FD-3BEE91F2CDD8}"/>
    <w:embedItalic r:id="rId4" w:fontKey="{EB270A91-99E5-4FF8-90AE-6A9B4B6E8D8A}"/>
  </w:font>
  <w:font w:name="Aptos Display">
    <w:charset w:val="00"/>
    <w:family w:val="swiss"/>
    <w:pitch w:val="variable"/>
    <w:sig w:usb0="20000287" w:usb1="00000003" w:usb2="00000000" w:usb3="00000000" w:csb0="0000019F" w:csb1="00000000"/>
    <w:embedRegular r:id="rId5" w:fontKey="{BFB43871-5E55-41A1-AF0D-E25D649E2157}"/>
    <w:embedBold r:id="rId6" w:fontKey="{2EDAEA11-9D31-466F-B58E-8FAB591F29C0}"/>
  </w:font>
  <w:font w:name="Cambria Math">
    <w:panose1 w:val="02040503050406030204"/>
    <w:charset w:val="00"/>
    <w:family w:val="roman"/>
    <w:pitch w:val="variable"/>
    <w:sig w:usb0="E00006FF" w:usb1="420024FF" w:usb2="02000000" w:usb3="00000000" w:csb0="0000019F" w:csb1="00000000"/>
    <w:embedRegular r:id="rId7" w:fontKey="{46DE4DEA-BC61-4826-814E-E905B40C1BF7}"/>
    <w:embedItalic r:id="rId8" w:fontKey="{0A2B6EC0-F34A-4735-8DA8-A280C5FCD7F7}"/>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embedRegular r:id="rId9" w:fontKey="{17B616B4-2C04-4597-8D06-488CF77207EC}"/>
    <w:embedBold r:id="rId10" w:fontKey="{301C2BC7-A6BC-4DA0-B0F0-C88AFE369EA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21DD89" w14:textId="77777777" w:rsidR="00E37785" w:rsidRDefault="00E37785">
      <w:pPr>
        <w:spacing w:after="0" w:line="240" w:lineRule="auto"/>
      </w:pPr>
      <w:r>
        <w:separator/>
      </w:r>
    </w:p>
  </w:footnote>
  <w:footnote w:type="continuationSeparator" w:id="0">
    <w:p w14:paraId="2654A4C1" w14:textId="77777777" w:rsidR="00E37785" w:rsidRDefault="00E37785">
      <w:pPr>
        <w:spacing w:after="0" w:line="240" w:lineRule="auto"/>
      </w:pPr>
      <w:r>
        <w:continuationSeparator/>
      </w:r>
    </w:p>
  </w:footnote>
  <w:footnote w:id="1">
    <w:p w14:paraId="75CEE4DD" w14:textId="63A767DC" w:rsidR="00CC2ECB" w:rsidRDefault="00CC2ECB">
      <w:pPr>
        <w:pStyle w:val="FootnoteText"/>
      </w:pPr>
      <w:r>
        <w:rPr>
          <w:rStyle w:val="FootnoteReference"/>
        </w:rPr>
        <w:footnoteRef/>
      </w:r>
      <w:r>
        <w:t xml:space="preserve"> The correlation coefficient between the </w:t>
      </w:r>
      <w:r w:rsidR="00977380">
        <w:t xml:space="preserve">import </w:t>
      </w:r>
      <w:r>
        <w:t xml:space="preserve">diversity metric and </w:t>
      </w:r>
      <w:r w:rsidR="00977380">
        <w:t xml:space="preserve">balancing authority </w:t>
      </w:r>
      <w:r>
        <w:t xml:space="preserve">average electricity demand </w:t>
      </w:r>
      <w:r w:rsidR="00977380">
        <w:t xml:space="preserve">across the sample </w:t>
      </w:r>
      <w:r>
        <w:t>period is 0.30</w:t>
      </w:r>
      <w:r w:rsidR="00D47D73">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C25E5"/>
    <w:multiLevelType w:val="hybridMultilevel"/>
    <w:tmpl w:val="DEBC4B96"/>
    <w:lvl w:ilvl="0" w:tplc="04090001">
      <w:start w:val="1"/>
      <w:numFmt w:val="bullet"/>
      <w:lvlText w:val=""/>
      <w:lvlJc w:val="left"/>
      <w:pPr>
        <w:ind w:left="2970" w:hanging="360"/>
      </w:pPr>
      <w:rPr>
        <w:rFonts w:ascii="Symbol" w:hAnsi="Symbol"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 w15:restartNumberingAfterBreak="0">
    <w:nsid w:val="117279CF"/>
    <w:multiLevelType w:val="multilevel"/>
    <w:tmpl w:val="799E42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6A6D03"/>
    <w:multiLevelType w:val="hybridMultilevel"/>
    <w:tmpl w:val="883CD06E"/>
    <w:lvl w:ilvl="0" w:tplc="D744F9C4">
      <w:start w:val="1"/>
      <w:numFmt w:val="bullet"/>
      <w:lvlText w:val="-"/>
      <w:lvlJc w:val="left"/>
      <w:pPr>
        <w:ind w:left="720" w:hanging="360"/>
      </w:pPr>
      <w:rPr>
        <w:rFonts w:ascii="Aptos" w:eastAsia="Aptos" w:hAnsi="Aptos" w:cs="Apto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0540D2"/>
    <w:multiLevelType w:val="hybridMultilevel"/>
    <w:tmpl w:val="F2181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A14010"/>
    <w:multiLevelType w:val="multilevel"/>
    <w:tmpl w:val="DFCC1C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722765C"/>
    <w:multiLevelType w:val="hybridMultilevel"/>
    <w:tmpl w:val="D1B0E3F4"/>
    <w:lvl w:ilvl="0" w:tplc="2898CA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8C71AA"/>
    <w:multiLevelType w:val="hybridMultilevel"/>
    <w:tmpl w:val="96E2E506"/>
    <w:lvl w:ilvl="0" w:tplc="44E0B58E">
      <w:numFmt w:val="bullet"/>
      <w:lvlText w:val="-"/>
      <w:lvlJc w:val="left"/>
      <w:pPr>
        <w:ind w:left="720" w:hanging="360"/>
      </w:pPr>
      <w:rPr>
        <w:rFonts w:ascii="Aptos" w:eastAsia="Aptos" w:hAnsi="Aptos" w:cs="Apto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FD3C68"/>
    <w:multiLevelType w:val="hybridMultilevel"/>
    <w:tmpl w:val="478668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7907DC"/>
    <w:multiLevelType w:val="multilevel"/>
    <w:tmpl w:val="54DAA6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C2913D8"/>
    <w:multiLevelType w:val="multilevel"/>
    <w:tmpl w:val="E9A031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2200F91"/>
    <w:multiLevelType w:val="hybridMultilevel"/>
    <w:tmpl w:val="E1D2B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3694938">
    <w:abstractNumId w:val="4"/>
  </w:num>
  <w:num w:numId="2" w16cid:durableId="205027588">
    <w:abstractNumId w:val="1"/>
  </w:num>
  <w:num w:numId="3" w16cid:durableId="989599762">
    <w:abstractNumId w:val="9"/>
  </w:num>
  <w:num w:numId="4" w16cid:durableId="833421845">
    <w:abstractNumId w:val="8"/>
  </w:num>
  <w:num w:numId="5" w16cid:durableId="1195802485">
    <w:abstractNumId w:val="0"/>
  </w:num>
  <w:num w:numId="6" w16cid:durableId="1298491011">
    <w:abstractNumId w:val="10"/>
  </w:num>
  <w:num w:numId="7" w16cid:durableId="1515457187">
    <w:abstractNumId w:val="7"/>
  </w:num>
  <w:num w:numId="8" w16cid:durableId="826240177">
    <w:abstractNumId w:val="5"/>
  </w:num>
  <w:num w:numId="9" w16cid:durableId="466750371">
    <w:abstractNumId w:val="3"/>
  </w:num>
  <w:num w:numId="10" w16cid:durableId="1602227224">
    <w:abstractNumId w:val="6"/>
  </w:num>
  <w:num w:numId="11" w16cid:durableId="264179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F5E"/>
    <w:rsid w:val="00001739"/>
    <w:rsid w:val="0000427A"/>
    <w:rsid w:val="00005AB6"/>
    <w:rsid w:val="000061B1"/>
    <w:rsid w:val="000062B5"/>
    <w:rsid w:val="00010318"/>
    <w:rsid w:val="00011306"/>
    <w:rsid w:val="000126B1"/>
    <w:rsid w:val="00012874"/>
    <w:rsid w:val="00012C55"/>
    <w:rsid w:val="00014F09"/>
    <w:rsid w:val="000219A8"/>
    <w:rsid w:val="000229B4"/>
    <w:rsid w:val="0002776C"/>
    <w:rsid w:val="00031FF4"/>
    <w:rsid w:val="00032C4B"/>
    <w:rsid w:val="00034B04"/>
    <w:rsid w:val="00050906"/>
    <w:rsid w:val="00050E48"/>
    <w:rsid w:val="000536C5"/>
    <w:rsid w:val="00054FE2"/>
    <w:rsid w:val="00055BEF"/>
    <w:rsid w:val="0006054A"/>
    <w:rsid w:val="000655D7"/>
    <w:rsid w:val="00066B07"/>
    <w:rsid w:val="000701D3"/>
    <w:rsid w:val="00071EE9"/>
    <w:rsid w:val="0007205D"/>
    <w:rsid w:val="000722C6"/>
    <w:rsid w:val="00076028"/>
    <w:rsid w:val="000806CB"/>
    <w:rsid w:val="00082542"/>
    <w:rsid w:val="00082A64"/>
    <w:rsid w:val="00083E2B"/>
    <w:rsid w:val="00085A0C"/>
    <w:rsid w:val="00086274"/>
    <w:rsid w:val="00086A6F"/>
    <w:rsid w:val="00086BC8"/>
    <w:rsid w:val="00086E56"/>
    <w:rsid w:val="00091887"/>
    <w:rsid w:val="00093D08"/>
    <w:rsid w:val="00094BDF"/>
    <w:rsid w:val="00094E7D"/>
    <w:rsid w:val="00095D4D"/>
    <w:rsid w:val="000A0545"/>
    <w:rsid w:val="000A193A"/>
    <w:rsid w:val="000A76DD"/>
    <w:rsid w:val="000B2937"/>
    <w:rsid w:val="000B32BB"/>
    <w:rsid w:val="000B56B7"/>
    <w:rsid w:val="000B7CEB"/>
    <w:rsid w:val="000C5237"/>
    <w:rsid w:val="000D0D91"/>
    <w:rsid w:val="000D5038"/>
    <w:rsid w:val="000E09B6"/>
    <w:rsid w:val="000E1CDB"/>
    <w:rsid w:val="000E7334"/>
    <w:rsid w:val="000F217F"/>
    <w:rsid w:val="000F353B"/>
    <w:rsid w:val="000F3A8A"/>
    <w:rsid w:val="000F3DF6"/>
    <w:rsid w:val="000F45AD"/>
    <w:rsid w:val="000F5131"/>
    <w:rsid w:val="000F685F"/>
    <w:rsid w:val="000F706B"/>
    <w:rsid w:val="00100C02"/>
    <w:rsid w:val="00103B8C"/>
    <w:rsid w:val="00105F06"/>
    <w:rsid w:val="00107CC6"/>
    <w:rsid w:val="001124C2"/>
    <w:rsid w:val="00113D37"/>
    <w:rsid w:val="00115BC2"/>
    <w:rsid w:val="001202B9"/>
    <w:rsid w:val="00120921"/>
    <w:rsid w:val="00122546"/>
    <w:rsid w:val="00125268"/>
    <w:rsid w:val="00127348"/>
    <w:rsid w:val="0012780B"/>
    <w:rsid w:val="001318AE"/>
    <w:rsid w:val="00133A64"/>
    <w:rsid w:val="00133BDB"/>
    <w:rsid w:val="00135B87"/>
    <w:rsid w:val="0014445F"/>
    <w:rsid w:val="00144D78"/>
    <w:rsid w:val="001501E9"/>
    <w:rsid w:val="001555CD"/>
    <w:rsid w:val="00156369"/>
    <w:rsid w:val="00160244"/>
    <w:rsid w:val="001608BA"/>
    <w:rsid w:val="00160AB1"/>
    <w:rsid w:val="00162840"/>
    <w:rsid w:val="00164034"/>
    <w:rsid w:val="00164476"/>
    <w:rsid w:val="00164B3C"/>
    <w:rsid w:val="00171960"/>
    <w:rsid w:val="001759DF"/>
    <w:rsid w:val="001803CB"/>
    <w:rsid w:val="0018286A"/>
    <w:rsid w:val="00182959"/>
    <w:rsid w:val="001864B4"/>
    <w:rsid w:val="0018650A"/>
    <w:rsid w:val="0018723C"/>
    <w:rsid w:val="0019066D"/>
    <w:rsid w:val="00192085"/>
    <w:rsid w:val="00194CBD"/>
    <w:rsid w:val="00195F74"/>
    <w:rsid w:val="001A50A4"/>
    <w:rsid w:val="001A53F8"/>
    <w:rsid w:val="001A669F"/>
    <w:rsid w:val="001B1FED"/>
    <w:rsid w:val="001B3248"/>
    <w:rsid w:val="001B35E7"/>
    <w:rsid w:val="001B38FE"/>
    <w:rsid w:val="001B5630"/>
    <w:rsid w:val="001B7B13"/>
    <w:rsid w:val="001C09DB"/>
    <w:rsid w:val="001C0E7D"/>
    <w:rsid w:val="001C163D"/>
    <w:rsid w:val="001C19CE"/>
    <w:rsid w:val="001C33DF"/>
    <w:rsid w:val="001C5275"/>
    <w:rsid w:val="001C5925"/>
    <w:rsid w:val="001D3D6C"/>
    <w:rsid w:val="001D6167"/>
    <w:rsid w:val="001D6C5D"/>
    <w:rsid w:val="001E0127"/>
    <w:rsid w:val="001E040A"/>
    <w:rsid w:val="001E144A"/>
    <w:rsid w:val="001E17CD"/>
    <w:rsid w:val="001E2818"/>
    <w:rsid w:val="001E3D51"/>
    <w:rsid w:val="001E741B"/>
    <w:rsid w:val="001F0A1A"/>
    <w:rsid w:val="00202E79"/>
    <w:rsid w:val="00204068"/>
    <w:rsid w:val="00210769"/>
    <w:rsid w:val="0021255C"/>
    <w:rsid w:val="002141E6"/>
    <w:rsid w:val="00214F9F"/>
    <w:rsid w:val="00216106"/>
    <w:rsid w:val="00217F7D"/>
    <w:rsid w:val="00220966"/>
    <w:rsid w:val="0022103C"/>
    <w:rsid w:val="00221E91"/>
    <w:rsid w:val="00222046"/>
    <w:rsid w:val="002240D6"/>
    <w:rsid w:val="00226BBD"/>
    <w:rsid w:val="00227326"/>
    <w:rsid w:val="00231C46"/>
    <w:rsid w:val="00233AC7"/>
    <w:rsid w:val="0023626F"/>
    <w:rsid w:val="0024195F"/>
    <w:rsid w:val="00252937"/>
    <w:rsid w:val="0025701D"/>
    <w:rsid w:val="0025774C"/>
    <w:rsid w:val="00260939"/>
    <w:rsid w:val="00262EBC"/>
    <w:rsid w:val="002638EF"/>
    <w:rsid w:val="00263D9B"/>
    <w:rsid w:val="00263DD6"/>
    <w:rsid w:val="00264BAF"/>
    <w:rsid w:val="00283A0A"/>
    <w:rsid w:val="00287BDE"/>
    <w:rsid w:val="00291921"/>
    <w:rsid w:val="0029326B"/>
    <w:rsid w:val="00294DE9"/>
    <w:rsid w:val="00295051"/>
    <w:rsid w:val="0029577E"/>
    <w:rsid w:val="00295CB3"/>
    <w:rsid w:val="00295DAD"/>
    <w:rsid w:val="00297A9D"/>
    <w:rsid w:val="002A1BB3"/>
    <w:rsid w:val="002A2006"/>
    <w:rsid w:val="002A663E"/>
    <w:rsid w:val="002A6E3C"/>
    <w:rsid w:val="002B0AC5"/>
    <w:rsid w:val="002B701B"/>
    <w:rsid w:val="002B77BF"/>
    <w:rsid w:val="002C2978"/>
    <w:rsid w:val="002D2DBE"/>
    <w:rsid w:val="002D3FF5"/>
    <w:rsid w:val="002D4BEA"/>
    <w:rsid w:val="002D4C90"/>
    <w:rsid w:val="002D53E1"/>
    <w:rsid w:val="002D748E"/>
    <w:rsid w:val="002E0B05"/>
    <w:rsid w:val="002E1398"/>
    <w:rsid w:val="002E1C3A"/>
    <w:rsid w:val="002E498C"/>
    <w:rsid w:val="002F0100"/>
    <w:rsid w:val="002F4913"/>
    <w:rsid w:val="002F7F93"/>
    <w:rsid w:val="003023F3"/>
    <w:rsid w:val="00302E6C"/>
    <w:rsid w:val="0031483A"/>
    <w:rsid w:val="003153DB"/>
    <w:rsid w:val="00323D57"/>
    <w:rsid w:val="00325EAB"/>
    <w:rsid w:val="003268C0"/>
    <w:rsid w:val="003279EF"/>
    <w:rsid w:val="0033366F"/>
    <w:rsid w:val="00337F47"/>
    <w:rsid w:val="00341DA7"/>
    <w:rsid w:val="00344AA4"/>
    <w:rsid w:val="003469F7"/>
    <w:rsid w:val="00351FEA"/>
    <w:rsid w:val="003531E5"/>
    <w:rsid w:val="00356A74"/>
    <w:rsid w:val="003570FE"/>
    <w:rsid w:val="003578CE"/>
    <w:rsid w:val="00357C73"/>
    <w:rsid w:val="0036057F"/>
    <w:rsid w:val="00360A83"/>
    <w:rsid w:val="003654FF"/>
    <w:rsid w:val="00366E02"/>
    <w:rsid w:val="00367C81"/>
    <w:rsid w:val="00371B26"/>
    <w:rsid w:val="003745DF"/>
    <w:rsid w:val="00380A24"/>
    <w:rsid w:val="00381A17"/>
    <w:rsid w:val="00381D54"/>
    <w:rsid w:val="00382584"/>
    <w:rsid w:val="0038353F"/>
    <w:rsid w:val="00384058"/>
    <w:rsid w:val="00390822"/>
    <w:rsid w:val="00390E7B"/>
    <w:rsid w:val="00395CCB"/>
    <w:rsid w:val="00395F1B"/>
    <w:rsid w:val="003A26FB"/>
    <w:rsid w:val="003A5894"/>
    <w:rsid w:val="003A6A5B"/>
    <w:rsid w:val="003B1BD9"/>
    <w:rsid w:val="003B20BA"/>
    <w:rsid w:val="003B3400"/>
    <w:rsid w:val="003B44D1"/>
    <w:rsid w:val="003B483A"/>
    <w:rsid w:val="003B6D57"/>
    <w:rsid w:val="003B6EC3"/>
    <w:rsid w:val="003B706B"/>
    <w:rsid w:val="003C0D21"/>
    <w:rsid w:val="003C1DBD"/>
    <w:rsid w:val="003C37DF"/>
    <w:rsid w:val="003C395D"/>
    <w:rsid w:val="003C489D"/>
    <w:rsid w:val="003D7A4D"/>
    <w:rsid w:val="003E26E0"/>
    <w:rsid w:val="003E3352"/>
    <w:rsid w:val="003E678E"/>
    <w:rsid w:val="003E7CCB"/>
    <w:rsid w:val="003F12E9"/>
    <w:rsid w:val="003F5630"/>
    <w:rsid w:val="003F5689"/>
    <w:rsid w:val="003F5C29"/>
    <w:rsid w:val="003F69A5"/>
    <w:rsid w:val="003F792F"/>
    <w:rsid w:val="00400032"/>
    <w:rsid w:val="00402F1D"/>
    <w:rsid w:val="00404EEB"/>
    <w:rsid w:val="004079F2"/>
    <w:rsid w:val="00407EA8"/>
    <w:rsid w:val="0041185E"/>
    <w:rsid w:val="00412DB2"/>
    <w:rsid w:val="00414CD4"/>
    <w:rsid w:val="00415CDD"/>
    <w:rsid w:val="00420FA9"/>
    <w:rsid w:val="00423564"/>
    <w:rsid w:val="00423B94"/>
    <w:rsid w:val="0042466D"/>
    <w:rsid w:val="004311B5"/>
    <w:rsid w:val="0043152C"/>
    <w:rsid w:val="004322BB"/>
    <w:rsid w:val="00433099"/>
    <w:rsid w:val="004353C5"/>
    <w:rsid w:val="00436345"/>
    <w:rsid w:val="004468CA"/>
    <w:rsid w:val="00452925"/>
    <w:rsid w:val="00453D62"/>
    <w:rsid w:val="00454DBD"/>
    <w:rsid w:val="00462C44"/>
    <w:rsid w:val="004636F5"/>
    <w:rsid w:val="00464C19"/>
    <w:rsid w:val="00466BE8"/>
    <w:rsid w:val="00471B15"/>
    <w:rsid w:val="00475B91"/>
    <w:rsid w:val="004847F0"/>
    <w:rsid w:val="00484A83"/>
    <w:rsid w:val="004907D2"/>
    <w:rsid w:val="00495E1C"/>
    <w:rsid w:val="004A7ACA"/>
    <w:rsid w:val="004B0614"/>
    <w:rsid w:val="004B2D7E"/>
    <w:rsid w:val="004C058C"/>
    <w:rsid w:val="004C104C"/>
    <w:rsid w:val="004C6C11"/>
    <w:rsid w:val="004D091C"/>
    <w:rsid w:val="004D2760"/>
    <w:rsid w:val="004D40FC"/>
    <w:rsid w:val="004D6B45"/>
    <w:rsid w:val="004D703A"/>
    <w:rsid w:val="004D7492"/>
    <w:rsid w:val="004E03FB"/>
    <w:rsid w:val="004E16E1"/>
    <w:rsid w:val="004E3F60"/>
    <w:rsid w:val="004E5689"/>
    <w:rsid w:val="004E66CA"/>
    <w:rsid w:val="004E75EE"/>
    <w:rsid w:val="004F4B5A"/>
    <w:rsid w:val="004F550E"/>
    <w:rsid w:val="004F627A"/>
    <w:rsid w:val="00505955"/>
    <w:rsid w:val="005062F4"/>
    <w:rsid w:val="00507F3F"/>
    <w:rsid w:val="0051123D"/>
    <w:rsid w:val="00512DB1"/>
    <w:rsid w:val="00514ED1"/>
    <w:rsid w:val="005162D9"/>
    <w:rsid w:val="00517304"/>
    <w:rsid w:val="00517E85"/>
    <w:rsid w:val="0052104B"/>
    <w:rsid w:val="00523BCB"/>
    <w:rsid w:val="0052536A"/>
    <w:rsid w:val="0052736C"/>
    <w:rsid w:val="005276FF"/>
    <w:rsid w:val="00533CB7"/>
    <w:rsid w:val="0053694A"/>
    <w:rsid w:val="005400ED"/>
    <w:rsid w:val="00542C0B"/>
    <w:rsid w:val="005472CA"/>
    <w:rsid w:val="0054792B"/>
    <w:rsid w:val="005516EF"/>
    <w:rsid w:val="0055291A"/>
    <w:rsid w:val="00562D10"/>
    <w:rsid w:val="00564466"/>
    <w:rsid w:val="005656C6"/>
    <w:rsid w:val="00566684"/>
    <w:rsid w:val="0056732B"/>
    <w:rsid w:val="005674E5"/>
    <w:rsid w:val="00567ABD"/>
    <w:rsid w:val="00572759"/>
    <w:rsid w:val="00572BFD"/>
    <w:rsid w:val="00572FF6"/>
    <w:rsid w:val="00574B2E"/>
    <w:rsid w:val="00575D5D"/>
    <w:rsid w:val="00576746"/>
    <w:rsid w:val="00581951"/>
    <w:rsid w:val="00584732"/>
    <w:rsid w:val="0059049D"/>
    <w:rsid w:val="005911C1"/>
    <w:rsid w:val="00596E5F"/>
    <w:rsid w:val="005977FE"/>
    <w:rsid w:val="005A1303"/>
    <w:rsid w:val="005B0452"/>
    <w:rsid w:val="005B3AF6"/>
    <w:rsid w:val="005B4A77"/>
    <w:rsid w:val="005B51B0"/>
    <w:rsid w:val="005B700E"/>
    <w:rsid w:val="005B712A"/>
    <w:rsid w:val="005C3501"/>
    <w:rsid w:val="005C3B3D"/>
    <w:rsid w:val="005C4C08"/>
    <w:rsid w:val="005C6530"/>
    <w:rsid w:val="005D0CB8"/>
    <w:rsid w:val="005D401F"/>
    <w:rsid w:val="005D4C80"/>
    <w:rsid w:val="005E3036"/>
    <w:rsid w:val="005E3093"/>
    <w:rsid w:val="005E444D"/>
    <w:rsid w:val="005F0494"/>
    <w:rsid w:val="005F0A52"/>
    <w:rsid w:val="005F124F"/>
    <w:rsid w:val="005F24C5"/>
    <w:rsid w:val="005F3832"/>
    <w:rsid w:val="005F64E0"/>
    <w:rsid w:val="005F65E9"/>
    <w:rsid w:val="005F67C3"/>
    <w:rsid w:val="005F67C7"/>
    <w:rsid w:val="005F7955"/>
    <w:rsid w:val="00607A65"/>
    <w:rsid w:val="00611F5E"/>
    <w:rsid w:val="00612085"/>
    <w:rsid w:val="00613BBB"/>
    <w:rsid w:val="006144D9"/>
    <w:rsid w:val="00617B43"/>
    <w:rsid w:val="00621CC7"/>
    <w:rsid w:val="0062268B"/>
    <w:rsid w:val="00624E76"/>
    <w:rsid w:val="00625747"/>
    <w:rsid w:val="00625F61"/>
    <w:rsid w:val="00626E57"/>
    <w:rsid w:val="00630ADB"/>
    <w:rsid w:val="006313B0"/>
    <w:rsid w:val="00631F54"/>
    <w:rsid w:val="006334C7"/>
    <w:rsid w:val="00635078"/>
    <w:rsid w:val="0064266F"/>
    <w:rsid w:val="00645D0A"/>
    <w:rsid w:val="00651F29"/>
    <w:rsid w:val="00654660"/>
    <w:rsid w:val="00654CDB"/>
    <w:rsid w:val="00660673"/>
    <w:rsid w:val="006610AD"/>
    <w:rsid w:val="00671D70"/>
    <w:rsid w:val="00672EC5"/>
    <w:rsid w:val="006768EF"/>
    <w:rsid w:val="00680ED5"/>
    <w:rsid w:val="0068126D"/>
    <w:rsid w:val="00685116"/>
    <w:rsid w:val="006903A2"/>
    <w:rsid w:val="00692699"/>
    <w:rsid w:val="00693726"/>
    <w:rsid w:val="006952FC"/>
    <w:rsid w:val="006A1794"/>
    <w:rsid w:val="006A6734"/>
    <w:rsid w:val="006B1207"/>
    <w:rsid w:val="006B2BBA"/>
    <w:rsid w:val="006B315E"/>
    <w:rsid w:val="006B3434"/>
    <w:rsid w:val="006B5336"/>
    <w:rsid w:val="006B6426"/>
    <w:rsid w:val="006B7189"/>
    <w:rsid w:val="006C0F8C"/>
    <w:rsid w:val="006C358B"/>
    <w:rsid w:val="006C61CC"/>
    <w:rsid w:val="006C6EAC"/>
    <w:rsid w:val="006C7898"/>
    <w:rsid w:val="006C7F6A"/>
    <w:rsid w:val="006D19CB"/>
    <w:rsid w:val="006D1CFC"/>
    <w:rsid w:val="006D2B99"/>
    <w:rsid w:val="006D3286"/>
    <w:rsid w:val="006D4547"/>
    <w:rsid w:val="006E07AA"/>
    <w:rsid w:val="006E2AF8"/>
    <w:rsid w:val="006E4668"/>
    <w:rsid w:val="006E53D7"/>
    <w:rsid w:val="006F083C"/>
    <w:rsid w:val="006F38CC"/>
    <w:rsid w:val="006F42C9"/>
    <w:rsid w:val="006F6074"/>
    <w:rsid w:val="007037C5"/>
    <w:rsid w:val="0071263E"/>
    <w:rsid w:val="00713E20"/>
    <w:rsid w:val="00715F0B"/>
    <w:rsid w:val="007163D9"/>
    <w:rsid w:val="00716829"/>
    <w:rsid w:val="00716D0D"/>
    <w:rsid w:val="007171E7"/>
    <w:rsid w:val="00722D14"/>
    <w:rsid w:val="00730294"/>
    <w:rsid w:val="00730B9D"/>
    <w:rsid w:val="00735AC7"/>
    <w:rsid w:val="0073700B"/>
    <w:rsid w:val="00737C2F"/>
    <w:rsid w:val="007417CD"/>
    <w:rsid w:val="00745963"/>
    <w:rsid w:val="00746827"/>
    <w:rsid w:val="007504DB"/>
    <w:rsid w:val="00750B40"/>
    <w:rsid w:val="00752271"/>
    <w:rsid w:val="00753760"/>
    <w:rsid w:val="00753A6F"/>
    <w:rsid w:val="00760CEF"/>
    <w:rsid w:val="00765728"/>
    <w:rsid w:val="00766113"/>
    <w:rsid w:val="00766BAF"/>
    <w:rsid w:val="0077196C"/>
    <w:rsid w:val="00777A1A"/>
    <w:rsid w:val="00777C04"/>
    <w:rsid w:val="0078182C"/>
    <w:rsid w:val="007829EA"/>
    <w:rsid w:val="00791645"/>
    <w:rsid w:val="00793074"/>
    <w:rsid w:val="0079338A"/>
    <w:rsid w:val="007937F8"/>
    <w:rsid w:val="00796EEB"/>
    <w:rsid w:val="00797A52"/>
    <w:rsid w:val="007A43E0"/>
    <w:rsid w:val="007B2DBD"/>
    <w:rsid w:val="007B47BA"/>
    <w:rsid w:val="007B55FA"/>
    <w:rsid w:val="007B5645"/>
    <w:rsid w:val="007C0434"/>
    <w:rsid w:val="007C410A"/>
    <w:rsid w:val="007D1134"/>
    <w:rsid w:val="007E10CE"/>
    <w:rsid w:val="007E3CD9"/>
    <w:rsid w:val="007E6D96"/>
    <w:rsid w:val="007E78D2"/>
    <w:rsid w:val="007F231C"/>
    <w:rsid w:val="007F5E77"/>
    <w:rsid w:val="008008C3"/>
    <w:rsid w:val="00800CEF"/>
    <w:rsid w:val="0080207B"/>
    <w:rsid w:val="0080490D"/>
    <w:rsid w:val="0080747C"/>
    <w:rsid w:val="008105BF"/>
    <w:rsid w:val="00811077"/>
    <w:rsid w:val="008124B0"/>
    <w:rsid w:val="00816E51"/>
    <w:rsid w:val="0083091C"/>
    <w:rsid w:val="0083126B"/>
    <w:rsid w:val="00834EBC"/>
    <w:rsid w:val="00835405"/>
    <w:rsid w:val="008367E5"/>
    <w:rsid w:val="00840B1A"/>
    <w:rsid w:val="008415BE"/>
    <w:rsid w:val="008419BC"/>
    <w:rsid w:val="00842A43"/>
    <w:rsid w:val="00842BF6"/>
    <w:rsid w:val="00844012"/>
    <w:rsid w:val="00846617"/>
    <w:rsid w:val="00850184"/>
    <w:rsid w:val="00850D6C"/>
    <w:rsid w:val="00856351"/>
    <w:rsid w:val="008616C3"/>
    <w:rsid w:val="008628DB"/>
    <w:rsid w:val="00867A8D"/>
    <w:rsid w:val="00870A37"/>
    <w:rsid w:val="00870F50"/>
    <w:rsid w:val="00874B37"/>
    <w:rsid w:val="00875DCC"/>
    <w:rsid w:val="00876E47"/>
    <w:rsid w:val="00877904"/>
    <w:rsid w:val="00877A5A"/>
    <w:rsid w:val="008800BF"/>
    <w:rsid w:val="008803D5"/>
    <w:rsid w:val="00884B55"/>
    <w:rsid w:val="00885A02"/>
    <w:rsid w:val="00886E8A"/>
    <w:rsid w:val="008979D4"/>
    <w:rsid w:val="008A028B"/>
    <w:rsid w:val="008A3776"/>
    <w:rsid w:val="008A4691"/>
    <w:rsid w:val="008A4D62"/>
    <w:rsid w:val="008A72F2"/>
    <w:rsid w:val="008B0DBE"/>
    <w:rsid w:val="008B1FE1"/>
    <w:rsid w:val="008B648B"/>
    <w:rsid w:val="008C0086"/>
    <w:rsid w:val="008C4692"/>
    <w:rsid w:val="008D03E6"/>
    <w:rsid w:val="008D0D66"/>
    <w:rsid w:val="008D6774"/>
    <w:rsid w:val="008E0700"/>
    <w:rsid w:val="008E08F4"/>
    <w:rsid w:val="008E23E5"/>
    <w:rsid w:val="008E26A8"/>
    <w:rsid w:val="008E2D17"/>
    <w:rsid w:val="008E5BBD"/>
    <w:rsid w:val="008E5C0B"/>
    <w:rsid w:val="008F0FDD"/>
    <w:rsid w:val="008F3B00"/>
    <w:rsid w:val="008F59E7"/>
    <w:rsid w:val="008F61FA"/>
    <w:rsid w:val="008F7616"/>
    <w:rsid w:val="00901DE4"/>
    <w:rsid w:val="0090218F"/>
    <w:rsid w:val="009021B3"/>
    <w:rsid w:val="00905972"/>
    <w:rsid w:val="0091017E"/>
    <w:rsid w:val="00910705"/>
    <w:rsid w:val="00913962"/>
    <w:rsid w:val="00914256"/>
    <w:rsid w:val="00917797"/>
    <w:rsid w:val="00917E04"/>
    <w:rsid w:val="00931BAB"/>
    <w:rsid w:val="00932A8E"/>
    <w:rsid w:val="009344FA"/>
    <w:rsid w:val="00935056"/>
    <w:rsid w:val="00936AE0"/>
    <w:rsid w:val="00937990"/>
    <w:rsid w:val="00941331"/>
    <w:rsid w:val="00952760"/>
    <w:rsid w:val="00953654"/>
    <w:rsid w:val="009555AA"/>
    <w:rsid w:val="00955682"/>
    <w:rsid w:val="009578D7"/>
    <w:rsid w:val="009612F2"/>
    <w:rsid w:val="00961744"/>
    <w:rsid w:val="009620F7"/>
    <w:rsid w:val="00963D6E"/>
    <w:rsid w:val="00964E82"/>
    <w:rsid w:val="00965BA5"/>
    <w:rsid w:val="009672C5"/>
    <w:rsid w:val="0097297C"/>
    <w:rsid w:val="00977380"/>
    <w:rsid w:val="009843E8"/>
    <w:rsid w:val="00985532"/>
    <w:rsid w:val="00987871"/>
    <w:rsid w:val="0099116B"/>
    <w:rsid w:val="0099141B"/>
    <w:rsid w:val="00992636"/>
    <w:rsid w:val="00993509"/>
    <w:rsid w:val="009960EE"/>
    <w:rsid w:val="009A0C3A"/>
    <w:rsid w:val="009A335D"/>
    <w:rsid w:val="009A7C78"/>
    <w:rsid w:val="009B198D"/>
    <w:rsid w:val="009B29EE"/>
    <w:rsid w:val="009B35B3"/>
    <w:rsid w:val="009C0BE6"/>
    <w:rsid w:val="009C631A"/>
    <w:rsid w:val="009C6901"/>
    <w:rsid w:val="009D0451"/>
    <w:rsid w:val="009D3D18"/>
    <w:rsid w:val="009D42C8"/>
    <w:rsid w:val="009D7400"/>
    <w:rsid w:val="009D79C2"/>
    <w:rsid w:val="009F1A6E"/>
    <w:rsid w:val="009F2643"/>
    <w:rsid w:val="009F69DF"/>
    <w:rsid w:val="00A0005F"/>
    <w:rsid w:val="00A00FE4"/>
    <w:rsid w:val="00A012F0"/>
    <w:rsid w:val="00A02411"/>
    <w:rsid w:val="00A03800"/>
    <w:rsid w:val="00A06EE6"/>
    <w:rsid w:val="00A06FE0"/>
    <w:rsid w:val="00A07D49"/>
    <w:rsid w:val="00A1091A"/>
    <w:rsid w:val="00A136FC"/>
    <w:rsid w:val="00A147B5"/>
    <w:rsid w:val="00A21ADD"/>
    <w:rsid w:val="00A21D7C"/>
    <w:rsid w:val="00A330CF"/>
    <w:rsid w:val="00A33168"/>
    <w:rsid w:val="00A37422"/>
    <w:rsid w:val="00A41099"/>
    <w:rsid w:val="00A423C3"/>
    <w:rsid w:val="00A50358"/>
    <w:rsid w:val="00A524F7"/>
    <w:rsid w:val="00A6044A"/>
    <w:rsid w:val="00A60ECB"/>
    <w:rsid w:val="00A637DF"/>
    <w:rsid w:val="00A64E5B"/>
    <w:rsid w:val="00A6568E"/>
    <w:rsid w:val="00A658CC"/>
    <w:rsid w:val="00A679F1"/>
    <w:rsid w:val="00A701D0"/>
    <w:rsid w:val="00A708A0"/>
    <w:rsid w:val="00A745B1"/>
    <w:rsid w:val="00A756AD"/>
    <w:rsid w:val="00A7667F"/>
    <w:rsid w:val="00A808A6"/>
    <w:rsid w:val="00A82305"/>
    <w:rsid w:val="00A8344D"/>
    <w:rsid w:val="00A857B2"/>
    <w:rsid w:val="00A85888"/>
    <w:rsid w:val="00A85FAE"/>
    <w:rsid w:val="00A863BF"/>
    <w:rsid w:val="00A869F2"/>
    <w:rsid w:val="00A87C09"/>
    <w:rsid w:val="00AA6441"/>
    <w:rsid w:val="00AB2C1A"/>
    <w:rsid w:val="00AB4A3A"/>
    <w:rsid w:val="00AB58B5"/>
    <w:rsid w:val="00AB635D"/>
    <w:rsid w:val="00AC14B3"/>
    <w:rsid w:val="00AD0771"/>
    <w:rsid w:val="00AD3BF3"/>
    <w:rsid w:val="00AD41F9"/>
    <w:rsid w:val="00AD51B2"/>
    <w:rsid w:val="00AE0B6D"/>
    <w:rsid w:val="00AE18AB"/>
    <w:rsid w:val="00AE3FC3"/>
    <w:rsid w:val="00AE5985"/>
    <w:rsid w:val="00AE6529"/>
    <w:rsid w:val="00AF3017"/>
    <w:rsid w:val="00B103BF"/>
    <w:rsid w:val="00B106C2"/>
    <w:rsid w:val="00B11319"/>
    <w:rsid w:val="00B119D8"/>
    <w:rsid w:val="00B12680"/>
    <w:rsid w:val="00B13ECD"/>
    <w:rsid w:val="00B16EFA"/>
    <w:rsid w:val="00B17963"/>
    <w:rsid w:val="00B27818"/>
    <w:rsid w:val="00B31C71"/>
    <w:rsid w:val="00B358C2"/>
    <w:rsid w:val="00B40CDF"/>
    <w:rsid w:val="00B42A3A"/>
    <w:rsid w:val="00B46EC0"/>
    <w:rsid w:val="00B508C6"/>
    <w:rsid w:val="00B51E4D"/>
    <w:rsid w:val="00B544CF"/>
    <w:rsid w:val="00B56AD5"/>
    <w:rsid w:val="00B570DE"/>
    <w:rsid w:val="00B57AB9"/>
    <w:rsid w:val="00B61A6D"/>
    <w:rsid w:val="00B665A2"/>
    <w:rsid w:val="00B733F9"/>
    <w:rsid w:val="00B7346A"/>
    <w:rsid w:val="00B74918"/>
    <w:rsid w:val="00B84911"/>
    <w:rsid w:val="00B84C54"/>
    <w:rsid w:val="00B90C63"/>
    <w:rsid w:val="00B9163C"/>
    <w:rsid w:val="00B92C25"/>
    <w:rsid w:val="00B9585C"/>
    <w:rsid w:val="00B97F68"/>
    <w:rsid w:val="00BA11E9"/>
    <w:rsid w:val="00BA3941"/>
    <w:rsid w:val="00BB015D"/>
    <w:rsid w:val="00BB1DE2"/>
    <w:rsid w:val="00BB4357"/>
    <w:rsid w:val="00BB5631"/>
    <w:rsid w:val="00BB6EE3"/>
    <w:rsid w:val="00BC6511"/>
    <w:rsid w:val="00BD174B"/>
    <w:rsid w:val="00BD1A23"/>
    <w:rsid w:val="00BD2E66"/>
    <w:rsid w:val="00BE05F2"/>
    <w:rsid w:val="00BE3817"/>
    <w:rsid w:val="00BE43A6"/>
    <w:rsid w:val="00BF09EB"/>
    <w:rsid w:val="00BF0C31"/>
    <w:rsid w:val="00BF0F6B"/>
    <w:rsid w:val="00BF0F9A"/>
    <w:rsid w:val="00BF1009"/>
    <w:rsid w:val="00BF3761"/>
    <w:rsid w:val="00BF5F8C"/>
    <w:rsid w:val="00C0132E"/>
    <w:rsid w:val="00C0215A"/>
    <w:rsid w:val="00C03E8F"/>
    <w:rsid w:val="00C0483D"/>
    <w:rsid w:val="00C07AE8"/>
    <w:rsid w:val="00C13917"/>
    <w:rsid w:val="00C142BC"/>
    <w:rsid w:val="00C15A3C"/>
    <w:rsid w:val="00C15C80"/>
    <w:rsid w:val="00C15D05"/>
    <w:rsid w:val="00C1766C"/>
    <w:rsid w:val="00C17FD7"/>
    <w:rsid w:val="00C207B0"/>
    <w:rsid w:val="00C21640"/>
    <w:rsid w:val="00C22B21"/>
    <w:rsid w:val="00C231D6"/>
    <w:rsid w:val="00C2499C"/>
    <w:rsid w:val="00C2595F"/>
    <w:rsid w:val="00C26664"/>
    <w:rsid w:val="00C3235B"/>
    <w:rsid w:val="00C32C83"/>
    <w:rsid w:val="00C34A4B"/>
    <w:rsid w:val="00C35F28"/>
    <w:rsid w:val="00C4042C"/>
    <w:rsid w:val="00C46ABF"/>
    <w:rsid w:val="00C46E1B"/>
    <w:rsid w:val="00C52426"/>
    <w:rsid w:val="00C56709"/>
    <w:rsid w:val="00C57053"/>
    <w:rsid w:val="00C6062E"/>
    <w:rsid w:val="00C62334"/>
    <w:rsid w:val="00C62D00"/>
    <w:rsid w:val="00C62DF2"/>
    <w:rsid w:val="00C667B4"/>
    <w:rsid w:val="00C72692"/>
    <w:rsid w:val="00C762B3"/>
    <w:rsid w:val="00C77D64"/>
    <w:rsid w:val="00C806C8"/>
    <w:rsid w:val="00C80DA4"/>
    <w:rsid w:val="00C828C6"/>
    <w:rsid w:val="00C829D0"/>
    <w:rsid w:val="00C8406A"/>
    <w:rsid w:val="00C860C1"/>
    <w:rsid w:val="00C909BA"/>
    <w:rsid w:val="00C90A4B"/>
    <w:rsid w:val="00C952DD"/>
    <w:rsid w:val="00C968DF"/>
    <w:rsid w:val="00C96A6C"/>
    <w:rsid w:val="00C97318"/>
    <w:rsid w:val="00CA45EC"/>
    <w:rsid w:val="00CB1CD4"/>
    <w:rsid w:val="00CB3CFD"/>
    <w:rsid w:val="00CB6C5F"/>
    <w:rsid w:val="00CB7410"/>
    <w:rsid w:val="00CC2639"/>
    <w:rsid w:val="00CC2ECB"/>
    <w:rsid w:val="00CC60FF"/>
    <w:rsid w:val="00CD08CF"/>
    <w:rsid w:val="00CD2F9C"/>
    <w:rsid w:val="00CD3992"/>
    <w:rsid w:val="00CD404A"/>
    <w:rsid w:val="00CD652D"/>
    <w:rsid w:val="00CD6FC1"/>
    <w:rsid w:val="00CD7F31"/>
    <w:rsid w:val="00CE4648"/>
    <w:rsid w:val="00CF0537"/>
    <w:rsid w:val="00CF44B2"/>
    <w:rsid w:val="00CF78DA"/>
    <w:rsid w:val="00D06CEB"/>
    <w:rsid w:val="00D07350"/>
    <w:rsid w:val="00D0785F"/>
    <w:rsid w:val="00D10034"/>
    <w:rsid w:val="00D1121D"/>
    <w:rsid w:val="00D11CD6"/>
    <w:rsid w:val="00D12440"/>
    <w:rsid w:val="00D12B5B"/>
    <w:rsid w:val="00D12EDC"/>
    <w:rsid w:val="00D135E4"/>
    <w:rsid w:val="00D13C42"/>
    <w:rsid w:val="00D14A0E"/>
    <w:rsid w:val="00D16FB2"/>
    <w:rsid w:val="00D20A08"/>
    <w:rsid w:val="00D34A00"/>
    <w:rsid w:val="00D35E53"/>
    <w:rsid w:val="00D3693E"/>
    <w:rsid w:val="00D4167D"/>
    <w:rsid w:val="00D426C8"/>
    <w:rsid w:val="00D42C36"/>
    <w:rsid w:val="00D46226"/>
    <w:rsid w:val="00D47CDE"/>
    <w:rsid w:val="00D47D73"/>
    <w:rsid w:val="00D511A2"/>
    <w:rsid w:val="00D535FA"/>
    <w:rsid w:val="00D53EB6"/>
    <w:rsid w:val="00D561C5"/>
    <w:rsid w:val="00D5627C"/>
    <w:rsid w:val="00D62751"/>
    <w:rsid w:val="00D62B6A"/>
    <w:rsid w:val="00D62C81"/>
    <w:rsid w:val="00D630F4"/>
    <w:rsid w:val="00D63168"/>
    <w:rsid w:val="00D6341A"/>
    <w:rsid w:val="00D677B0"/>
    <w:rsid w:val="00D67994"/>
    <w:rsid w:val="00D72422"/>
    <w:rsid w:val="00D7424B"/>
    <w:rsid w:val="00D76650"/>
    <w:rsid w:val="00D82F84"/>
    <w:rsid w:val="00D8436A"/>
    <w:rsid w:val="00D86079"/>
    <w:rsid w:val="00D90B65"/>
    <w:rsid w:val="00D93E2B"/>
    <w:rsid w:val="00D94679"/>
    <w:rsid w:val="00D95139"/>
    <w:rsid w:val="00D95658"/>
    <w:rsid w:val="00DA21D0"/>
    <w:rsid w:val="00DA21EE"/>
    <w:rsid w:val="00DA459E"/>
    <w:rsid w:val="00DA63D1"/>
    <w:rsid w:val="00DB0FD3"/>
    <w:rsid w:val="00DB165F"/>
    <w:rsid w:val="00DC1074"/>
    <w:rsid w:val="00DC1672"/>
    <w:rsid w:val="00DC2665"/>
    <w:rsid w:val="00DC383A"/>
    <w:rsid w:val="00DC562C"/>
    <w:rsid w:val="00DC6488"/>
    <w:rsid w:val="00DC67E9"/>
    <w:rsid w:val="00DD4861"/>
    <w:rsid w:val="00DD5D80"/>
    <w:rsid w:val="00DD6380"/>
    <w:rsid w:val="00DD6F1C"/>
    <w:rsid w:val="00DE138E"/>
    <w:rsid w:val="00DE1664"/>
    <w:rsid w:val="00DE4C7D"/>
    <w:rsid w:val="00DE5112"/>
    <w:rsid w:val="00DE5547"/>
    <w:rsid w:val="00DE7B7E"/>
    <w:rsid w:val="00DF4630"/>
    <w:rsid w:val="00DF533E"/>
    <w:rsid w:val="00E0008F"/>
    <w:rsid w:val="00E00C85"/>
    <w:rsid w:val="00E025DD"/>
    <w:rsid w:val="00E05440"/>
    <w:rsid w:val="00E100CA"/>
    <w:rsid w:val="00E14019"/>
    <w:rsid w:val="00E1458F"/>
    <w:rsid w:val="00E1682C"/>
    <w:rsid w:val="00E17A34"/>
    <w:rsid w:val="00E24843"/>
    <w:rsid w:val="00E25254"/>
    <w:rsid w:val="00E33DB5"/>
    <w:rsid w:val="00E363E7"/>
    <w:rsid w:val="00E37785"/>
    <w:rsid w:val="00E41246"/>
    <w:rsid w:val="00E41D5D"/>
    <w:rsid w:val="00E458E8"/>
    <w:rsid w:val="00E4785A"/>
    <w:rsid w:val="00E60149"/>
    <w:rsid w:val="00E624B2"/>
    <w:rsid w:val="00E63411"/>
    <w:rsid w:val="00E64245"/>
    <w:rsid w:val="00E64E41"/>
    <w:rsid w:val="00E65E41"/>
    <w:rsid w:val="00E71F50"/>
    <w:rsid w:val="00E72091"/>
    <w:rsid w:val="00E74F5D"/>
    <w:rsid w:val="00E83829"/>
    <w:rsid w:val="00E83E06"/>
    <w:rsid w:val="00E86DB6"/>
    <w:rsid w:val="00E874CB"/>
    <w:rsid w:val="00E908AB"/>
    <w:rsid w:val="00E93479"/>
    <w:rsid w:val="00E94F0E"/>
    <w:rsid w:val="00E9714B"/>
    <w:rsid w:val="00EA011F"/>
    <w:rsid w:val="00EA0A10"/>
    <w:rsid w:val="00EA3233"/>
    <w:rsid w:val="00EA5CE9"/>
    <w:rsid w:val="00EB0B61"/>
    <w:rsid w:val="00EB19F3"/>
    <w:rsid w:val="00EB4E2A"/>
    <w:rsid w:val="00EB58F9"/>
    <w:rsid w:val="00EB5E04"/>
    <w:rsid w:val="00EB6CC7"/>
    <w:rsid w:val="00EC2225"/>
    <w:rsid w:val="00EC44B2"/>
    <w:rsid w:val="00EC4DCC"/>
    <w:rsid w:val="00EC5F6E"/>
    <w:rsid w:val="00EC76EC"/>
    <w:rsid w:val="00ED1310"/>
    <w:rsid w:val="00ED2401"/>
    <w:rsid w:val="00EE01E7"/>
    <w:rsid w:val="00EE0533"/>
    <w:rsid w:val="00EE1FBB"/>
    <w:rsid w:val="00EE3795"/>
    <w:rsid w:val="00EE4097"/>
    <w:rsid w:val="00EF463C"/>
    <w:rsid w:val="00EF5ECC"/>
    <w:rsid w:val="00EF76E0"/>
    <w:rsid w:val="00F02149"/>
    <w:rsid w:val="00F02157"/>
    <w:rsid w:val="00F0286D"/>
    <w:rsid w:val="00F04F9D"/>
    <w:rsid w:val="00F07AA4"/>
    <w:rsid w:val="00F108C6"/>
    <w:rsid w:val="00F11473"/>
    <w:rsid w:val="00F11EFC"/>
    <w:rsid w:val="00F130E3"/>
    <w:rsid w:val="00F14B52"/>
    <w:rsid w:val="00F15862"/>
    <w:rsid w:val="00F17ABA"/>
    <w:rsid w:val="00F24A14"/>
    <w:rsid w:val="00F25179"/>
    <w:rsid w:val="00F2530F"/>
    <w:rsid w:val="00F30ED0"/>
    <w:rsid w:val="00F33438"/>
    <w:rsid w:val="00F370F2"/>
    <w:rsid w:val="00F42BDF"/>
    <w:rsid w:val="00F42CE5"/>
    <w:rsid w:val="00F47ADA"/>
    <w:rsid w:val="00F51B15"/>
    <w:rsid w:val="00F530E9"/>
    <w:rsid w:val="00F531DE"/>
    <w:rsid w:val="00F53522"/>
    <w:rsid w:val="00F53A65"/>
    <w:rsid w:val="00F54EE0"/>
    <w:rsid w:val="00F573A4"/>
    <w:rsid w:val="00F5744F"/>
    <w:rsid w:val="00F621A4"/>
    <w:rsid w:val="00F64471"/>
    <w:rsid w:val="00F71A08"/>
    <w:rsid w:val="00F72FB0"/>
    <w:rsid w:val="00F7351F"/>
    <w:rsid w:val="00F756FD"/>
    <w:rsid w:val="00F76057"/>
    <w:rsid w:val="00F761ED"/>
    <w:rsid w:val="00F76E2E"/>
    <w:rsid w:val="00F77F3E"/>
    <w:rsid w:val="00F87103"/>
    <w:rsid w:val="00F87278"/>
    <w:rsid w:val="00F93EE0"/>
    <w:rsid w:val="00F9434B"/>
    <w:rsid w:val="00F9451B"/>
    <w:rsid w:val="00F949D1"/>
    <w:rsid w:val="00FA1139"/>
    <w:rsid w:val="00FA6790"/>
    <w:rsid w:val="00FA78D1"/>
    <w:rsid w:val="00FB01E8"/>
    <w:rsid w:val="00FB46C5"/>
    <w:rsid w:val="00FB4AAC"/>
    <w:rsid w:val="00FB4C92"/>
    <w:rsid w:val="00FB5981"/>
    <w:rsid w:val="00FC385C"/>
    <w:rsid w:val="00FD3DD8"/>
    <w:rsid w:val="00FD50A4"/>
    <w:rsid w:val="00FE0A38"/>
    <w:rsid w:val="00FE22F8"/>
    <w:rsid w:val="00FE42CF"/>
    <w:rsid w:val="00FE489C"/>
    <w:rsid w:val="00FF3C7C"/>
    <w:rsid w:val="00FF57E9"/>
    <w:rsid w:val="00FF5A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1D743"/>
  <w15:docId w15:val="{C84F5FD2-94BB-496D-9466-D5366DB2A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A59"/>
  </w:style>
  <w:style w:type="paragraph" w:styleId="Heading1">
    <w:name w:val="heading 1"/>
    <w:basedOn w:val="Normal"/>
    <w:next w:val="Normal"/>
    <w:link w:val="Heading1Char"/>
    <w:uiPriority w:val="9"/>
    <w:qFormat/>
    <w:rsid w:val="00944F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4F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4F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4F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4F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4F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4F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4F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4F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4F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4F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44F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4F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4F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4F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4F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4F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4F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4F9E"/>
    <w:rPr>
      <w:rFonts w:eastAsiaTheme="majorEastAsia" w:cstheme="majorBidi"/>
      <w:color w:val="272727" w:themeColor="text1" w:themeTint="D8"/>
    </w:rPr>
  </w:style>
  <w:style w:type="character" w:customStyle="1" w:styleId="TitleChar">
    <w:name w:val="Title Char"/>
    <w:basedOn w:val="DefaultParagraphFont"/>
    <w:link w:val="Title"/>
    <w:uiPriority w:val="10"/>
    <w:rsid w:val="00944F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944F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4F9E"/>
    <w:pPr>
      <w:spacing w:before="160"/>
      <w:jc w:val="center"/>
    </w:pPr>
    <w:rPr>
      <w:i/>
      <w:iCs/>
      <w:color w:val="404040" w:themeColor="text1" w:themeTint="BF"/>
    </w:rPr>
  </w:style>
  <w:style w:type="character" w:customStyle="1" w:styleId="QuoteChar">
    <w:name w:val="Quote Char"/>
    <w:basedOn w:val="DefaultParagraphFont"/>
    <w:link w:val="Quote"/>
    <w:uiPriority w:val="29"/>
    <w:rsid w:val="00944F9E"/>
    <w:rPr>
      <w:i/>
      <w:iCs/>
      <w:color w:val="404040" w:themeColor="text1" w:themeTint="BF"/>
    </w:rPr>
  </w:style>
  <w:style w:type="paragraph" w:styleId="ListParagraph">
    <w:name w:val="List Paragraph"/>
    <w:basedOn w:val="Normal"/>
    <w:uiPriority w:val="34"/>
    <w:qFormat/>
    <w:rsid w:val="00944F9E"/>
    <w:pPr>
      <w:ind w:left="720"/>
      <w:contextualSpacing/>
    </w:pPr>
  </w:style>
  <w:style w:type="character" w:styleId="IntenseEmphasis">
    <w:name w:val="Intense Emphasis"/>
    <w:basedOn w:val="DefaultParagraphFont"/>
    <w:uiPriority w:val="21"/>
    <w:qFormat/>
    <w:rsid w:val="00944F9E"/>
    <w:rPr>
      <w:i/>
      <w:iCs/>
      <w:color w:val="0F4761" w:themeColor="accent1" w:themeShade="BF"/>
    </w:rPr>
  </w:style>
  <w:style w:type="paragraph" w:styleId="IntenseQuote">
    <w:name w:val="Intense Quote"/>
    <w:basedOn w:val="Normal"/>
    <w:next w:val="Normal"/>
    <w:link w:val="IntenseQuoteChar"/>
    <w:uiPriority w:val="30"/>
    <w:qFormat/>
    <w:rsid w:val="00944F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4F9E"/>
    <w:rPr>
      <w:i/>
      <w:iCs/>
      <w:color w:val="0F4761" w:themeColor="accent1" w:themeShade="BF"/>
    </w:rPr>
  </w:style>
  <w:style w:type="character" w:styleId="IntenseReference">
    <w:name w:val="Intense Reference"/>
    <w:basedOn w:val="DefaultParagraphFont"/>
    <w:uiPriority w:val="32"/>
    <w:qFormat/>
    <w:rsid w:val="00944F9E"/>
    <w:rPr>
      <w:b/>
      <w:bCs/>
      <w:smallCaps/>
      <w:color w:val="0F4761" w:themeColor="accent1" w:themeShade="BF"/>
      <w:spacing w:val="5"/>
    </w:rPr>
  </w:style>
  <w:style w:type="character" w:styleId="Hyperlink">
    <w:name w:val="Hyperlink"/>
    <w:basedOn w:val="DefaultParagraphFont"/>
    <w:uiPriority w:val="99"/>
    <w:unhideWhenUsed/>
    <w:rsid w:val="00E14BEE"/>
    <w:rPr>
      <w:color w:val="0000FF"/>
      <w:u w:val="single"/>
    </w:rPr>
  </w:style>
  <w:style w:type="character" w:styleId="PlaceholderText">
    <w:name w:val="Placeholder Text"/>
    <w:basedOn w:val="DefaultParagraphFont"/>
    <w:uiPriority w:val="99"/>
    <w:semiHidden/>
    <w:rsid w:val="005B779D"/>
    <w:rPr>
      <w:color w:val="666666"/>
    </w:rPr>
  </w:style>
  <w:style w:type="character" w:styleId="FollowedHyperlink">
    <w:name w:val="FollowedHyperlink"/>
    <w:basedOn w:val="DefaultParagraphFont"/>
    <w:uiPriority w:val="99"/>
    <w:semiHidden/>
    <w:unhideWhenUsed/>
    <w:rsid w:val="00CA6F7E"/>
    <w:rPr>
      <w:color w:val="96607D" w:themeColor="followedHyperlink"/>
      <w:u w:val="single"/>
    </w:rPr>
  </w:style>
  <w:style w:type="table" w:styleId="TableGrid">
    <w:name w:val="Table Grid"/>
    <w:basedOn w:val="TableNormal"/>
    <w:uiPriority w:val="39"/>
    <w:rsid w:val="00A35A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D1D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1D66"/>
    <w:rPr>
      <w:sz w:val="20"/>
      <w:szCs w:val="20"/>
    </w:rPr>
  </w:style>
  <w:style w:type="character" w:styleId="FootnoteReference">
    <w:name w:val="footnote reference"/>
    <w:basedOn w:val="DefaultParagraphFont"/>
    <w:uiPriority w:val="99"/>
    <w:semiHidden/>
    <w:unhideWhenUsed/>
    <w:rsid w:val="003D1D66"/>
    <w:rPr>
      <w:vertAlign w:val="superscript"/>
    </w:rPr>
  </w:style>
  <w:style w:type="paragraph" w:styleId="Caption">
    <w:name w:val="caption"/>
    <w:basedOn w:val="Normal"/>
    <w:next w:val="Normal"/>
    <w:uiPriority w:val="35"/>
    <w:unhideWhenUsed/>
    <w:qFormat/>
    <w:rsid w:val="00B53759"/>
    <w:pPr>
      <w:spacing w:after="200" w:line="240" w:lineRule="auto"/>
    </w:pPr>
    <w:rPr>
      <w:i/>
      <w:iCs/>
      <w:color w:val="0E2841" w:themeColor="text2"/>
      <w:sz w:val="18"/>
      <w:szCs w:val="18"/>
    </w:rPr>
  </w:style>
  <w:style w:type="table" w:styleId="GridTable4-Accent1">
    <w:name w:val="Grid Table 4 Accent 1"/>
    <w:basedOn w:val="TableNormal"/>
    <w:uiPriority w:val="49"/>
    <w:rsid w:val="00C62BED"/>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4">
    <w:name w:val="Grid Table 4 Accent 4"/>
    <w:basedOn w:val="TableNormal"/>
    <w:uiPriority w:val="49"/>
    <w:rsid w:val="00C62BED"/>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3-Accent1">
    <w:name w:val="List Table 3 Accent 1"/>
    <w:basedOn w:val="TableNormal"/>
    <w:uiPriority w:val="48"/>
    <w:rsid w:val="00C62BED"/>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customStyle="1" w:styleId="a">
    <w:basedOn w:val="TableNormal"/>
    <w:pPr>
      <w:spacing w:after="0" w:line="240" w:lineRule="auto"/>
    </w:pPr>
    <w:tblPr>
      <w:tblStyleRowBandSize w:val="1"/>
      <w:tblStyleColBandSize w:val="1"/>
    </w:tblPr>
    <w:tblStylePr w:type="firstRow">
      <w:rPr>
        <w:b/>
        <w:color w:val="FFFFFF"/>
      </w:rPr>
      <w:tblPr/>
      <w:tcPr>
        <w:shd w:val="clear" w:color="auto" w:fill="156082"/>
      </w:tcPr>
    </w:tblStylePr>
    <w:tblStylePr w:type="lastRow">
      <w:rPr>
        <w:b/>
      </w:rPr>
      <w:tblPr/>
      <w:tcPr>
        <w:tcBorders>
          <w:top w:val="single" w:sz="4" w:space="0" w:color="156082"/>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156082"/>
          <w:right w:val="single" w:sz="4" w:space="0" w:color="156082"/>
        </w:tcBorders>
      </w:tcPr>
    </w:tblStylePr>
    <w:tblStylePr w:type="band1Horz">
      <w:tblPr/>
      <w:tcPr>
        <w:tcBorders>
          <w:top w:val="single" w:sz="4" w:space="0" w:color="156082"/>
          <w:bottom w:val="single" w:sz="4" w:space="0" w:color="15608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156082"/>
          <w:left w:val="nil"/>
        </w:tcBorders>
      </w:tcPr>
    </w:tblStylePr>
    <w:tblStylePr w:type="swCell">
      <w:tblPr/>
      <w:tcPr>
        <w:tcBorders>
          <w:top w:val="single" w:sz="4" w:space="0" w:color="156082"/>
          <w:right w:val="nil"/>
        </w:tcBorders>
      </w:tcPr>
    </w:tblStyle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paragraph" w:styleId="Bibliography">
    <w:name w:val="Bibliography"/>
    <w:basedOn w:val="Normal"/>
    <w:next w:val="Normal"/>
    <w:uiPriority w:val="37"/>
    <w:unhideWhenUsed/>
    <w:rsid w:val="00CB6C5F"/>
    <w:pPr>
      <w:tabs>
        <w:tab w:val="left" w:pos="384"/>
      </w:tabs>
      <w:spacing w:after="0" w:line="240" w:lineRule="auto"/>
      <w:ind w:left="384" w:hanging="384"/>
    </w:pPr>
  </w:style>
  <w:style w:type="paragraph" w:styleId="EndnoteText">
    <w:name w:val="endnote text"/>
    <w:basedOn w:val="Normal"/>
    <w:link w:val="EndnoteTextChar"/>
    <w:uiPriority w:val="99"/>
    <w:semiHidden/>
    <w:unhideWhenUsed/>
    <w:rsid w:val="00060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6054A"/>
    <w:rPr>
      <w:sz w:val="20"/>
      <w:szCs w:val="20"/>
    </w:rPr>
  </w:style>
  <w:style w:type="character" w:styleId="EndnoteReference">
    <w:name w:val="endnote reference"/>
    <w:basedOn w:val="DefaultParagraphFont"/>
    <w:uiPriority w:val="99"/>
    <w:semiHidden/>
    <w:unhideWhenUsed/>
    <w:rsid w:val="0006054A"/>
    <w:rPr>
      <w:vertAlign w:val="superscript"/>
    </w:rPr>
  </w:style>
  <w:style w:type="paragraph" w:styleId="Revision">
    <w:name w:val="Revision"/>
    <w:hidden/>
    <w:uiPriority w:val="99"/>
    <w:semiHidden/>
    <w:rsid w:val="00011306"/>
    <w:pPr>
      <w:spacing w:after="0" w:line="240" w:lineRule="auto"/>
    </w:pPr>
  </w:style>
  <w:style w:type="character" w:styleId="CommentReference">
    <w:name w:val="annotation reference"/>
    <w:basedOn w:val="DefaultParagraphFont"/>
    <w:uiPriority w:val="99"/>
    <w:semiHidden/>
    <w:unhideWhenUsed/>
    <w:rsid w:val="00877904"/>
    <w:rPr>
      <w:sz w:val="16"/>
      <w:szCs w:val="16"/>
    </w:rPr>
  </w:style>
  <w:style w:type="paragraph" w:styleId="CommentText">
    <w:name w:val="annotation text"/>
    <w:basedOn w:val="Normal"/>
    <w:link w:val="CommentTextChar"/>
    <w:uiPriority w:val="99"/>
    <w:unhideWhenUsed/>
    <w:rsid w:val="00877904"/>
    <w:pPr>
      <w:spacing w:line="240" w:lineRule="auto"/>
    </w:pPr>
    <w:rPr>
      <w:sz w:val="20"/>
      <w:szCs w:val="20"/>
    </w:rPr>
  </w:style>
  <w:style w:type="character" w:customStyle="1" w:styleId="CommentTextChar">
    <w:name w:val="Comment Text Char"/>
    <w:basedOn w:val="DefaultParagraphFont"/>
    <w:link w:val="CommentText"/>
    <w:uiPriority w:val="99"/>
    <w:rsid w:val="00877904"/>
    <w:rPr>
      <w:sz w:val="20"/>
      <w:szCs w:val="20"/>
    </w:rPr>
  </w:style>
  <w:style w:type="paragraph" w:styleId="CommentSubject">
    <w:name w:val="annotation subject"/>
    <w:basedOn w:val="CommentText"/>
    <w:next w:val="CommentText"/>
    <w:link w:val="CommentSubjectChar"/>
    <w:uiPriority w:val="99"/>
    <w:semiHidden/>
    <w:unhideWhenUsed/>
    <w:rsid w:val="00877904"/>
    <w:rPr>
      <w:b/>
      <w:bCs/>
    </w:rPr>
  </w:style>
  <w:style w:type="character" w:customStyle="1" w:styleId="CommentSubjectChar">
    <w:name w:val="Comment Subject Char"/>
    <w:basedOn w:val="CommentTextChar"/>
    <w:link w:val="CommentSubject"/>
    <w:uiPriority w:val="99"/>
    <w:semiHidden/>
    <w:rsid w:val="00877904"/>
    <w:rPr>
      <w:b/>
      <w:bCs/>
      <w:sz w:val="20"/>
      <w:szCs w:val="20"/>
    </w:rPr>
  </w:style>
  <w:style w:type="table" w:styleId="GridTable4-Accent5">
    <w:name w:val="Grid Table 4 Accent 5"/>
    <w:basedOn w:val="TableNormal"/>
    <w:uiPriority w:val="49"/>
    <w:rsid w:val="00F5744F"/>
    <w:pPr>
      <w:spacing w:after="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paragraph" w:styleId="Header">
    <w:name w:val="header"/>
    <w:basedOn w:val="Normal"/>
    <w:link w:val="HeaderChar"/>
    <w:uiPriority w:val="99"/>
    <w:unhideWhenUsed/>
    <w:rsid w:val="00182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2959"/>
  </w:style>
  <w:style w:type="paragraph" w:styleId="Footer">
    <w:name w:val="footer"/>
    <w:basedOn w:val="Normal"/>
    <w:link w:val="FooterChar"/>
    <w:uiPriority w:val="99"/>
    <w:unhideWhenUsed/>
    <w:rsid w:val="00182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959"/>
  </w:style>
  <w:style w:type="character" w:styleId="UnresolvedMention">
    <w:name w:val="Unresolved Mention"/>
    <w:basedOn w:val="DefaultParagraphFont"/>
    <w:uiPriority w:val="99"/>
    <w:semiHidden/>
    <w:unhideWhenUsed/>
    <w:rsid w:val="00846617"/>
    <w:rPr>
      <w:color w:val="605E5C"/>
      <w:shd w:val="clear" w:color="auto" w:fill="E1DFDD"/>
    </w:rPr>
  </w:style>
  <w:style w:type="character" w:customStyle="1" w:styleId="title-text">
    <w:name w:val="title-text"/>
    <w:basedOn w:val="DefaultParagraphFont"/>
    <w:rsid w:val="00884B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175514">
      <w:bodyDiv w:val="1"/>
      <w:marLeft w:val="0"/>
      <w:marRight w:val="0"/>
      <w:marTop w:val="0"/>
      <w:marBottom w:val="0"/>
      <w:divBdr>
        <w:top w:val="none" w:sz="0" w:space="0" w:color="auto"/>
        <w:left w:val="none" w:sz="0" w:space="0" w:color="auto"/>
        <w:bottom w:val="none" w:sz="0" w:space="0" w:color="auto"/>
        <w:right w:val="none" w:sz="0" w:space="0" w:color="auto"/>
      </w:divBdr>
    </w:div>
    <w:div w:id="148790867">
      <w:bodyDiv w:val="1"/>
      <w:marLeft w:val="0"/>
      <w:marRight w:val="0"/>
      <w:marTop w:val="0"/>
      <w:marBottom w:val="0"/>
      <w:divBdr>
        <w:top w:val="none" w:sz="0" w:space="0" w:color="auto"/>
        <w:left w:val="none" w:sz="0" w:space="0" w:color="auto"/>
        <w:bottom w:val="none" w:sz="0" w:space="0" w:color="auto"/>
        <w:right w:val="none" w:sz="0" w:space="0" w:color="auto"/>
      </w:divBdr>
    </w:div>
    <w:div w:id="188642295">
      <w:bodyDiv w:val="1"/>
      <w:marLeft w:val="0"/>
      <w:marRight w:val="0"/>
      <w:marTop w:val="0"/>
      <w:marBottom w:val="0"/>
      <w:divBdr>
        <w:top w:val="none" w:sz="0" w:space="0" w:color="auto"/>
        <w:left w:val="none" w:sz="0" w:space="0" w:color="auto"/>
        <w:bottom w:val="none" w:sz="0" w:space="0" w:color="auto"/>
        <w:right w:val="none" w:sz="0" w:space="0" w:color="auto"/>
      </w:divBdr>
    </w:div>
    <w:div w:id="226304240">
      <w:bodyDiv w:val="1"/>
      <w:marLeft w:val="0"/>
      <w:marRight w:val="0"/>
      <w:marTop w:val="0"/>
      <w:marBottom w:val="0"/>
      <w:divBdr>
        <w:top w:val="none" w:sz="0" w:space="0" w:color="auto"/>
        <w:left w:val="none" w:sz="0" w:space="0" w:color="auto"/>
        <w:bottom w:val="none" w:sz="0" w:space="0" w:color="auto"/>
        <w:right w:val="none" w:sz="0" w:space="0" w:color="auto"/>
      </w:divBdr>
    </w:div>
    <w:div w:id="508302017">
      <w:bodyDiv w:val="1"/>
      <w:marLeft w:val="0"/>
      <w:marRight w:val="0"/>
      <w:marTop w:val="0"/>
      <w:marBottom w:val="0"/>
      <w:divBdr>
        <w:top w:val="none" w:sz="0" w:space="0" w:color="auto"/>
        <w:left w:val="none" w:sz="0" w:space="0" w:color="auto"/>
        <w:bottom w:val="none" w:sz="0" w:space="0" w:color="auto"/>
        <w:right w:val="none" w:sz="0" w:space="0" w:color="auto"/>
      </w:divBdr>
    </w:div>
    <w:div w:id="666641535">
      <w:bodyDiv w:val="1"/>
      <w:marLeft w:val="0"/>
      <w:marRight w:val="0"/>
      <w:marTop w:val="0"/>
      <w:marBottom w:val="0"/>
      <w:divBdr>
        <w:top w:val="none" w:sz="0" w:space="0" w:color="auto"/>
        <w:left w:val="none" w:sz="0" w:space="0" w:color="auto"/>
        <w:bottom w:val="none" w:sz="0" w:space="0" w:color="auto"/>
        <w:right w:val="none" w:sz="0" w:space="0" w:color="auto"/>
      </w:divBdr>
      <w:divsChild>
        <w:div w:id="1385984262">
          <w:marLeft w:val="0"/>
          <w:marRight w:val="0"/>
          <w:marTop w:val="0"/>
          <w:marBottom w:val="0"/>
          <w:divBdr>
            <w:top w:val="none" w:sz="0" w:space="0" w:color="auto"/>
            <w:left w:val="none" w:sz="0" w:space="0" w:color="auto"/>
            <w:bottom w:val="none" w:sz="0" w:space="0" w:color="auto"/>
            <w:right w:val="none" w:sz="0" w:space="0" w:color="auto"/>
          </w:divBdr>
          <w:divsChild>
            <w:div w:id="1521775643">
              <w:marLeft w:val="0"/>
              <w:marRight w:val="0"/>
              <w:marTop w:val="0"/>
              <w:marBottom w:val="0"/>
              <w:divBdr>
                <w:top w:val="none" w:sz="0" w:space="0" w:color="auto"/>
                <w:left w:val="none" w:sz="0" w:space="0" w:color="auto"/>
                <w:bottom w:val="none" w:sz="0" w:space="0" w:color="auto"/>
                <w:right w:val="none" w:sz="0" w:space="0" w:color="auto"/>
              </w:divBdr>
              <w:divsChild>
                <w:div w:id="700010865">
                  <w:marLeft w:val="0"/>
                  <w:marRight w:val="0"/>
                  <w:marTop w:val="0"/>
                  <w:marBottom w:val="0"/>
                  <w:divBdr>
                    <w:top w:val="none" w:sz="0" w:space="0" w:color="auto"/>
                    <w:left w:val="none" w:sz="0" w:space="0" w:color="auto"/>
                    <w:bottom w:val="none" w:sz="0" w:space="0" w:color="auto"/>
                    <w:right w:val="none" w:sz="0" w:space="0" w:color="auto"/>
                  </w:divBdr>
                  <w:divsChild>
                    <w:div w:id="271976736">
                      <w:marLeft w:val="0"/>
                      <w:marRight w:val="0"/>
                      <w:marTop w:val="0"/>
                      <w:marBottom w:val="0"/>
                      <w:divBdr>
                        <w:top w:val="none" w:sz="0" w:space="0" w:color="auto"/>
                        <w:left w:val="none" w:sz="0" w:space="0" w:color="auto"/>
                        <w:bottom w:val="none" w:sz="0" w:space="0" w:color="auto"/>
                        <w:right w:val="none" w:sz="0" w:space="0" w:color="auto"/>
                      </w:divBdr>
                      <w:divsChild>
                        <w:div w:id="357316309">
                          <w:marLeft w:val="0"/>
                          <w:marRight w:val="0"/>
                          <w:marTop w:val="0"/>
                          <w:marBottom w:val="0"/>
                          <w:divBdr>
                            <w:top w:val="none" w:sz="0" w:space="0" w:color="auto"/>
                            <w:left w:val="none" w:sz="0" w:space="0" w:color="auto"/>
                            <w:bottom w:val="none" w:sz="0" w:space="0" w:color="auto"/>
                            <w:right w:val="none" w:sz="0" w:space="0" w:color="auto"/>
                          </w:divBdr>
                          <w:divsChild>
                            <w:div w:id="146303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610989">
                  <w:marLeft w:val="0"/>
                  <w:marRight w:val="0"/>
                  <w:marTop w:val="0"/>
                  <w:marBottom w:val="0"/>
                  <w:divBdr>
                    <w:top w:val="none" w:sz="0" w:space="0" w:color="auto"/>
                    <w:left w:val="none" w:sz="0" w:space="0" w:color="auto"/>
                    <w:bottom w:val="none" w:sz="0" w:space="0" w:color="auto"/>
                    <w:right w:val="none" w:sz="0" w:space="0" w:color="auto"/>
                  </w:divBdr>
                  <w:divsChild>
                    <w:div w:id="2059818235">
                      <w:marLeft w:val="0"/>
                      <w:marRight w:val="0"/>
                      <w:marTop w:val="0"/>
                      <w:marBottom w:val="0"/>
                      <w:divBdr>
                        <w:top w:val="none" w:sz="0" w:space="0" w:color="auto"/>
                        <w:left w:val="none" w:sz="0" w:space="0" w:color="auto"/>
                        <w:bottom w:val="none" w:sz="0" w:space="0" w:color="auto"/>
                        <w:right w:val="none" w:sz="0" w:space="0" w:color="auto"/>
                      </w:divBdr>
                      <w:divsChild>
                        <w:div w:id="942147701">
                          <w:marLeft w:val="0"/>
                          <w:marRight w:val="0"/>
                          <w:marTop w:val="0"/>
                          <w:marBottom w:val="0"/>
                          <w:divBdr>
                            <w:top w:val="none" w:sz="0" w:space="0" w:color="auto"/>
                            <w:left w:val="none" w:sz="0" w:space="0" w:color="auto"/>
                            <w:bottom w:val="none" w:sz="0" w:space="0" w:color="auto"/>
                            <w:right w:val="none" w:sz="0" w:space="0" w:color="auto"/>
                          </w:divBdr>
                          <w:divsChild>
                            <w:div w:id="209304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4595988">
      <w:bodyDiv w:val="1"/>
      <w:marLeft w:val="0"/>
      <w:marRight w:val="0"/>
      <w:marTop w:val="0"/>
      <w:marBottom w:val="0"/>
      <w:divBdr>
        <w:top w:val="none" w:sz="0" w:space="0" w:color="auto"/>
        <w:left w:val="none" w:sz="0" w:space="0" w:color="auto"/>
        <w:bottom w:val="none" w:sz="0" w:space="0" w:color="auto"/>
        <w:right w:val="none" w:sz="0" w:space="0" w:color="auto"/>
      </w:divBdr>
    </w:div>
    <w:div w:id="771047855">
      <w:bodyDiv w:val="1"/>
      <w:marLeft w:val="0"/>
      <w:marRight w:val="0"/>
      <w:marTop w:val="0"/>
      <w:marBottom w:val="0"/>
      <w:divBdr>
        <w:top w:val="none" w:sz="0" w:space="0" w:color="auto"/>
        <w:left w:val="none" w:sz="0" w:space="0" w:color="auto"/>
        <w:bottom w:val="none" w:sz="0" w:space="0" w:color="auto"/>
        <w:right w:val="none" w:sz="0" w:space="0" w:color="auto"/>
      </w:divBdr>
    </w:div>
    <w:div w:id="799423495">
      <w:bodyDiv w:val="1"/>
      <w:marLeft w:val="0"/>
      <w:marRight w:val="0"/>
      <w:marTop w:val="0"/>
      <w:marBottom w:val="0"/>
      <w:divBdr>
        <w:top w:val="none" w:sz="0" w:space="0" w:color="auto"/>
        <w:left w:val="none" w:sz="0" w:space="0" w:color="auto"/>
        <w:bottom w:val="none" w:sz="0" w:space="0" w:color="auto"/>
        <w:right w:val="none" w:sz="0" w:space="0" w:color="auto"/>
      </w:divBdr>
    </w:div>
    <w:div w:id="921334562">
      <w:bodyDiv w:val="1"/>
      <w:marLeft w:val="0"/>
      <w:marRight w:val="0"/>
      <w:marTop w:val="0"/>
      <w:marBottom w:val="0"/>
      <w:divBdr>
        <w:top w:val="none" w:sz="0" w:space="0" w:color="auto"/>
        <w:left w:val="none" w:sz="0" w:space="0" w:color="auto"/>
        <w:bottom w:val="none" w:sz="0" w:space="0" w:color="auto"/>
        <w:right w:val="none" w:sz="0" w:space="0" w:color="auto"/>
      </w:divBdr>
    </w:div>
    <w:div w:id="981807489">
      <w:bodyDiv w:val="1"/>
      <w:marLeft w:val="0"/>
      <w:marRight w:val="0"/>
      <w:marTop w:val="0"/>
      <w:marBottom w:val="0"/>
      <w:divBdr>
        <w:top w:val="none" w:sz="0" w:space="0" w:color="auto"/>
        <w:left w:val="none" w:sz="0" w:space="0" w:color="auto"/>
        <w:bottom w:val="none" w:sz="0" w:space="0" w:color="auto"/>
        <w:right w:val="none" w:sz="0" w:space="0" w:color="auto"/>
      </w:divBdr>
    </w:div>
    <w:div w:id="1023048080">
      <w:bodyDiv w:val="1"/>
      <w:marLeft w:val="0"/>
      <w:marRight w:val="0"/>
      <w:marTop w:val="0"/>
      <w:marBottom w:val="0"/>
      <w:divBdr>
        <w:top w:val="none" w:sz="0" w:space="0" w:color="auto"/>
        <w:left w:val="none" w:sz="0" w:space="0" w:color="auto"/>
        <w:bottom w:val="none" w:sz="0" w:space="0" w:color="auto"/>
        <w:right w:val="none" w:sz="0" w:space="0" w:color="auto"/>
      </w:divBdr>
    </w:div>
    <w:div w:id="1558857258">
      <w:bodyDiv w:val="1"/>
      <w:marLeft w:val="0"/>
      <w:marRight w:val="0"/>
      <w:marTop w:val="0"/>
      <w:marBottom w:val="0"/>
      <w:divBdr>
        <w:top w:val="none" w:sz="0" w:space="0" w:color="auto"/>
        <w:left w:val="none" w:sz="0" w:space="0" w:color="auto"/>
        <w:bottom w:val="none" w:sz="0" w:space="0" w:color="auto"/>
        <w:right w:val="none" w:sz="0" w:space="0" w:color="auto"/>
      </w:divBdr>
    </w:div>
    <w:div w:id="1624846385">
      <w:bodyDiv w:val="1"/>
      <w:marLeft w:val="0"/>
      <w:marRight w:val="0"/>
      <w:marTop w:val="0"/>
      <w:marBottom w:val="0"/>
      <w:divBdr>
        <w:top w:val="none" w:sz="0" w:space="0" w:color="auto"/>
        <w:left w:val="none" w:sz="0" w:space="0" w:color="auto"/>
        <w:bottom w:val="none" w:sz="0" w:space="0" w:color="auto"/>
        <w:right w:val="none" w:sz="0" w:space="0" w:color="auto"/>
      </w:divBdr>
    </w:div>
    <w:div w:id="1641690026">
      <w:bodyDiv w:val="1"/>
      <w:marLeft w:val="0"/>
      <w:marRight w:val="0"/>
      <w:marTop w:val="0"/>
      <w:marBottom w:val="0"/>
      <w:divBdr>
        <w:top w:val="none" w:sz="0" w:space="0" w:color="auto"/>
        <w:left w:val="none" w:sz="0" w:space="0" w:color="auto"/>
        <w:bottom w:val="none" w:sz="0" w:space="0" w:color="auto"/>
        <w:right w:val="none" w:sz="0" w:space="0" w:color="auto"/>
      </w:divBdr>
    </w:div>
    <w:div w:id="1738935323">
      <w:bodyDiv w:val="1"/>
      <w:marLeft w:val="0"/>
      <w:marRight w:val="0"/>
      <w:marTop w:val="0"/>
      <w:marBottom w:val="0"/>
      <w:divBdr>
        <w:top w:val="none" w:sz="0" w:space="0" w:color="auto"/>
        <w:left w:val="none" w:sz="0" w:space="0" w:color="auto"/>
        <w:bottom w:val="none" w:sz="0" w:space="0" w:color="auto"/>
        <w:right w:val="none" w:sz="0" w:space="0" w:color="auto"/>
      </w:divBdr>
      <w:divsChild>
        <w:div w:id="1286933114">
          <w:marLeft w:val="0"/>
          <w:marRight w:val="0"/>
          <w:marTop w:val="0"/>
          <w:marBottom w:val="0"/>
          <w:divBdr>
            <w:top w:val="none" w:sz="0" w:space="0" w:color="auto"/>
            <w:left w:val="none" w:sz="0" w:space="0" w:color="auto"/>
            <w:bottom w:val="none" w:sz="0" w:space="0" w:color="auto"/>
            <w:right w:val="none" w:sz="0" w:space="0" w:color="auto"/>
          </w:divBdr>
          <w:divsChild>
            <w:div w:id="195124890">
              <w:marLeft w:val="0"/>
              <w:marRight w:val="0"/>
              <w:marTop w:val="0"/>
              <w:marBottom w:val="0"/>
              <w:divBdr>
                <w:top w:val="none" w:sz="0" w:space="0" w:color="auto"/>
                <w:left w:val="none" w:sz="0" w:space="0" w:color="auto"/>
                <w:bottom w:val="none" w:sz="0" w:space="0" w:color="auto"/>
                <w:right w:val="none" w:sz="0" w:space="0" w:color="auto"/>
              </w:divBdr>
              <w:divsChild>
                <w:div w:id="1643654212">
                  <w:marLeft w:val="0"/>
                  <w:marRight w:val="0"/>
                  <w:marTop w:val="0"/>
                  <w:marBottom w:val="0"/>
                  <w:divBdr>
                    <w:top w:val="none" w:sz="0" w:space="0" w:color="auto"/>
                    <w:left w:val="none" w:sz="0" w:space="0" w:color="auto"/>
                    <w:bottom w:val="none" w:sz="0" w:space="0" w:color="auto"/>
                    <w:right w:val="none" w:sz="0" w:space="0" w:color="auto"/>
                  </w:divBdr>
                  <w:divsChild>
                    <w:div w:id="1485513246">
                      <w:marLeft w:val="0"/>
                      <w:marRight w:val="0"/>
                      <w:marTop w:val="0"/>
                      <w:marBottom w:val="0"/>
                      <w:divBdr>
                        <w:top w:val="none" w:sz="0" w:space="0" w:color="auto"/>
                        <w:left w:val="none" w:sz="0" w:space="0" w:color="auto"/>
                        <w:bottom w:val="none" w:sz="0" w:space="0" w:color="auto"/>
                        <w:right w:val="none" w:sz="0" w:space="0" w:color="auto"/>
                      </w:divBdr>
                      <w:divsChild>
                        <w:div w:id="1631747587">
                          <w:marLeft w:val="0"/>
                          <w:marRight w:val="0"/>
                          <w:marTop w:val="0"/>
                          <w:marBottom w:val="0"/>
                          <w:divBdr>
                            <w:top w:val="none" w:sz="0" w:space="0" w:color="auto"/>
                            <w:left w:val="none" w:sz="0" w:space="0" w:color="auto"/>
                            <w:bottom w:val="none" w:sz="0" w:space="0" w:color="auto"/>
                            <w:right w:val="none" w:sz="0" w:space="0" w:color="auto"/>
                          </w:divBdr>
                          <w:divsChild>
                            <w:div w:id="65151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51416">
                  <w:marLeft w:val="0"/>
                  <w:marRight w:val="0"/>
                  <w:marTop w:val="0"/>
                  <w:marBottom w:val="0"/>
                  <w:divBdr>
                    <w:top w:val="none" w:sz="0" w:space="0" w:color="auto"/>
                    <w:left w:val="none" w:sz="0" w:space="0" w:color="auto"/>
                    <w:bottom w:val="none" w:sz="0" w:space="0" w:color="auto"/>
                    <w:right w:val="none" w:sz="0" w:space="0" w:color="auto"/>
                  </w:divBdr>
                  <w:divsChild>
                    <w:div w:id="1408108321">
                      <w:marLeft w:val="0"/>
                      <w:marRight w:val="0"/>
                      <w:marTop w:val="0"/>
                      <w:marBottom w:val="0"/>
                      <w:divBdr>
                        <w:top w:val="none" w:sz="0" w:space="0" w:color="auto"/>
                        <w:left w:val="none" w:sz="0" w:space="0" w:color="auto"/>
                        <w:bottom w:val="none" w:sz="0" w:space="0" w:color="auto"/>
                        <w:right w:val="none" w:sz="0" w:space="0" w:color="auto"/>
                      </w:divBdr>
                      <w:divsChild>
                        <w:div w:id="978850546">
                          <w:marLeft w:val="0"/>
                          <w:marRight w:val="0"/>
                          <w:marTop w:val="0"/>
                          <w:marBottom w:val="0"/>
                          <w:divBdr>
                            <w:top w:val="none" w:sz="0" w:space="0" w:color="auto"/>
                            <w:left w:val="none" w:sz="0" w:space="0" w:color="auto"/>
                            <w:bottom w:val="none" w:sz="0" w:space="0" w:color="auto"/>
                            <w:right w:val="none" w:sz="0" w:space="0" w:color="auto"/>
                          </w:divBdr>
                          <w:divsChild>
                            <w:div w:id="78500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589893">
      <w:bodyDiv w:val="1"/>
      <w:marLeft w:val="0"/>
      <w:marRight w:val="0"/>
      <w:marTop w:val="0"/>
      <w:marBottom w:val="0"/>
      <w:divBdr>
        <w:top w:val="none" w:sz="0" w:space="0" w:color="auto"/>
        <w:left w:val="none" w:sz="0" w:space="0" w:color="auto"/>
        <w:bottom w:val="none" w:sz="0" w:space="0" w:color="auto"/>
        <w:right w:val="none" w:sz="0" w:space="0" w:color="auto"/>
      </w:divBdr>
    </w:div>
    <w:div w:id="2014868561">
      <w:bodyDiv w:val="1"/>
      <w:marLeft w:val="0"/>
      <w:marRight w:val="0"/>
      <w:marTop w:val="0"/>
      <w:marBottom w:val="0"/>
      <w:divBdr>
        <w:top w:val="none" w:sz="0" w:space="0" w:color="auto"/>
        <w:left w:val="none" w:sz="0" w:space="0" w:color="auto"/>
        <w:bottom w:val="none" w:sz="0" w:space="0" w:color="auto"/>
        <w:right w:val="none" w:sz="0" w:space="0" w:color="auto"/>
      </w:divBdr>
    </w:div>
    <w:div w:id="20638194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chart" Target="charts/chart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f12689ea643b87bc/2024_electricity_trade_paper/data/imports%20high%20net%20loads%20diff%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1740729115966212E-2"/>
          <c:y val="3.7497070541363954E-2"/>
          <c:w val="0.8531581732526069"/>
          <c:h val="0.79225072844333644"/>
        </c:manualLayout>
      </c:layout>
      <c:barChart>
        <c:barDir val="bar"/>
        <c:grouping val="clustered"/>
        <c:varyColors val="0"/>
        <c:ser>
          <c:idx val="0"/>
          <c:order val="0"/>
          <c:spPr>
            <a:solidFill>
              <a:schemeClr val="accent1"/>
            </a:solidFill>
            <a:ln>
              <a:noFill/>
            </a:ln>
            <a:effectLst/>
          </c:spPr>
          <c:invertIfNegative val="0"/>
          <c:val>
            <c:numRef>
              <c:f>'[imports high net loads diff chart.xlsx]Sheet1'!$A$1:$A$46</c:f>
              <c:numCache>
                <c:formatCode>General</c:formatCode>
                <c:ptCount val="46"/>
                <c:pt idx="0">
                  <c:v>-9.3029925985211009E-2</c:v>
                </c:pt>
                <c:pt idx="1">
                  <c:v>-9.0441947824400959E-2</c:v>
                </c:pt>
                <c:pt idx="2">
                  <c:v>-8.7558919415611197E-2</c:v>
                </c:pt>
                <c:pt idx="3">
                  <c:v>-6.8084611651578031E-2</c:v>
                </c:pt>
                <c:pt idx="4">
                  <c:v>-4.8165272084470745E-2</c:v>
                </c:pt>
                <c:pt idx="5">
                  <c:v>-4.500389055267201E-2</c:v>
                </c:pt>
                <c:pt idx="6">
                  <c:v>-4.0065557966371013E-2</c:v>
                </c:pt>
                <c:pt idx="7">
                  <c:v>-3.8997804140042003E-2</c:v>
                </c:pt>
                <c:pt idx="8">
                  <c:v>-2.7496468845527977E-2</c:v>
                </c:pt>
                <c:pt idx="9">
                  <c:v>-2.7373185495583013E-2</c:v>
                </c:pt>
                <c:pt idx="10">
                  <c:v>-2.2131290823931005E-2</c:v>
                </c:pt>
                <c:pt idx="11">
                  <c:v>-1.9082834829216022E-2</c:v>
                </c:pt>
                <c:pt idx="12">
                  <c:v>-1.5694833929185997E-2</c:v>
                </c:pt>
                <c:pt idx="13">
                  <c:v>-1.1113185109222301E-2</c:v>
                </c:pt>
                <c:pt idx="14">
                  <c:v>-1.0105844587596099E-2</c:v>
                </c:pt>
                <c:pt idx="15">
                  <c:v>-8.534988572644106E-3</c:v>
                </c:pt>
                <c:pt idx="16">
                  <c:v>-7.4730627201880229E-3</c:v>
                </c:pt>
                <c:pt idx="17">
                  <c:v>-7.2144178256198024E-3</c:v>
                </c:pt>
                <c:pt idx="18">
                  <c:v>-6.8143841699245195E-3</c:v>
                </c:pt>
                <c:pt idx="19">
                  <c:v>-6.1294136205333203E-3</c:v>
                </c:pt>
                <c:pt idx="20">
                  <c:v>-3.7280141302831605E-3</c:v>
                </c:pt>
                <c:pt idx="21">
                  <c:v>-4.5310648461817024E-4</c:v>
                </c:pt>
                <c:pt idx="22">
                  <c:v>0</c:v>
                </c:pt>
                <c:pt idx="23">
                  <c:v>8.4600076650470472E-5</c:v>
                </c:pt>
                <c:pt idx="24">
                  <c:v>3.9979125419556004E-4</c:v>
                </c:pt>
                <c:pt idx="25">
                  <c:v>2.0263092739873268E-3</c:v>
                </c:pt>
                <c:pt idx="26">
                  <c:v>3.8647259521840116E-3</c:v>
                </c:pt>
                <c:pt idx="27">
                  <c:v>5.6020787323675702E-3</c:v>
                </c:pt>
                <c:pt idx="28">
                  <c:v>6.4715594873323984E-3</c:v>
                </c:pt>
                <c:pt idx="29">
                  <c:v>9.0007505900170197E-3</c:v>
                </c:pt>
                <c:pt idx="30">
                  <c:v>1.2799576994782801E-2</c:v>
                </c:pt>
                <c:pt idx="31">
                  <c:v>1.6946347792240996E-2</c:v>
                </c:pt>
                <c:pt idx="32">
                  <c:v>3.6977239875204196E-2</c:v>
                </c:pt>
                <c:pt idx="33">
                  <c:v>4.00982794396346E-2</c:v>
                </c:pt>
                <c:pt idx="34">
                  <c:v>4.1402820052267399E-2</c:v>
                </c:pt>
                <c:pt idx="35">
                  <c:v>7.9176096468485085E-2</c:v>
                </c:pt>
                <c:pt idx="36">
                  <c:v>8.1730463264193032E-2</c:v>
                </c:pt>
                <c:pt idx="37">
                  <c:v>8.2873063601802022E-2</c:v>
                </c:pt>
                <c:pt idx="38">
                  <c:v>9.0103125216822011E-2</c:v>
                </c:pt>
                <c:pt idx="39">
                  <c:v>9.6423023916013983E-2</c:v>
                </c:pt>
                <c:pt idx="40">
                  <c:v>9.9250388901354986E-2</c:v>
                </c:pt>
                <c:pt idx="41">
                  <c:v>0.10204662942904399</c:v>
                </c:pt>
                <c:pt idx="42">
                  <c:v>0.11046059019960329</c:v>
                </c:pt>
                <c:pt idx="43">
                  <c:v>0.14216534944320397</c:v>
                </c:pt>
              </c:numCache>
            </c:numRef>
          </c:val>
          <c:extLst>
            <c:ext xmlns:c16="http://schemas.microsoft.com/office/drawing/2014/chart" uri="{C3380CC4-5D6E-409C-BE32-E72D297353CC}">
              <c16:uniqueId val="{00000000-B992-446F-8978-C8D67179563D}"/>
            </c:ext>
          </c:extLst>
        </c:ser>
        <c:dLbls>
          <c:showLegendKey val="0"/>
          <c:showVal val="0"/>
          <c:showCatName val="0"/>
          <c:showSerName val="0"/>
          <c:showPercent val="0"/>
          <c:showBubbleSize val="0"/>
        </c:dLbls>
        <c:gapWidth val="99"/>
        <c:axId val="1881208527"/>
        <c:axId val="1881209007"/>
      </c:barChart>
      <c:catAx>
        <c:axId val="1881208527"/>
        <c:scaling>
          <c:orientation val="minMax"/>
        </c:scaling>
        <c:delete val="1"/>
        <c:axPos val="l"/>
        <c:numFmt formatCode="General" sourceLinked="1"/>
        <c:majorTickMark val="none"/>
        <c:minorTickMark val="none"/>
        <c:tickLblPos val="nextTo"/>
        <c:crossAx val="1881209007"/>
        <c:crosses val="autoZero"/>
        <c:auto val="1"/>
        <c:lblAlgn val="ctr"/>
        <c:lblOffset val="100"/>
        <c:noMultiLvlLbl val="0"/>
      </c:catAx>
      <c:valAx>
        <c:axId val="1881209007"/>
        <c:scaling>
          <c:orientation val="minMax"/>
          <c:max val="0.15000000000000002"/>
          <c:min val="-0.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Difference in Import Share</a:t>
                </a:r>
              </a:p>
            </c:rich>
          </c:tx>
          <c:layout>
            <c:manualLayout>
              <c:xMode val="edge"/>
              <c:yMode val="edge"/>
              <c:x val="0.26889559082411058"/>
              <c:y val="0.90529627668114021"/>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881208527"/>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solidFill>
            <a:sysClr val="windowText" lastClr="000000"/>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118B69-7801-407A-946A-67BCBB8D6897}">
  <we:reference id="wa104382081" version="1.55.1.0" store="en-US" storeType="OMEX"/>
  <we:alternateReferences>
    <we:reference id="wa104382081" version="1.55.1.0" store="" storeType="OMEX"/>
  </we:alternateReferences>
  <we:properties>
    <we:property name="MENDELEY_CITATIONS" value="[{&quot;citationID&quot;:&quot;MENDELEY_CITATION_55b44e44-65e6-4d62-8b09-3208cc49b594&quot;,&quot;properties&quot;:{&quot;noteIndex&quot;:0},&quot;isEdited&quot;:false,&quot;manualOverride&quot;:{&quot;isManuallyOverridden&quot;:false,&quot;citeprocText&quot;:&quot;[1]&quot;,&quot;manualOverrideText&quot;:&quot;&quot;},&quot;citationTag&quot;:&quot;MENDELEY_CITATION_v3_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&quot;,&quot;citationItems&quot;:[{&quot;id&quot;:&quot;e9055982-bc99-3749-9bb3-50f9349428c2&quot;,&quot;itemData&quot;:{&quot;type&quot;:&quot;article-journal&quot;,&quot;id&quot;:&quot;e9055982-bc99-3749-9bb3-50f9349428c2&quot;,&quot;title&quot;:&quot;The Measurement of Species Diversity Robert K. Peet Annual Review of Ecology and Systematics , Vol. 5. (1974), pp. 285-307.&quot;,&quot;author&quot;:[{&quot;family&quot;:&quot;Peet, Robert&quot;,&quot;given&quot;:&quot;K.&quot;,&quot;parse-names&quot;:false,&quot;dropping-particle&quot;:&quot;&quot;,&quot;non-dropping-particle&quot;:&quot;&quot;}],&quot;container-title&quot;:&quot;Annual Review of Ecology and Systematics&quot;,&quot;container-title-short&quot;:&quot;Annu Rev Ecol Syst&quot;,&quot;issued&quot;:{&quot;date-parts&quot;:[[1974]]},&quot;abstract&quot;:&quot;Inspired significantly by the provocative papers of MacArthur (34, 35, 38) and Hutchinson (22), ecologists over the past twenty years have devoted considerable energy to the explanation of patterns of diversity in ecologic systems. Despite considerable interest, however, no generally accepted definition of diversity has emerged. \&quot;Diversity per se does not exist,\&quot; was the contention of Hurlbert (20), who suggested abandoning the term because of the multiplicity of meanings and interpre- tations attached to it. MacArthur (37) also considered the term had outlived its usefulness, and Eberhardt (10), Austin (2), and McIntosh (40) all complained of the lack of a definition. Eberhardt considered that diversity \&quot;mostly suggests a consider- able confusion of concepts, definitions, models, and measures (or indices).\&quot; If diver- sity is to continue toplay a productive role in ecological investigations, agreement is needed on the definitions of the many constituent concepts included in its current application. At the community level of synthesis many phenomena are complex and open to multiple interpretation. Consequently, many authors have suggested diversity in- dices appropriate for their own studies, no one of which can be considered a priori correct for general application (12, 19, 20, 32, 40). Diversity, in essence, has always been defined by the indices used to measure it, and this has not fostered the sort of uniformity which allows the clear statement of ideas and hypotheses. Progress in ecology, as in all science, depends upon precise and unambiguous definition of terms and concepts (2, 40, 44). The present contribution attempts to define in a precise, but still generalized manner, what is or should be meant by the many terms sur- rounding the concept-cluster diversity. Guidelines are also suggested for the applica- tion of the many available diversity indice&quot;,&quot;volume&quot;:&quot;5&quot;},&quot;isTemporary&quot;:false}]}]"/>
    <we:property name="MENDELEY_CITATIONS_LOCALE_CODE" value="&quot;en-US&quot;"/>
    <we:property name="MENDELEY_CITATIONS_STYLE" value="{&quot;id&quot;:&quot;https://www.zotero.org/styles/applied-energy&quot;,&quot;title&quot;:&quot;Applied Energy&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rhDruxJsXGVkKJL8Dq1P4ggrhw==">CgMxLjAyCGguZ2pkZ3hzOAByITFNWUZVT25PVE9iMzE5VTZGN3N4bVo5a1JIQ0xOUnVuWg==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A4D33B7-20AD-4F9B-AEBE-EB4F6ACA2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22</Pages>
  <Words>21645</Words>
  <Characters>123377</Characters>
  <Application>Microsoft Office Word</Application>
  <DocSecurity>0</DocSecurity>
  <Lines>1028</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Dahlke, Steven</dc:creator>
  <cp:lastModifiedBy>Steven Dahlke</cp:lastModifiedBy>
  <cp:revision>58</cp:revision>
  <dcterms:created xsi:type="dcterms:W3CDTF">2024-11-28T05:34:00Z</dcterms:created>
  <dcterms:modified xsi:type="dcterms:W3CDTF">2024-12-06T10:53:00Z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id="Wt3UB6UY"/&gt;&lt;style id="http://www.zotero.org/styles/applied-energy" hasBibliography="1" bibliographyStyleHasBeenSet="1"/&gt;&lt;prefs&gt;&lt;pref name="fieldType" value="Field"/&gt;&lt;/prefs&gt;&lt;/data&gt;</vt:lpwstr>
  </property>
</Properties>
</file>