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5984" w14:textId="1516E436" w:rsidR="00E86C28" w:rsidRDefault="00E86C28" w:rsidP="00E86C28">
      <w:pPr>
        <w:pStyle w:val="Title"/>
      </w:pPr>
      <w:r>
        <w:t>Title</w:t>
      </w:r>
    </w:p>
    <w:p w14:paraId="6C2811D2" w14:textId="5FD648A2" w:rsidR="00DB3400" w:rsidRDefault="00DB3400" w:rsidP="00F1199A">
      <w:r w:rsidRPr="00F1199A">
        <w:t>The Economics of Regulated Power Generation: A Cost Analysis Using FERC Form 1 Data</w:t>
      </w:r>
    </w:p>
    <w:p w14:paraId="37D1D792" w14:textId="21704C33" w:rsidR="00F1199A" w:rsidRDefault="00F1199A" w:rsidP="00F1199A">
      <w:r w:rsidRPr="00F1199A">
        <w:t>Unlocking the Grid's Financials: A New Look at Power Plant Costs by Linking FERC and EIA Data</w:t>
      </w:r>
    </w:p>
    <w:p w14:paraId="2D03A4C1" w14:textId="57BC3D92" w:rsidR="00AC370B" w:rsidRPr="00AC370B" w:rsidRDefault="001C0D04" w:rsidP="006D0A47">
      <w:pPr>
        <w:pStyle w:val="Heading1"/>
        <w:numPr>
          <w:ilvl w:val="0"/>
          <w:numId w:val="0"/>
        </w:numPr>
        <w:ind w:left="360" w:hanging="360"/>
      </w:pPr>
      <w:r>
        <w:t>Abstract</w:t>
      </w:r>
    </w:p>
    <w:p w14:paraId="48606309" w14:textId="43419E0B" w:rsidR="00471B80" w:rsidRDefault="001C0D04" w:rsidP="00DC40BB">
      <w:pPr>
        <w:pStyle w:val="Heading1"/>
      </w:pPr>
      <w:r w:rsidRPr="00DC40BB">
        <w:t>Introduction</w:t>
      </w:r>
    </w:p>
    <w:p w14:paraId="33764D1C" w14:textId="3DF7CF52" w:rsidR="00471B80" w:rsidRDefault="00290C7B" w:rsidP="00B013E2">
      <w:pPr>
        <w:spacing w:after="0" w:line="480" w:lineRule="auto"/>
        <w:ind w:firstLine="720"/>
      </w:pPr>
      <w:r w:rsidRPr="00290C7B">
        <w:t>Reliable power sector planning and regulation under decarbonization increasingly depend on the availability of transparent, plant-level cost data.</w:t>
      </w:r>
      <w:r>
        <w:t xml:space="preserve"> </w:t>
      </w:r>
      <w:r w:rsidR="002F37D5">
        <w:t>Transparent, accurate, and sufficiently granular cost information provides a foundation for effective economic regulation and ensure public oversight of regulated power plant assets is grounded in empirical reality. The availability of such data helps overcome information asymmetry complications that tend to persist in public utility regulation</w:t>
      </w:r>
      <w:r w:rsidR="00D650D4">
        <w:t xml:space="preserve"> </w:t>
      </w:r>
      <w:r w:rsidR="00D650D4">
        <w:fldChar w:fldCharType="begin"/>
      </w:r>
      <w:r w:rsidR="00864649">
        <w:instrText xml:space="preserve"> ADDIN ZOTERO_ITEM CSL_CITATION {"citationID":"O4p89iy2","properties":{"formattedCitation":"(Joskow et al., 1989; Wolak, 1994)","plainCitation":"(Joskow et al., 1989; Wolak, 1994)","noteIndex":0},"citationItems":[{"id":465,"uris":["http://zotero.org/users/14790435/items/6TLM68YG"],"itemData":{"id":465,"type":"article-journal","container-title":"Brookings papers on economic activity. Microeconomics","note":"publisher: JSTOR","page":"125–208","source":"Google Scholar","title":"Regulatory failure, regulatory reform, and structural change in the electrical power industry","volume":"1989","author":[{"family":"Joskow","given":"Paul L."},{"family":"Bohi","given":"Douglas R."},{"family":"Gollop","given":"Frank M."}],"issued":{"date-parts":[["1989"]]}}},{"id":467,"uris":["http://zotero.org/users/14790435/items/6JTX5PKM"],"itemData":{"id":467,"type":"article-journal","container-title":"Annales d'Economie et de Statistique","note":"publisher: JSTOR","page":"13–69","source":"Google Scholar","title":"An econometric analysis of the asymmetric information, regulator-utility interaction","author":[{"family":"Wolak","given":"Frank A."}],"issued":{"date-parts":[["1994"]]}}}],"schema":"https://github.com/citation-style-language/schema/raw/master/csl-citation.json"} </w:instrText>
      </w:r>
      <w:r w:rsidR="00D650D4">
        <w:fldChar w:fldCharType="separate"/>
      </w:r>
      <w:r w:rsidR="00864649" w:rsidRPr="00864649">
        <w:t>(</w:t>
      </w:r>
      <w:proofErr w:type="spellStart"/>
      <w:r w:rsidR="00864649" w:rsidRPr="00864649">
        <w:t>Joskow</w:t>
      </w:r>
      <w:proofErr w:type="spellEnd"/>
      <w:r w:rsidR="00864649" w:rsidRPr="00864649">
        <w:t xml:space="preserve"> et al., 1989; Wolak, 1994)</w:t>
      </w:r>
      <w:r w:rsidR="00D650D4">
        <w:fldChar w:fldCharType="end"/>
      </w:r>
      <w:r w:rsidR="002F37D5">
        <w:t xml:space="preserve">. </w:t>
      </w:r>
      <w:r w:rsidR="006E017A">
        <w:t>Regulators and stakeholders can utilize transparent plant cost data in operational prudence reviews and rate cases.</w:t>
      </w:r>
      <w:r w:rsidR="003C2C96">
        <w:t xml:space="preserve"> </w:t>
      </w:r>
      <w:r w:rsidR="006E017A">
        <w:t>Furthermore, o</w:t>
      </w:r>
      <w:r w:rsidR="00B013E2">
        <w:t xml:space="preserve">ptimizing electricity investments depends on accurate, detailed capital and operating cost data across technology options </w:t>
      </w:r>
      <w:r w:rsidR="00B013E2">
        <w:fldChar w:fldCharType="begin"/>
      </w:r>
      <w:r w:rsidR="00864649">
        <w:instrText xml:space="preserve"> ADDIN ZOTERO_ITEM CSL_CITATION {"citationID":"dHI3bxco","properties":{"formattedCitation":"(Anderson, 1972)","plainCitation":"(Anderson, 1972)","noteIndex":0},"citationItems":[{"id":469,"uris":["http://zotero.org/users/14790435/items/V99YD5DW"],"itemData":{"id":469,"type":"article-journal","container-title":"The Bell Journal of Economics and Management Science","note":"publisher: JSTOR","page":"267–299","source":"Google Scholar","title":"Models for determining least-cost investments in electricity supply","author":[{"family":"Anderson","given":"Dennis"}],"issued":{"date-parts":[["1972"]]}}}],"schema":"https://github.com/citation-style-language/schema/raw/master/csl-citation.json"} </w:instrText>
      </w:r>
      <w:r w:rsidR="00B013E2">
        <w:fldChar w:fldCharType="separate"/>
      </w:r>
      <w:r w:rsidR="00864649" w:rsidRPr="00864649">
        <w:t>(Anderson, 1972)</w:t>
      </w:r>
      <w:r w:rsidR="00B013E2">
        <w:fldChar w:fldCharType="end"/>
      </w:r>
      <w:r w:rsidR="00B013E2">
        <w:t>.</w:t>
      </w:r>
    </w:p>
    <w:p w14:paraId="598293CF" w14:textId="3B1238D8" w:rsidR="00736202" w:rsidRDefault="00B013E2" w:rsidP="00B013E2">
      <w:pPr>
        <w:spacing w:after="0" w:line="480" w:lineRule="auto"/>
      </w:pPr>
      <w:r>
        <w:rPr>
          <w:i/>
          <w:iCs/>
        </w:rPr>
        <w:tab/>
      </w:r>
      <w:r>
        <w:t>This paper focuses on a key source of financial information for electric power plants in the United States: the Federal Energy Regulatory Agency’s (FERC) Form 1 dataset</w:t>
      </w:r>
      <w:r w:rsidR="00226F74">
        <w:t xml:space="preserve"> </w:t>
      </w:r>
      <w:r w:rsidR="00226F74">
        <w:fldChar w:fldCharType="begin"/>
      </w:r>
      <w:r w:rsidR="005A3F8E">
        <w:instrText xml:space="preserve"> ADDIN ZOTERO_ITEM CSL_CITATION {"citationID":"vgHzEiO7","properties":{"formattedCitation":"(FERC, 2025)","plainCitation":"(FERC, 2025)","noteIndex":0},"citationItems":[{"id":148,"uris":["http://zotero.org/users/14790435/items/SIJHPWD5"],"itemData":{"id":148,"type":"report","abstract":"On April 2, 2020, the Commission issued a Notice Granting Extension of Time until June 1, 2020 for the FERC Form Nos. 60, 61, 552 and the Electric Quarterly Report Form-920. On March 19, 2020, the Commission issued a Notice Granting Extension Of Time until May 1, 2020 for filing select Forms.","title":"Electric Industry Forms: Form No. 1 - Annual Report of Major Electric Utility","URL":"https://www.ferc.gov/general-information-0/electric-industry-forms","author":[{"family":"FERC","given":""}],"issued":{"date-parts":[["2025"]],"season":"Accessed"}}}],"schema":"https://github.com/citation-style-language/schema/raw/master/csl-citation.json"} </w:instrText>
      </w:r>
      <w:r w:rsidR="00226F74">
        <w:fldChar w:fldCharType="separate"/>
      </w:r>
      <w:r w:rsidR="005A3F8E" w:rsidRPr="005A3F8E">
        <w:t>(FERC, 2025)</w:t>
      </w:r>
      <w:r w:rsidR="00226F74">
        <w:fldChar w:fldCharType="end"/>
      </w:r>
      <w:r>
        <w:t>.</w:t>
      </w:r>
      <w:r w:rsidR="00A25539">
        <w:t xml:space="preserve"> Authority for information collection under Form 1 is provided by the Federal Power </w:t>
      </w:r>
      <w:r w:rsidR="00856B00">
        <w:t>Act and</w:t>
      </w:r>
      <w:r w:rsidR="00A25539">
        <w:t xml:space="preserve"> mandates the collection of power plant-level capital and operating costs for power plants owned by major rate-regulated electric utilities.</w:t>
      </w:r>
      <w:r w:rsidR="00B96D19">
        <w:t xml:space="preserve"> </w:t>
      </w:r>
      <w:r w:rsidR="0097482F" w:rsidRPr="0097482F">
        <w:t>Importa</w:t>
      </w:r>
      <w:r w:rsidR="0097482F">
        <w:t xml:space="preserve">ntly, Form 1 provides the only public </w:t>
      </w:r>
      <w:r w:rsidR="00DC4FD5">
        <w:t xml:space="preserve">power-plant level </w:t>
      </w:r>
      <w:r w:rsidR="0097482F">
        <w:t>data</w:t>
      </w:r>
      <w:r w:rsidR="00DC4FD5">
        <w:t xml:space="preserve"> on capital and operating expenses in the United States. </w:t>
      </w:r>
      <w:r w:rsidR="00437F92">
        <w:t>However, its</w:t>
      </w:r>
      <w:r w:rsidR="00437F92" w:rsidRPr="00437F92">
        <w:t xml:space="preserve"> coverage excludes a significant portion of independently owned plants and currently offers no mandatory reporting for emerging low-carbon technologies like wind, solar, and battery </w:t>
      </w:r>
      <w:r w:rsidR="00437F92" w:rsidRPr="00437F92">
        <w:lastRenderedPageBreak/>
        <w:t>storage.</w:t>
      </w:r>
      <w:r w:rsidR="00F765C4">
        <w:t xml:space="preserve"> In total, the plant-level financial data in Form 1 is only available for about a third of total U.S. electric capacity. </w:t>
      </w:r>
      <w:r w:rsidR="00437F92">
        <w:t>Th</w:t>
      </w:r>
      <w:r w:rsidR="00D40518">
        <w:t>e</w:t>
      </w:r>
      <w:r w:rsidR="00437F92">
        <w:t xml:space="preserve"> coverage shortcoming will worsen </w:t>
      </w:r>
      <w:r w:rsidR="00BF192E">
        <w:t xml:space="preserve">if conventional rate-regulated ownership structures continue to change and </w:t>
      </w:r>
      <w:r w:rsidR="00437F92">
        <w:t>as wind, solar, storage, and emerging technologies grow in deployment.</w:t>
      </w:r>
      <w:r w:rsidR="00E823A5">
        <w:t xml:space="preserve"> From a policy perspective, the need for transparency in capital and operating costs does not disappear under independent ownership of plants or as new technologies emerge. Th</w:t>
      </w:r>
      <w:r w:rsidR="00851352">
        <w:t>e limited</w:t>
      </w:r>
      <w:r w:rsidR="00E823A5">
        <w:t xml:space="preserve"> coverage </w:t>
      </w:r>
      <w:r w:rsidR="00851352">
        <w:t>of Form 1</w:t>
      </w:r>
      <w:r w:rsidR="00E823A5">
        <w:t xml:space="preserve">appears </w:t>
      </w:r>
      <w:r w:rsidR="000971F4">
        <w:t xml:space="preserve">to be </w:t>
      </w:r>
      <w:r w:rsidR="00E823A5">
        <w:t xml:space="preserve">an artifact of the original reporting requirements under the Federal Power Act </w:t>
      </w:r>
      <w:r w:rsidR="000971F4">
        <w:t xml:space="preserve">implemented </w:t>
      </w:r>
      <w:r w:rsidR="00E823A5">
        <w:t>in a regulatory framework dominated by vertically integrated utilities, when most generation was from conventional steam, gas combustion, and hydro.</w:t>
      </w:r>
    </w:p>
    <w:p w14:paraId="2F654DE3" w14:textId="670802F4" w:rsidR="00EB01B7" w:rsidRDefault="00EB01B7" w:rsidP="00CD17CC">
      <w:pPr>
        <w:spacing w:after="0" w:line="480" w:lineRule="auto"/>
        <w:ind w:firstLine="720"/>
      </w:pPr>
      <w:r>
        <w:t xml:space="preserve">Prior studies have utilized FERC Form 1 data for a variety of applications, including examining trends in generation, transmission, distribution and administrative costs for investor-owned utilities </w:t>
      </w:r>
      <w:r>
        <w:fldChar w:fldCharType="begin"/>
      </w:r>
      <w:r w:rsidR="00864649">
        <w:instrText xml:space="preserve"> ADDIN ZOTERO_ITEM CSL_CITATION {"citationID":"4z01UW9R","properties":{"formattedCitation":"(Fares and King, 2017)","plainCitation":"(Fares and King, 2017)","noteIndex":0},"citationItems":[{"id":470,"uris":["http://zotero.org/users/14790435/items/INAZDHYF"],"itemData":{"id":470,"type":"article-journal","abstract":"This paper analyzes the cost of transmission, distribution, and administration for U.S. investor-owned electric utilities. We analyze data reported to the Federal Energy Regulatory Commission (FERC) from 1994 to 2014 using linear regression to understand how the number of customers in a utility's territory, annual peak demand, and annual energy sales affect annual TD&amp;A spending. Then, we use Edison Electric Institute data for 1960 to 1992 to show trends in TD&amp;A spending between 1960 and 2014. We find that the number of customers in a utility's territory is the single best predictor for annual TD&amp;A costs. Between 1994 and 2014, the average cost per customer was $119/Customer-Year for transmission, $291/Customer-Year for distribution, and $333/Customer-Year for utility administration. Total TD&amp;A costs per customer have been approximately $700–$800/Customer-Year since 1960, but the cost per kWh of energy sold was significantly higher in the 1960s because the average customer used less than half as much energy annually versus 2014. Thus, TD&amp;A costs per kWh are likely to increase if kWh energy sales decline in the future unless cost recovery is transitioned to a mechanism not based solely on kWh sales.","container-title":"Energy Policy","DOI":"10.1016/j.enpol.2017.02.036","ISSN":"0301-4215","journalAbbreviation":"Energy Policy","page":"354-362","source":"ScienceDirect","title":"Trends in transmission, distribution, and administration costs for U.S. investor-owned electric utilities","volume":"105","author":[{"family":"Fares","given":"Robert L."},{"family":"King","given":"Carey W."}],"issued":{"date-parts":[["2017",6,1]]}}}],"schema":"https://github.com/citation-style-language/schema/raw/master/csl-citation.json"} </w:instrText>
      </w:r>
      <w:r>
        <w:fldChar w:fldCharType="separate"/>
      </w:r>
      <w:r w:rsidR="00864649" w:rsidRPr="00864649">
        <w:t>(Fares and King, 2017)</w:t>
      </w:r>
      <w:r>
        <w:fldChar w:fldCharType="end"/>
      </w:r>
      <w:r>
        <w:t>,</w:t>
      </w:r>
      <w:r w:rsidR="00907647">
        <w:t xml:space="preserve"> as well as</w:t>
      </w:r>
      <w:r>
        <w:t xml:space="preserve"> changes in</w:t>
      </w:r>
      <w:r w:rsidR="005D2B05">
        <w:t xml:space="preserve"> plant</w:t>
      </w:r>
      <w:r>
        <w:t xml:space="preserve"> technical efficiencies </w:t>
      </w:r>
      <w:r w:rsidR="001F2CE5">
        <w:t xml:space="preserve">associated with </w:t>
      </w:r>
      <w:r>
        <w:t xml:space="preserve">market restructuring </w:t>
      </w:r>
      <w:r>
        <w:fldChar w:fldCharType="begin"/>
      </w:r>
      <w:r w:rsidR="00864649">
        <w:instrText xml:space="preserve"> ADDIN ZOTERO_ITEM CSL_CITATION {"citationID":"tWtfLoUf","properties":{"unsorted":true,"formattedCitation":"(Fabrizio et al., 2007; Goto and Tsutsui, 2008; Gultom, 2019)","plainCitation":"(Fabrizio et al., 2007; Goto and Tsutsui, 2008; Gultom, 2019)","noteIndex":0},"citationItems":[{"id":472,"uris":["http://zotero.org/users/14790435/items/CE6I2TE6"],"itemData":{"id":472,"type":"article-journal","abstract":"While neoclassical models assume static cost-minimization by firms, agency models\nsuggest that firms may not minimize costs in less-competitive or regulated environments.\nWe test this using a transition from cost-of-service regulation to marketoriented\nenvironments for many US electric generating plants. Our estimates of input\ndemand suggest that publicly owned plants, whose owners were largely insulated\nfrom these reforms, experienced the smallest efficiency gains, while investor-owned\nplants in states that restructured their wholesale electricity markets improved the\nmost. The results suggest modest medium-term efficiency benefits from replacing\nregulated monopoly with a market-based industry structure. (JEL D24, L11 , L51,\nL94, L98)","container-title":"American Economic Review","DOI":"10.1257/aer.97.4.1250","ISSN":"0002-8282","issue":"4","language":"en","page":"1250-1277","source":"www.aeaweb.org","title":"Do Markets Reduce Costs? Assessing the Impact of Regulatory Restructuring on US Electric Generation Efficiency","title-short":"Do Markets Reduce Costs?","volume":"97","author":[{"family":"Fabrizio","given":"Kira R."},{"family":"Rose","given":"Nancy L."},{"family":"Wolfram","given":"Catherine D."}],"issued":{"date-parts":[["2007",9]]}}},{"id":477,"uris":["http://zotero.org/users/14790435/items/FL2NX7HI"],"itemData":{"id":477,"type":"article-journal","abstract":"The main purpose of this study is to examine the impacts of deregulation on technical efficiency and its changes over time for large-scale U.S. electric power utilities during the period from 1992 through 2000. We analyze the efficiency of three individual functions, i.e., generation, transmission/distribution, and general administration, and the deregulatory impacts on each of them. In order to implement the analysis, we estimate an input distance function by using a stochastic frontier analysis. The results indicate that there is a significant impact of deregulation on efficiency in the generation and general administration functions, while no effects are observed in the transmission/distribution function.","container-title":"Energy Economics","DOI":"10.1016/j.eneco.2006.05.020","ISSN":"0140-9883","issue":"1","journalAbbreviation":"Energy Economics","page":"15-38","source":"ScienceDirect","title":"Technical efficiency and impacts of deregulation: An analysis of three functions in U.S. electric power utilities during the period from 1992 through 2000","title-short":"Technical efficiency and impacts of deregulation","volume":"30","author":[{"family":"Goto","given":"Mika"},{"family":"Tsutsui","given":"Miki"}],"issued":{"date-parts":[["2008",1,1]]}}},{"id":474,"uris":["http://zotero.org/users/14790435/items/CJKILZ9E"],"itemData":{"id":474,"type":"article-journal","abstract":"In some U.S. states that have undergone electricity market restructuring and deregulation, investor-owned utilities (IOUs) were required to divest the majority of their generation assets in order to purchase power from merchant generators, independent power producers, and power marketers competing in the new wholesale market. This paper examines the effect of the governance structures used to purchase power in the wholesale market, the bilateral forward contracts and market transactions, on the technical efficiency of IOUs during the post-divestiture period. Using a two-stage empirical strategy (the non-parametric data envelopment analysis and the difference-in-differences regression approach), I analyze the performance of 152 distribution utilities in the U.S. from 1994 to 2015. The results show that while the use of contracts has no significant effect, the use of market transactions has a significant negative effect on IOU technical efficiency. Trading arrangements in the restructured wholesale markets that rely on the concept of competition generate transaction costs that make it more costly for the utility to use market transactions rather than other alternatives. Thus, market transactions fall short to promote the efficiency purpose of IOUs as an economic organization in this policy-induced market and the adverse effect persists until 20 years after the divestiture.","container-title":"Energy Policy","DOI":"10.1016/j.enpol.2019.02.005","ISSN":"0301-4215","journalAbbreviation":"Energy Policy","page":"1008-1019","source":"ScienceDirect","title":"Governance structures and efficiency in the U.S. electricity sector after the market restructuring and deregulation","volume":"129","author":[{"family":"Gultom","given":"Yohanna M. L."}],"issued":{"date-parts":[["2019",6,1]]}}}],"schema":"https://github.com/citation-style-language/schema/raw/master/csl-citation.json"} </w:instrText>
      </w:r>
      <w:r>
        <w:fldChar w:fldCharType="separate"/>
      </w:r>
      <w:r w:rsidR="00864649" w:rsidRPr="00864649">
        <w:t xml:space="preserve">(Fabrizio et al., 2007; Goto and Tsutsui, 2008; </w:t>
      </w:r>
      <w:proofErr w:type="spellStart"/>
      <w:r w:rsidR="00864649" w:rsidRPr="00864649">
        <w:t>Gultom</w:t>
      </w:r>
      <w:proofErr w:type="spellEnd"/>
      <w:r w:rsidR="00864649" w:rsidRPr="00864649">
        <w:t>, 2019)</w:t>
      </w:r>
      <w:r>
        <w:fldChar w:fldCharType="end"/>
      </w:r>
      <w:r>
        <w:t xml:space="preserve">. </w:t>
      </w:r>
      <w:r w:rsidR="006E017A">
        <w:t xml:space="preserve"> These studies have not directly addressed the implications of Form 1’s  limited and evolving coverage for empirical research or policy oversight.</w:t>
      </w:r>
    </w:p>
    <w:p w14:paraId="543EDDBF" w14:textId="02812496" w:rsidR="00CD17CC" w:rsidRDefault="00FC6B12" w:rsidP="00CD17CC">
      <w:pPr>
        <w:spacing w:after="0" w:line="480" w:lineRule="auto"/>
        <w:ind w:firstLine="720"/>
      </w:pPr>
      <w:r>
        <w:t>Th</w:t>
      </w:r>
      <w:r w:rsidR="00D40518">
        <w:t>is</w:t>
      </w:r>
      <w:r>
        <w:t xml:space="preserve"> analysis </w:t>
      </w:r>
      <w:r w:rsidR="00CD17CC">
        <w:t>demonstrates both the value and limitations of publicly available power plant cost data through a</w:t>
      </w:r>
      <w:r w:rsidR="00F765C4">
        <w:t>n</w:t>
      </w:r>
      <w:r w:rsidR="00CD17CC">
        <w:t xml:space="preserve"> empirical analysis, leading to several policy recommendations. It presents a longitudinal, plant-level dataset linking detailed financial data from FERC Form 1 with physical generator characteristics from the U.S. Energy Information Administration. </w:t>
      </w:r>
      <w:r w:rsidR="00F765C4">
        <w:t xml:space="preserve">A </w:t>
      </w:r>
      <w:r w:rsidR="00CD17CC">
        <w:t xml:space="preserve"> detailed empirical analysis of capital and operating costs for the U.S. regulated power fleet</w:t>
      </w:r>
      <w:r w:rsidR="00F765C4">
        <w:t xml:space="preserve"> is then provided, along with a case study estimating the impact of environmental regulations on coal plant capital investment</w:t>
      </w:r>
      <w:r w:rsidR="00CD17CC">
        <w:t>.</w:t>
      </w:r>
      <w:r w:rsidR="00F765C4">
        <w:t xml:space="preserve"> </w:t>
      </w:r>
    </w:p>
    <w:p w14:paraId="6B54F8F0" w14:textId="6B21F4FE" w:rsidR="00DC40BB" w:rsidRPr="00DC40BB" w:rsidRDefault="00DC40BB" w:rsidP="00CD17CC">
      <w:pPr>
        <w:spacing w:after="0" w:line="480" w:lineRule="auto"/>
        <w:ind w:firstLine="720"/>
        <w:rPr>
          <w:i/>
          <w:iCs/>
        </w:rPr>
      </w:pPr>
      <w:r w:rsidRPr="00DC40BB">
        <w:rPr>
          <w:i/>
          <w:iCs/>
        </w:rPr>
        <w:t xml:space="preserve">The findings highlight several policy-relevant implications for power sector data collection and oversight. As industry ownership has restructured, a growing share of generation has fallen </w:t>
      </w:r>
      <w:r w:rsidRPr="00DC40BB">
        <w:rPr>
          <w:i/>
          <w:iCs/>
        </w:rPr>
        <w:lastRenderedPageBreak/>
        <w:t>outside the scope of Form 1 reporting, leaving detailed cost data available for only a subset of the U.S. power fleet. At present, Form 1 covers approximately one-third of total installed capacity, including about 61 percent of coal, 41 percent of nuclear, and 35 percent of natural gas capacity, while offering no mandatory plant-level financial reporting for wind, solar, battery storage, and other emerging technologies. As deployment of these resources accelerates, the gap between available cost data and the assets driving system investment decisions will continue to widen absent changes to current reporting frameworks. The empirical results in this paper illustrate the substantial analytical value that even limited expansions in coverage and data quality could unlock, supporting more informed regulatory oversight, investment evaluation, and policy design. While near-term constraints on federal statistical capacity may limit immediate reforms, the analysis underscores the importance of preserving and strengthening plant-level cost data as the sector evolves. In the interim, this research provides a processed, harmonized dataset that improves the usability of existing Form 1 data for future empirical work.</w:t>
      </w:r>
    </w:p>
    <w:p w14:paraId="4B30E488" w14:textId="77777777" w:rsidR="00001795" w:rsidRDefault="00001795" w:rsidP="00001795">
      <w:pPr>
        <w:rPr>
          <w:b/>
          <w:bCs/>
          <w:i/>
          <w:iCs/>
          <w:sz w:val="28"/>
          <w:szCs w:val="32"/>
        </w:rPr>
      </w:pPr>
    </w:p>
    <w:p w14:paraId="2328CF7B" w14:textId="77777777" w:rsidR="00001795" w:rsidRDefault="00001795" w:rsidP="00001795">
      <w:pPr>
        <w:rPr>
          <w:b/>
          <w:bCs/>
          <w:i/>
          <w:iCs/>
          <w:sz w:val="28"/>
          <w:szCs w:val="32"/>
        </w:rPr>
      </w:pPr>
    </w:p>
    <w:p w14:paraId="4F657658" w14:textId="2DBC12C5" w:rsidR="00001795" w:rsidRPr="00F43D2B" w:rsidRDefault="00001795" w:rsidP="00001795">
      <w:pPr>
        <w:rPr>
          <w:b/>
          <w:bCs/>
          <w:i/>
          <w:iCs/>
          <w:sz w:val="28"/>
          <w:szCs w:val="32"/>
        </w:rPr>
      </w:pPr>
      <w:r w:rsidRPr="00F43D2B">
        <w:rPr>
          <w:b/>
          <w:bCs/>
          <w:i/>
          <w:iCs/>
          <w:sz w:val="28"/>
          <w:szCs w:val="32"/>
        </w:rPr>
        <w:t>Policy Implications</w:t>
      </w:r>
    </w:p>
    <w:p w14:paraId="0279FAFE" w14:textId="77777777" w:rsidR="00001795" w:rsidRDefault="00001795" w:rsidP="00001795">
      <w:pPr>
        <w:pStyle w:val="ListParagraph"/>
        <w:numPr>
          <w:ilvl w:val="0"/>
          <w:numId w:val="12"/>
        </w:numPr>
      </w:pPr>
      <w:r>
        <w:t>Coverage- As industry restructured, many independently owned plants dropped from FERC’s coverage in Form 1. Wind, solar, and other emerging technologies are not covered From table 3:</w:t>
      </w:r>
    </w:p>
    <w:p w14:paraId="1C9EA0C4" w14:textId="77777777" w:rsidR="00001795" w:rsidRDefault="00001795" w:rsidP="00001795">
      <w:pPr>
        <w:pStyle w:val="ListParagraph"/>
        <w:numPr>
          <w:ilvl w:val="1"/>
          <w:numId w:val="12"/>
        </w:numPr>
      </w:pPr>
      <w:r>
        <w:t>Approx 35% of natural gas plants in the USA are covered, 41% of nuclear plants, and 61% of coal</w:t>
      </w:r>
    </w:p>
    <w:p w14:paraId="0C8A456B" w14:textId="77777777" w:rsidR="00001795" w:rsidRDefault="00001795" w:rsidP="00001795">
      <w:pPr>
        <w:pStyle w:val="ListParagraph"/>
        <w:numPr>
          <w:ilvl w:val="1"/>
          <w:numId w:val="12"/>
        </w:numPr>
      </w:pPr>
      <w:r>
        <w:t>Batteries, wind, and solar, and other low carbon technologies are not covered. (</w:t>
      </w:r>
      <w:r>
        <w:rPr>
          <w:i/>
          <w:iCs/>
        </w:rPr>
        <w:t>review to see if they are covered by a separate government data form)</w:t>
      </w:r>
    </w:p>
    <w:p w14:paraId="2F95C58E" w14:textId="77777777" w:rsidR="00001795" w:rsidRDefault="00001795" w:rsidP="00001795">
      <w:pPr>
        <w:pStyle w:val="ListParagraph"/>
        <w:numPr>
          <w:ilvl w:val="0"/>
          <w:numId w:val="12"/>
        </w:numPr>
      </w:pPr>
      <w:r>
        <w:t>Thus, this provides only partial coverage and there is no other dataset covering the United States with detailed cost information about electric power plants. This coverage shortcoming will worsen as wind, solar, storage, and emerging technologies grow in deployment.</w:t>
      </w:r>
    </w:p>
    <w:p w14:paraId="1FC8AE75" w14:textId="77777777" w:rsidR="00001795" w:rsidRDefault="00001795" w:rsidP="00001795">
      <w:pPr>
        <w:pStyle w:val="ListParagraph"/>
        <w:numPr>
          <w:ilvl w:val="0"/>
          <w:numId w:val="12"/>
        </w:numPr>
      </w:pPr>
      <w:r>
        <w:t xml:space="preserve">Current detailed cost information for power plants is provided by Form 1, and only covers a small section of plants, owned by “conventional regulated utilities. Low </w:t>
      </w:r>
      <w:r>
        <w:lastRenderedPageBreak/>
        <w:t>coverage for independently owned plants and no coverage of detailed financial information for renewables, storage,  and other emerging technologies. Thus, cost data coverage gaps can be expected to get worse in the future without changes to current coverage.</w:t>
      </w:r>
    </w:p>
    <w:p w14:paraId="70D9781F" w14:textId="77777777" w:rsidR="00001795" w:rsidRPr="00DA071E" w:rsidRDefault="00001795" w:rsidP="00001795">
      <w:pPr>
        <w:pStyle w:val="ListParagraph"/>
        <w:numPr>
          <w:ilvl w:val="0"/>
          <w:numId w:val="12"/>
        </w:numPr>
      </w:pPr>
      <w:r>
        <w:t xml:space="preserve">A tiny amount of the potential value from improving the quality and coverage of power plant cost data is demonstrated throughout the paper- </w:t>
      </w:r>
      <w:r>
        <w:rPr>
          <w:i/>
          <w:iCs/>
        </w:rPr>
        <w:t>discuss some insights from the descriptive and econometric analyses.</w:t>
      </w:r>
    </w:p>
    <w:p w14:paraId="61E23140" w14:textId="77777777" w:rsidR="00001795" w:rsidRPr="00DA071E" w:rsidRDefault="00001795" w:rsidP="00001795">
      <w:pPr>
        <w:pStyle w:val="ListParagraph"/>
        <w:numPr>
          <w:ilvl w:val="0"/>
          <w:numId w:val="12"/>
        </w:numPr>
      </w:pPr>
      <w:r>
        <w:t>Comment that, under current federal administration, federal statistical efforts are being reduced, and may not be possible to improve and expand. But political pendulum swings, and the future could bring an opportunity to rebuild data collection in better ways for the future.</w:t>
      </w:r>
    </w:p>
    <w:p w14:paraId="3D8844FC" w14:textId="77777777" w:rsidR="00001795" w:rsidRDefault="00001795" w:rsidP="00001795">
      <w:pPr>
        <w:pStyle w:val="ListParagraph"/>
        <w:numPr>
          <w:ilvl w:val="0"/>
          <w:numId w:val="12"/>
        </w:numPr>
      </w:pPr>
      <w:r>
        <w:t>This research provides a processed dataset that overcomes these difficulties for future researchers.</w:t>
      </w:r>
    </w:p>
    <w:p w14:paraId="2FCB3E21" w14:textId="77777777" w:rsidR="00001795" w:rsidRDefault="00001795" w:rsidP="00001795">
      <w:pPr>
        <w:pStyle w:val="ListParagraph"/>
        <w:numPr>
          <w:ilvl w:val="0"/>
          <w:numId w:val="12"/>
        </w:numPr>
      </w:pPr>
      <w:r>
        <w:t>Form 1 data quality, recommend enforcing name persistence, and reporting treatment of jointly owned plants</w:t>
      </w:r>
    </w:p>
    <w:p w14:paraId="231B55E0" w14:textId="77777777" w:rsidR="00001795" w:rsidRDefault="00001795" w:rsidP="00001795">
      <w:pPr>
        <w:pStyle w:val="ListParagraph"/>
        <w:numPr>
          <w:ilvl w:val="0"/>
          <w:numId w:val="12"/>
        </w:numPr>
      </w:pPr>
    </w:p>
    <w:p w14:paraId="1B23CAB9" w14:textId="77777777" w:rsidR="00B402A9" w:rsidRDefault="00B402A9" w:rsidP="00D63D74"/>
    <w:p w14:paraId="77ECB840" w14:textId="77777777" w:rsidR="00001795" w:rsidRDefault="00001795" w:rsidP="00D63D74"/>
    <w:p w14:paraId="7D2156FF" w14:textId="4358A76C" w:rsidR="005157FC" w:rsidRDefault="00F915A4" w:rsidP="00DC40BB">
      <w:pPr>
        <w:pStyle w:val="Heading1"/>
      </w:pPr>
      <w:r>
        <w:t>Data</w:t>
      </w:r>
      <w:r w:rsidR="008F2E94">
        <w:t xml:space="preserve"> </w:t>
      </w:r>
      <w:r w:rsidR="005157FC">
        <w:t>and Methodology</w:t>
      </w:r>
    </w:p>
    <w:p w14:paraId="6DD9FA52" w14:textId="5C5D58D2" w:rsidR="005157FC" w:rsidRPr="005157FC" w:rsidRDefault="005157FC" w:rsidP="00681242">
      <w:pPr>
        <w:spacing w:after="0" w:line="480" w:lineRule="auto"/>
        <w:ind w:firstLine="360"/>
      </w:pPr>
      <w:r w:rsidRPr="005157FC">
        <w:t>This section describes the data sources, characteristics, and processing steps undertaken to construct the primary analytical dataset used in this study.</w:t>
      </w:r>
    </w:p>
    <w:p w14:paraId="11E7813B" w14:textId="7C9EE785" w:rsidR="005157FC" w:rsidRPr="00AC370B" w:rsidRDefault="005157FC" w:rsidP="00DC40BB">
      <w:pPr>
        <w:pStyle w:val="Heading2"/>
      </w:pPr>
      <w:bookmarkStart w:id="0" w:name="_Ref200981168"/>
      <w:r w:rsidRPr="00AC370B">
        <w:t>Data Sources</w:t>
      </w:r>
      <w:bookmarkEnd w:id="0"/>
    </w:p>
    <w:p w14:paraId="17141C9B" w14:textId="1293675E" w:rsidR="00792850" w:rsidRDefault="005157FC" w:rsidP="00A35EC6">
      <w:pPr>
        <w:spacing w:after="0" w:line="480" w:lineRule="auto"/>
        <w:ind w:firstLine="720"/>
      </w:pPr>
      <w:r>
        <w:t>The dataset combines power plant financial data from FERC Form 1</w:t>
      </w:r>
      <w:r>
        <w:fldChar w:fldCharType="begin"/>
      </w:r>
      <w:r w:rsidR="005A3F8E">
        <w:instrText xml:space="preserve"> ADDIN ZOTERO_ITEM CSL_CITATION {"citationID":"ygz6cEOF","properties":{"formattedCitation":"(FERC, 2025)","plainCitation":"(FERC, 2025)","noteIndex":0},"citationItems":[{"id":148,"uris":["http://zotero.org/users/14790435/items/SIJHPWD5"],"itemData":{"id":148,"type":"report","abstract":"On April 2, 2020, the Commission issued a Notice Granting Extension of Time until June 1, 2020 for the FERC Form Nos. 60, 61, 552 and the Electric Quarterly Report Form-920. On March 19, 2020, the Commission issued a Notice Granting Extension Of Time until May 1, 2020 for filing select Forms.","title":"Electric Industry Forms: Form No. 1 - Annual Report of Major Electric Utility","URL":"https://www.ferc.gov/general-information-0/electric-industry-forms","author":[{"family":"FERC","given":""}],"issued":{"date-parts":[["2025"]],"season":"Accessed"}}}],"schema":"https://github.com/citation-style-language/schema/raw/master/csl-citation.json"} </w:instrText>
      </w:r>
      <w:r>
        <w:fldChar w:fldCharType="separate"/>
      </w:r>
      <w:r w:rsidR="005A3F8E" w:rsidRPr="005A3F8E">
        <w:rPr>
          <w:rFonts w:ascii="Aptos" w:hAnsi="Aptos"/>
        </w:rPr>
        <w:t>(FERC, 2025)</w:t>
      </w:r>
      <w:r>
        <w:fldChar w:fldCharType="end"/>
      </w:r>
      <w:r>
        <w:t xml:space="preserve"> with generator-level operational and location attributes from the Energy Information Administration </w:t>
      </w:r>
      <w:r w:rsidR="00B1087A">
        <w:t>F</w:t>
      </w:r>
      <w:r>
        <w:t xml:space="preserve">orm 860 </w:t>
      </w:r>
      <w:r>
        <w:fldChar w:fldCharType="begin"/>
      </w:r>
      <w:r w:rsidR="00864649">
        <w:instrText xml:space="preserve"> ADDIN ZOTERO_ITEM CSL_CITATION {"citationID":"h0qYVog9","properties":{"formattedCitation":"(\\uc0\\u8220{}Annual Electric Power Industry Report, Form EIA-860 detailed data with previous form data (EIA-860A/860B) - U.S. Energy Information Administration (EIA),\\uc0\\u8221{} n.d.)","plainCitation":"(“Annual Electric Power Industry Report, Form EIA-860 detailed data with previous form data (EIA-860A/860B) - U.S. Energy Information Administration (EIA),” n.d.)","noteIndex":0},"citationItems":[{"id":104,"uris":["http://zotero.org/users/14790435/items/BJS4F75L"],"itemData":{"id":104,"type":"webpage","title":"Annual Electric Power Industry Report, Form EIA-860 detailed data with previous form data (EIA-860A/860B) - U.S. Energy Information Administration (EIA)","URL":"https://www.eia.gov/electricity/data/eia860/","accessed":{"date-parts":[["2025",5,12]]}}}],"schema":"https://github.com/citation-style-language/schema/raw/master/csl-citation.json"} </w:instrText>
      </w:r>
      <w:r>
        <w:fldChar w:fldCharType="separate"/>
      </w:r>
      <w:r w:rsidR="00864649" w:rsidRPr="00864649">
        <w:rPr>
          <w:rFonts w:ascii="Aptos" w:hAnsi="Aptos" w:cs="Times New Roman"/>
          <w:kern w:val="0"/>
        </w:rPr>
        <w:t>(“Annual Electric Power Industry Report, Form EIA-860 detailed data with previous form data (EIA-860A/860B) - U.S. Energy Information Administration (EIA),” n.d.)</w:t>
      </w:r>
      <w:r>
        <w:fldChar w:fldCharType="end"/>
      </w:r>
      <w:r>
        <w:t xml:space="preserve">. Data from these sources was initially processed and accessed via the Catalyst Cooperative’s Public Utility Data Liberation (PUDL) Project </w:t>
      </w:r>
      <w:r>
        <w:fldChar w:fldCharType="begin"/>
      </w:r>
      <w:r w:rsidR="00864649">
        <w:instrText xml:space="preserve"> ADDIN ZOTERO_ITEM CSL_CITATION {"citationID":"rG41eVbz","properties":{"formattedCitation":"(\\uc0\\u8220{}The Public Utility Data Liberation (PUDL) Project,\\uc0\\u8221{} n.d.)","plainCitation":"(“The Public Utility Data Liberation (PUDL) Project,” n.d.)","noteIndex":0},"citationItems":[{"id":103,"uris":["http://zotero.org/users/14790435/items/FUEJFUQW"],"itemData":{"id":103,"type":"post-weblog","abstract":"The Public Utility Data Liberation (PUDL) project takes publicly available utility data makes it publicly usable, in a single open source database platform.","container-title":"Catalyst Cooperative","language":"en-US","title":"The Public Utility Data Liberation (PUDL) Project","URL":"https://catalyst.coop/pudl/","accessed":{"date-parts":[["2025",5,12]]}}}],"schema":"https://github.com/citation-style-language/schema/raw/master/csl-citation.json"} </w:instrText>
      </w:r>
      <w:r>
        <w:fldChar w:fldCharType="separate"/>
      </w:r>
      <w:r w:rsidR="00864649" w:rsidRPr="00864649">
        <w:rPr>
          <w:rFonts w:ascii="Aptos" w:hAnsi="Aptos" w:cs="Times New Roman"/>
          <w:kern w:val="0"/>
        </w:rPr>
        <w:t xml:space="preserve">(“The Public Utility Data Liberation (PUDL) Project,” </w:t>
      </w:r>
      <w:r w:rsidR="00864649" w:rsidRPr="00864649">
        <w:rPr>
          <w:rFonts w:ascii="Aptos" w:hAnsi="Aptos" w:cs="Times New Roman"/>
          <w:kern w:val="0"/>
        </w:rPr>
        <w:lastRenderedPageBreak/>
        <w:t>n.d.)</w:t>
      </w:r>
      <w:r>
        <w:fldChar w:fldCharType="end"/>
      </w:r>
      <w:r>
        <w:t>.</w:t>
      </w:r>
      <w:r>
        <w:rPr>
          <w:rStyle w:val="FootnoteReference"/>
        </w:rPr>
        <w:footnoteReference w:id="1"/>
      </w:r>
      <w:r w:rsidR="00F12213">
        <w:t xml:space="preserve"> </w:t>
      </w:r>
      <w:r w:rsidR="00792850">
        <w:t xml:space="preserve">Annual power plant financial data is provided by the FERC Form 1 tables, focusing </w:t>
      </w:r>
      <w:r w:rsidR="009B0214">
        <w:t>o</w:t>
      </w:r>
      <w:r w:rsidR="00792850">
        <w:t>n capital expenditures (</w:t>
      </w:r>
      <w:proofErr w:type="spellStart"/>
      <w:r w:rsidR="00792850">
        <w:t>CapEx</w:t>
      </w:r>
      <w:proofErr w:type="spellEnd"/>
      <w:r w:rsidR="00792850">
        <w:t>) and operating expenses (</w:t>
      </w:r>
      <w:proofErr w:type="spellStart"/>
      <w:r w:rsidR="00792850">
        <w:t>OpEx</w:t>
      </w:r>
      <w:proofErr w:type="spellEnd"/>
      <w:r w:rsidR="00792850">
        <w:t xml:space="preserve">) </w:t>
      </w:r>
      <w:r w:rsidR="009B0214">
        <w:t>for electric power plants within the United States. FERC Form 1 filings are mandated for major electric utilities, licensees, and others subject to FERC jurisdiction. FERC’s authority for mandating this data collection derives from the Federal Power Act to collect financial information for rate regulation, market oversight analysis, and financial audits.</w:t>
      </w:r>
    </w:p>
    <w:p w14:paraId="4F002BA7" w14:textId="52018B03" w:rsidR="000A04B3" w:rsidRDefault="000A04B3" w:rsidP="00681242">
      <w:pPr>
        <w:spacing w:after="0" w:line="480" w:lineRule="auto"/>
        <w:ind w:firstLine="720"/>
      </w:pPr>
      <w:r>
        <w:t xml:space="preserve">The Form 1 dataset </w:t>
      </w:r>
      <w:r w:rsidR="004106C3">
        <w:t xml:space="preserve">used in this study </w:t>
      </w:r>
      <w:r>
        <w:t xml:space="preserve">covers large steam plants with a nameplate capacity of 25 MW or more, internal combustion and gas turbine plants with nameplate capacity of 10 MW or more, and </w:t>
      </w:r>
      <w:r w:rsidR="00F12213">
        <w:t xml:space="preserve">utility-owned </w:t>
      </w:r>
      <w:r>
        <w:t xml:space="preserve">nuclear plants. Form 1 data for hydroelectric units are </w:t>
      </w:r>
      <w:r w:rsidR="00D95EAB">
        <w:t>collected and reported</w:t>
      </w:r>
      <w:r>
        <w:t xml:space="preserve"> separately</w:t>
      </w:r>
      <w:r w:rsidR="00D95EAB">
        <w:t xml:space="preserve">. Hydroelectric plants </w:t>
      </w:r>
      <w:r>
        <w:t xml:space="preserve">were excluded from the analysis because </w:t>
      </w:r>
      <w:r w:rsidR="00D95EAB">
        <w:t xml:space="preserve">of the additional data cleaning effort this would entail along with the fact </w:t>
      </w:r>
      <w:r>
        <w:t xml:space="preserve">they were already analyzed extensively </w:t>
      </w:r>
      <w:r w:rsidR="006F4D93">
        <w:t xml:space="preserve">and recently </w:t>
      </w:r>
      <w:r>
        <w:t>in Oladosu and Sasthav</w:t>
      </w:r>
      <w:r w:rsidR="00B1087A">
        <w:t xml:space="preserve"> (2022)</w:t>
      </w:r>
      <w:r>
        <w:t xml:space="preserve"> </w:t>
      </w:r>
      <w:r>
        <w:fldChar w:fldCharType="begin"/>
      </w:r>
      <w:r w:rsidR="00864649">
        <w:instrText xml:space="preserve"> ADDIN ZOTERO_ITEM CSL_CITATION {"citationID":"ZMsvADJO","properties":{"formattedCitation":"(Oladosu and Sasthav, 2022)","plainCitation":"(Oladosu and Sasthav, 2022)","noteIndex":0},"citationItems":[{"id":156,"uris":["http://zotero.org/users/14790435/items/4MTGNPNQ"],"itemData":{"id":156,"type":"report","abstract":"Hydropower cost data is necessary for investment and decision-making by plant owners, project developers, technology developers, and regulators in the industry. This report explores the potential for using responses from the Federal Energy Regulatory Commission’s (FERC’s) “Electric Utility Annual Report,” also known as FERC Form 1, as a cost database for conventional and pumped storage hydropower (PSH). The report outlines the process used to compile an easy-to-access database from the original FERC Form 1 data and discusses the historical cost/performance data. The steps for developing the database include downloading the annual FoxPro files from the FERC website (FERC, 2020), reading them into an Excel format, and reconciling naming issues across years, repeated entries, and shared assets, among others. The cleaned and compiled Form 1 database is available on Oak Ridge National Laboratory’s (ORNL’s) HydroSource website. For this report, the compiled Form 1 database was linked to two other hydropower databases, the National Inventory of Dams and the ORNL Existing Hydropower Assets, that provide additional information on the characteristics and other features of plants in the Form 1 data. Explorations of the plant characteristics, performance, capital costs, and operation and maintenance (O&amp;amp;M) cost data in the combined database were presented separately for conventional hydropower and PSH projects.","language":"English","note":"DOI: 10.2172/1845786","number":"ORNL/TM-2021/2297","publisher":"Oak Ridge National Laboratory (ORNL), Oak Ridge, TN (United States)","source":"www.osti.gov","title":"Hydropower Capital and O&amp;M Costs: An Exploration of the FERC Form 1 Data","title-short":"Hydropower Capital and O&amp;amp;M Costs","URL":"https://www.osti.gov/biblio/1845786","author":[{"family":"Oladosu","given":"Gbadebo A."},{"family":"Sasthav","given":"Colin M."}],"accessed":{"date-parts":[["2024",12,30]]},"issued":{"date-parts":[["2022",2,1]]}}}],"schema":"https://github.com/citation-style-language/schema/raw/master/csl-citation.json"} </w:instrText>
      </w:r>
      <w:r>
        <w:fldChar w:fldCharType="separate"/>
      </w:r>
      <w:r w:rsidR="00864649" w:rsidRPr="00864649">
        <w:rPr>
          <w:rFonts w:ascii="Aptos" w:hAnsi="Aptos"/>
        </w:rPr>
        <w:t>(Oladosu and Sasthav, 2022)</w:t>
      </w:r>
      <w:r>
        <w:fldChar w:fldCharType="end"/>
      </w:r>
      <w:r>
        <w:t>.</w:t>
      </w:r>
    </w:p>
    <w:p w14:paraId="68C70253" w14:textId="770BF4A1" w:rsidR="004007B6" w:rsidRDefault="004007B6" w:rsidP="00681242">
      <w:pPr>
        <w:spacing w:after="0" w:line="480" w:lineRule="auto"/>
        <w:ind w:firstLine="720"/>
      </w:pPr>
      <w:r>
        <w:t xml:space="preserve">Form 1 cost reporting </w:t>
      </w:r>
      <w:r w:rsidR="002367F3">
        <w:t>follows</w:t>
      </w:r>
      <w:r>
        <w:t xml:space="preserve"> FERC’s Uniform System of Accounts (</w:t>
      </w:r>
      <w:proofErr w:type="spellStart"/>
      <w:r>
        <w:t>USofA</w:t>
      </w:r>
      <w:proofErr w:type="spellEnd"/>
      <w:r>
        <w:t xml:space="preserve">) </w:t>
      </w:r>
      <w:r>
        <w:fldChar w:fldCharType="begin"/>
      </w:r>
      <w:r w:rsidR="00864649">
        <w:instrText xml:space="preserve"> ADDIN ZOTERO_ITEM CSL_CITATION {"citationID":"qrAt2tAP","properties":{"formattedCitation":"(\\uc0\\u8220{}Accounting Matters | Federal Energy Regulatory Commission,\\uc0\\u8221{} n.d.)","plainCitation":"(“Accounting Matters | Federal Energy Regulatory Commission,” n.d.)","noteIndex":0},"citationItems":[{"id":102,"uris":["http://zotero.org/users/14790435/items/JDUTDM3J"],"itemData":{"id":102,"type":"webpage","abstract":"The Federal Energy Regulatory Commission has established regulatory accounting and financial reporting requirements for its jurisdictional entities in the electric, natural gas, and oil pipeline industries. These requirements play a vital role in the Commission’s strategy of setting just and reasonable cost-of-service rates. The foundation of the Commission’s accounting program is the Uniform System of Accounts codified in the Commission’s regulations.","language":"en","title":"Accounting Matters | Federal Energy Regulatory Commission","URL":"https://www.ferc.gov/accounting-matters-1","accessed":{"date-parts":[["2025",5,12]]}}}],"schema":"https://github.com/citation-style-language/schema/raw/master/csl-citation.json"} </w:instrText>
      </w:r>
      <w:r>
        <w:fldChar w:fldCharType="separate"/>
      </w:r>
      <w:r w:rsidR="00864649" w:rsidRPr="00864649">
        <w:rPr>
          <w:rFonts w:ascii="Aptos" w:hAnsi="Aptos" w:cs="Times New Roman"/>
          <w:kern w:val="0"/>
        </w:rPr>
        <w:t>(“Accounting Matters | Federal Energy Regulatory Commission,” n.d.)</w:t>
      </w:r>
      <w:r>
        <w:fldChar w:fldCharType="end"/>
      </w:r>
      <w:r>
        <w:t xml:space="preserve">. </w:t>
      </w:r>
      <w:r w:rsidR="009C40ED">
        <w:t xml:space="preserve">The dataset includes, at the plant level, </w:t>
      </w:r>
      <w:proofErr w:type="spellStart"/>
      <w:r w:rsidR="009C40ED">
        <w:t>CapEx</w:t>
      </w:r>
      <w:proofErr w:type="spellEnd"/>
      <w:r w:rsidR="009C40ED">
        <w:t xml:space="preserve"> information broken out by equipment, land, and structures. It also includes detailed operating expenditure breakouts including costs for boiler maintenance, coolants, production, engineering, supervision, and fuel. </w:t>
      </w:r>
    </w:p>
    <w:p w14:paraId="155D85C5" w14:textId="1B10F036" w:rsidR="00F12213" w:rsidRDefault="000608D0" w:rsidP="00681242">
      <w:pPr>
        <w:spacing w:after="0" w:line="480" w:lineRule="auto"/>
        <w:ind w:firstLine="720"/>
      </w:pPr>
      <w:r>
        <w:t xml:space="preserve">The unit of analysis </w:t>
      </w:r>
      <w:r w:rsidR="000673D4">
        <w:t xml:space="preserve">in the cleaned dataset </w:t>
      </w:r>
      <w:r>
        <w:t>derived from FERC Form</w:t>
      </w:r>
      <w:r w:rsidR="00F12213">
        <w:t xml:space="preserve"> 1</w:t>
      </w:r>
      <w:r>
        <w:t xml:space="preserve"> is the individual plant entry as reported annually by a major utility</w:t>
      </w:r>
      <w:r w:rsidR="000673D4">
        <w:t xml:space="preserve"> or other required Form 1 respondent</w:t>
      </w:r>
      <w:r>
        <w:t xml:space="preserve">. Each row in the dataset </w:t>
      </w:r>
      <w:r w:rsidR="00437D65">
        <w:t xml:space="preserve">represents </w:t>
      </w:r>
      <w:r w:rsidR="000673D4">
        <w:t xml:space="preserve">an individual </w:t>
      </w:r>
      <w:r>
        <w:t xml:space="preserve">plant owned or operated by the filing utility for a given reporting year. </w:t>
      </w:r>
    </w:p>
    <w:p w14:paraId="60CD0104" w14:textId="3423D919" w:rsidR="006F12F3" w:rsidRDefault="006E2408" w:rsidP="00681242">
      <w:pPr>
        <w:spacing w:after="0" w:line="480" w:lineRule="auto"/>
        <w:ind w:firstLine="720"/>
      </w:pPr>
      <w:r>
        <w:lastRenderedPageBreak/>
        <w:t>Additional d</w:t>
      </w:r>
      <w:r w:rsidR="00426735">
        <w:t>ata on physical and operational attributes for power generators were sourced from the United States Energy Information Administration (EIA) Form 860, the “Annual Electric Generator Report</w:t>
      </w:r>
      <w:r w:rsidR="00371DF4">
        <w:t>.</w:t>
      </w:r>
      <w:r w:rsidR="00426735">
        <w:t>”</w:t>
      </w:r>
      <w:r w:rsidR="00371DF4">
        <w:t xml:space="preserve"> </w:t>
      </w:r>
      <w:r w:rsidR="00371DF4">
        <w:fldChar w:fldCharType="begin"/>
      </w:r>
      <w:r w:rsidR="00864649">
        <w:instrText xml:space="preserve"> ADDIN ZOTERO_ITEM CSL_CITATION {"citationID":"s78REG9l","properties":{"formattedCitation":"(\\uc0\\u8220{}Annual Electric Power Industry Report, Form EIA-860 detailed data with previous form data (EIA-860A/860B) - U.S. Energy Information Administration (EIA),\\uc0\\u8221{} n.d.)","plainCitation":"(“Annual Electric Power Industry Report, Form EIA-860 detailed data with previous form data (EIA-860A/860B) - U.S. Energy Information Administration (EIA),” n.d.)","noteIndex":0},"citationItems":[{"id":101,"uris":["http://zotero.org/users/14790435/items/KIA8IBD3"],"itemData":{"id":101,"type":"webpage","title":"Annual Electric Power Industry Report, Form EIA-860 detailed data with previous form data (EIA-860A/860B) - U.S. Energy Information Administration (EIA)","URL":"https://www.eia.gov/electricity/data/eia860/","accessed":{"date-parts":[["2025",5,13]]}}}],"schema":"https://github.com/citation-style-language/schema/raw/master/csl-citation.json"} </w:instrText>
      </w:r>
      <w:r w:rsidR="00371DF4">
        <w:fldChar w:fldCharType="separate"/>
      </w:r>
      <w:r w:rsidR="00864649" w:rsidRPr="00864649">
        <w:rPr>
          <w:rFonts w:ascii="Aptos" w:hAnsi="Aptos" w:cs="Times New Roman"/>
          <w:kern w:val="0"/>
        </w:rPr>
        <w:t>(“Annual Electric Power Industry Report, Form EIA-860 detailed data with previous form data (EIA-860A/860B) - U.S. Energy Information Administration (EIA),” n.d.)</w:t>
      </w:r>
      <w:r w:rsidR="00371DF4">
        <w:fldChar w:fldCharType="end"/>
      </w:r>
      <w:r w:rsidR="00371DF4">
        <w:t xml:space="preserve">. EIA requires mandatory reporting based on its information-gathering authority </w:t>
      </w:r>
      <w:r w:rsidR="00187C79">
        <w:t xml:space="preserve">originating in </w:t>
      </w:r>
      <w:r w:rsidR="00371DF4">
        <w:t xml:space="preserve">the Federal Energy Administration Act of 1974 section 13(b) </w:t>
      </w:r>
      <w:r w:rsidR="00371DF4">
        <w:fldChar w:fldCharType="begin"/>
      </w:r>
      <w:r w:rsidR="00864649">
        <w:instrText xml:space="preserve"> ADDIN ZOTERO_ITEM CSL_CITATION {"citationID":"228Q1rPZ","properties":{"formattedCitation":"({\\i{}Federal Energy Administration Act}, 1974)","plainCitation":"(Federal Energy Administration Act, 1974)","noteIndex":0},"citationItems":[{"id":100,"uris":["http://zotero.org/users/14790435/items/HK9N2AV7"],"itemData":{"id":100,"type":"legislation","number":"93-275","section":"13(b)","title":"Federal Energy Administration Act","URL":"https://www.govinfo.gov/content/pkg/STATUTE-88/pdf/STATUTE-88-Pg96.pdf","issued":{"date-parts":[["1974"]]}}}],"schema":"https://github.com/citation-style-language/schema/raw/master/csl-citation.json"} </w:instrText>
      </w:r>
      <w:r w:rsidR="00371DF4">
        <w:fldChar w:fldCharType="separate"/>
      </w:r>
      <w:r w:rsidR="00864649" w:rsidRPr="00864649">
        <w:rPr>
          <w:rFonts w:ascii="Aptos" w:hAnsi="Aptos" w:cs="Times New Roman"/>
          <w:kern w:val="0"/>
        </w:rPr>
        <w:t>(</w:t>
      </w:r>
      <w:r w:rsidR="00864649" w:rsidRPr="00864649">
        <w:rPr>
          <w:rFonts w:ascii="Aptos" w:hAnsi="Aptos" w:cs="Times New Roman"/>
          <w:i/>
          <w:iCs/>
          <w:kern w:val="0"/>
        </w:rPr>
        <w:t>Federal Energy Administration Act</w:t>
      </w:r>
      <w:r w:rsidR="00864649" w:rsidRPr="00864649">
        <w:rPr>
          <w:rFonts w:ascii="Aptos" w:hAnsi="Aptos" w:cs="Times New Roman"/>
          <w:kern w:val="0"/>
        </w:rPr>
        <w:t>, 1974)</w:t>
      </w:r>
      <w:r w:rsidR="00371DF4">
        <w:fldChar w:fldCharType="end"/>
      </w:r>
      <w:r w:rsidR="00187C79">
        <w:t xml:space="preserve"> and transferred to the EIA in The Department of Energy Organization Act of 1977 Section 205 </w:t>
      </w:r>
      <w:r w:rsidR="00187C79">
        <w:fldChar w:fldCharType="begin"/>
      </w:r>
      <w:r w:rsidR="00864649">
        <w:instrText xml:space="preserve"> ADDIN ZOTERO_ITEM CSL_CITATION {"citationID":"cX7uuaYo","properties":{"formattedCitation":"({\\i{}Department of Energy Organization Act}, 1977)","plainCitation":"(Department of Energy Organization Act, 1977)","noteIndex":0},"citationItems":[{"id":99,"uris":["http://zotero.org/users/14790435/items/AEHWIZCH"],"itemData":{"id":99,"type":"legislation","number":"95-91","title":"Department of Energy Organization Act","issued":{"date-parts":[["1977",8,4]]}}}],"schema":"https://github.com/citation-style-language/schema/raw/master/csl-citation.json"} </w:instrText>
      </w:r>
      <w:r w:rsidR="00187C79">
        <w:fldChar w:fldCharType="separate"/>
      </w:r>
      <w:r w:rsidR="00864649" w:rsidRPr="00864649">
        <w:rPr>
          <w:rFonts w:ascii="Aptos" w:hAnsi="Aptos" w:cs="Times New Roman"/>
          <w:kern w:val="0"/>
        </w:rPr>
        <w:t>(</w:t>
      </w:r>
      <w:r w:rsidR="00864649" w:rsidRPr="00864649">
        <w:rPr>
          <w:rFonts w:ascii="Aptos" w:hAnsi="Aptos" w:cs="Times New Roman"/>
          <w:i/>
          <w:iCs/>
          <w:kern w:val="0"/>
        </w:rPr>
        <w:t>Department of Energy Organization Act</w:t>
      </w:r>
      <w:r w:rsidR="00864649" w:rsidRPr="00864649">
        <w:rPr>
          <w:rFonts w:ascii="Aptos" w:hAnsi="Aptos" w:cs="Times New Roman"/>
          <w:kern w:val="0"/>
        </w:rPr>
        <w:t>, 1977)</w:t>
      </w:r>
      <w:r w:rsidR="00187C79">
        <w:fldChar w:fldCharType="end"/>
      </w:r>
      <w:r w:rsidR="00187C79">
        <w:t xml:space="preserve">. </w:t>
      </w:r>
      <w:r w:rsidR="00CD6730">
        <w:t xml:space="preserve">The EIA dataset </w:t>
      </w:r>
      <w:r w:rsidR="00540A6D">
        <w:t>contributes to this analysis the location, technology and fuel, for U.S. electric generators</w:t>
      </w:r>
      <w:r w:rsidR="002F6BB9">
        <w:t>.</w:t>
      </w:r>
    </w:p>
    <w:p w14:paraId="6C397DE7" w14:textId="77777777" w:rsidR="0056511D" w:rsidRDefault="0056511D" w:rsidP="00DC40BB"/>
    <w:p w14:paraId="5CD14D07" w14:textId="77777777" w:rsidR="0056511D" w:rsidRPr="0097482F" w:rsidRDefault="0056511D" w:rsidP="00DC40BB">
      <w:r w:rsidRPr="0097482F">
        <w:t>Alternative public data sources (and why they fall short)</w:t>
      </w:r>
    </w:p>
    <w:p w14:paraId="6484DBB5" w14:textId="77777777" w:rsidR="0056511D" w:rsidRPr="0097482F" w:rsidRDefault="0056511D" w:rsidP="00DC40BB">
      <w:r w:rsidRPr="0097482F">
        <w:t>1. EIA Form 860</w:t>
      </w:r>
    </w:p>
    <w:p w14:paraId="57EDAA9C" w14:textId="77777777" w:rsidR="0056511D" w:rsidRPr="0097482F" w:rsidRDefault="0056511D" w:rsidP="00DC40BB">
      <w:r w:rsidRPr="0097482F">
        <w:rPr>
          <w:b/>
          <w:bCs/>
        </w:rPr>
        <w:t>What it provides:</w:t>
      </w:r>
      <w:r w:rsidRPr="0097482F">
        <w:t xml:space="preserve"> Generator-level capacity, technology, status, vintage, and environmental controls.</w:t>
      </w:r>
    </w:p>
    <w:p w14:paraId="53B7062D" w14:textId="77777777" w:rsidR="0056511D" w:rsidRPr="0097482F" w:rsidRDefault="0056511D" w:rsidP="00DC40BB">
      <w:r w:rsidRPr="0097482F">
        <w:rPr>
          <w:b/>
          <w:bCs/>
        </w:rPr>
        <w:t>What it does not:</w:t>
      </w:r>
      <w:r w:rsidRPr="0097482F">
        <w:t xml:space="preserve"> Actual capital cost, plant book value, or O&amp;M expense data.</w:t>
      </w:r>
    </w:p>
    <w:p w14:paraId="2F74CE94" w14:textId="77777777" w:rsidR="0056511D" w:rsidRPr="0097482F" w:rsidRDefault="0056511D" w:rsidP="00DC40BB">
      <w:r w:rsidRPr="0097482F">
        <w:rPr>
          <w:b/>
          <w:bCs/>
        </w:rPr>
        <w:t>Nature of data:</w:t>
      </w:r>
      <w:r w:rsidRPr="0097482F">
        <w:t xml:space="preserve"> Engineering and inventory, not financial .</w:t>
      </w:r>
    </w:p>
    <w:p w14:paraId="2F25E2A0" w14:textId="77777777" w:rsidR="0056511D" w:rsidRPr="0097482F" w:rsidRDefault="0056511D" w:rsidP="00DC40BB">
      <w:r w:rsidRPr="0097482F">
        <w:t>2. EIA Form 923</w:t>
      </w:r>
    </w:p>
    <w:p w14:paraId="5B73EC50" w14:textId="77777777" w:rsidR="0056511D" w:rsidRPr="0097482F" w:rsidRDefault="0056511D" w:rsidP="00DC40BB">
      <w:r w:rsidRPr="0097482F">
        <w:rPr>
          <w:b/>
          <w:bCs/>
        </w:rPr>
        <w:t>What it provides:</w:t>
      </w:r>
      <w:r w:rsidRPr="0097482F">
        <w:t xml:space="preserve"> Fuel costs, generation, fuel consumption, limited O&amp;M proxies.</w:t>
      </w:r>
    </w:p>
    <w:p w14:paraId="093DB140" w14:textId="77777777" w:rsidR="0056511D" w:rsidRPr="0097482F" w:rsidRDefault="0056511D" w:rsidP="00DC40BB">
      <w:r w:rsidRPr="0097482F">
        <w:rPr>
          <w:b/>
          <w:bCs/>
        </w:rPr>
        <w:t>What it does not:</w:t>
      </w:r>
      <w:r w:rsidRPr="0097482F">
        <w:t xml:space="preserve"> Capital additions, plant investment, depreciation, or detailed non-fuel O&amp;M.</w:t>
      </w:r>
    </w:p>
    <w:p w14:paraId="1EC5A537" w14:textId="77777777" w:rsidR="0056511D" w:rsidRPr="0097482F" w:rsidRDefault="0056511D" w:rsidP="00DC40BB">
      <w:r w:rsidRPr="0097482F">
        <w:rPr>
          <w:b/>
          <w:bCs/>
        </w:rPr>
        <w:t>Costs reported:</w:t>
      </w:r>
      <w:r w:rsidRPr="0097482F">
        <w:t xml:space="preserve"> Operational inputs, not accounting expenses .</w:t>
      </w:r>
    </w:p>
    <w:p w14:paraId="1F5FF4F7" w14:textId="77777777" w:rsidR="0056511D" w:rsidRPr="0097482F" w:rsidRDefault="0056511D" w:rsidP="00DC40BB">
      <w:r w:rsidRPr="0097482F">
        <w:t>3. EIA capital cost studies (e.g., AEO, Sargent &amp; Lundy)</w:t>
      </w:r>
    </w:p>
    <w:p w14:paraId="3F45743C" w14:textId="77777777" w:rsidR="0056511D" w:rsidRPr="0097482F" w:rsidRDefault="0056511D" w:rsidP="00DC40BB">
      <w:r w:rsidRPr="0097482F">
        <w:t>What they provide: Modeled or survey-based overnight capital cost estimates for new builds.</w:t>
      </w:r>
    </w:p>
    <w:p w14:paraId="6688E6BB" w14:textId="77777777" w:rsidR="0056511D" w:rsidRPr="0097482F" w:rsidRDefault="0056511D" w:rsidP="00DC40BB">
      <w:r w:rsidRPr="0097482F">
        <w:rPr>
          <w:b/>
          <w:bCs/>
        </w:rPr>
        <w:t>What they do not:</w:t>
      </w:r>
      <w:r w:rsidRPr="0097482F">
        <w:t xml:space="preserve"> Realized plant-level capital or operating expenses.</w:t>
      </w:r>
    </w:p>
    <w:p w14:paraId="2D0871F8" w14:textId="77777777" w:rsidR="0056511D" w:rsidRPr="0097482F" w:rsidRDefault="0056511D" w:rsidP="00DC40BB">
      <w:r w:rsidRPr="0097482F">
        <w:rPr>
          <w:b/>
          <w:bCs/>
        </w:rPr>
        <w:t>Purpose:</w:t>
      </w:r>
      <w:r w:rsidRPr="0097482F">
        <w:t xml:space="preserve"> Planning and modeling, not historical accounting .</w:t>
      </w:r>
    </w:p>
    <w:p w14:paraId="38090F5C" w14:textId="77777777" w:rsidR="0056511D" w:rsidRPr="0097482F" w:rsidRDefault="0056511D" w:rsidP="00DC40BB">
      <w:r w:rsidRPr="0097482F">
        <w:t>4. SEC filings (10-Ks)</w:t>
      </w:r>
    </w:p>
    <w:p w14:paraId="4E9F1536" w14:textId="77777777" w:rsidR="0056511D" w:rsidRPr="0097482F" w:rsidRDefault="0056511D" w:rsidP="00DC40BB">
      <w:r w:rsidRPr="0097482F">
        <w:t>What they provide: Audited financials at the corporate level.</w:t>
      </w:r>
    </w:p>
    <w:p w14:paraId="47FD9BD2" w14:textId="77777777" w:rsidR="0056511D" w:rsidRPr="0097482F" w:rsidRDefault="0056511D" w:rsidP="00DC40BB">
      <w:r w:rsidRPr="0097482F">
        <w:rPr>
          <w:b/>
          <w:bCs/>
        </w:rPr>
        <w:lastRenderedPageBreak/>
        <w:t>What they do not:</w:t>
      </w:r>
      <w:r w:rsidRPr="0097482F">
        <w:t xml:space="preserve"> Plant-level or technology-level capital and O&amp;M data.</w:t>
      </w:r>
    </w:p>
    <w:p w14:paraId="674FB402" w14:textId="77777777" w:rsidR="0056511D" w:rsidRPr="0097482F" w:rsidRDefault="0056511D" w:rsidP="00DC40BB">
      <w:r w:rsidRPr="0097482F">
        <w:rPr>
          <w:b/>
          <w:bCs/>
        </w:rPr>
        <w:t>Limitation:</w:t>
      </w:r>
      <w:r w:rsidRPr="0097482F">
        <w:t xml:space="preserve"> Aggregation obscures generation-specific costs.</w:t>
      </w:r>
    </w:p>
    <w:p w14:paraId="77B9A011" w14:textId="77777777" w:rsidR="0056511D" w:rsidRPr="0097482F" w:rsidRDefault="0056511D" w:rsidP="00DC40BB">
      <w:r w:rsidRPr="0097482F">
        <w:t>5. State commission filings</w:t>
      </w:r>
    </w:p>
    <w:p w14:paraId="273EA93C" w14:textId="77777777" w:rsidR="0056511D" w:rsidRPr="0097482F" w:rsidRDefault="0056511D" w:rsidP="00DC40BB">
      <w:r w:rsidRPr="0097482F">
        <w:rPr>
          <w:b/>
          <w:bCs/>
        </w:rPr>
        <w:t>What they provide:</w:t>
      </w:r>
      <w:r w:rsidRPr="0097482F">
        <w:t xml:space="preserve"> Sometimes highly detailed plant cost data.</w:t>
      </w:r>
    </w:p>
    <w:p w14:paraId="36EB284A" w14:textId="29EF1C6B" w:rsidR="0056511D" w:rsidRDefault="0056511D" w:rsidP="00DC40BB">
      <w:r w:rsidRPr="0097482F">
        <w:rPr>
          <w:b/>
          <w:bCs/>
        </w:rPr>
        <w:t>Limitation:</w:t>
      </w:r>
      <w:r w:rsidRPr="0097482F">
        <w:t xml:space="preserve"> Not standardized, not national, and not longitudinally consistent.</w:t>
      </w:r>
    </w:p>
    <w:p w14:paraId="137724F3" w14:textId="77777777" w:rsidR="0056511D" w:rsidRDefault="0056511D" w:rsidP="00681242">
      <w:pPr>
        <w:spacing w:after="0" w:line="480" w:lineRule="auto"/>
        <w:ind w:firstLine="720"/>
      </w:pPr>
    </w:p>
    <w:p w14:paraId="2E3D05CC" w14:textId="0030C826" w:rsidR="005157FC" w:rsidRDefault="005157FC" w:rsidP="00DC40BB">
      <w:pPr>
        <w:pStyle w:val="Heading2"/>
      </w:pPr>
      <w:r>
        <w:t>Data Processing and Linking</w:t>
      </w:r>
    </w:p>
    <w:p w14:paraId="6D3080A1" w14:textId="56EB8331" w:rsidR="00B9148C" w:rsidRDefault="00200D4C" w:rsidP="00E63E92">
      <w:pPr>
        <w:spacing w:after="0" w:line="480" w:lineRule="auto"/>
        <w:ind w:firstLine="720"/>
      </w:pPr>
      <w:r>
        <w:t>A significant data cleaning and linking effort was performed to match cost</w:t>
      </w:r>
      <w:r w:rsidR="00122E0F">
        <w:t xml:space="preserve"> data from </w:t>
      </w:r>
      <w:r w:rsidR="006E057C">
        <w:t xml:space="preserve">FERC </w:t>
      </w:r>
      <w:r w:rsidR="00122E0F">
        <w:t xml:space="preserve">Form 1 with physical </w:t>
      </w:r>
      <w:r>
        <w:t xml:space="preserve">generator characteristics </w:t>
      </w:r>
      <w:r w:rsidR="006E057C">
        <w:t xml:space="preserve">data </w:t>
      </w:r>
      <w:r w:rsidR="00122E0F">
        <w:t xml:space="preserve">from </w:t>
      </w:r>
      <w:r>
        <w:t xml:space="preserve">EIA </w:t>
      </w:r>
      <w:r w:rsidR="006E057C">
        <w:t xml:space="preserve">Form </w:t>
      </w:r>
      <w:r>
        <w:t xml:space="preserve">860. </w:t>
      </w:r>
      <w:r w:rsidR="00430CC1">
        <w:t>A</w:t>
      </w:r>
      <w:r w:rsidR="003F09F2">
        <w:t xml:space="preserve"> c</w:t>
      </w:r>
      <w:r w:rsidR="003F09F2" w:rsidRPr="000E1BF6">
        <w:t xml:space="preserve">hallenge </w:t>
      </w:r>
      <w:r w:rsidR="003F09F2">
        <w:t>in this linking step</w:t>
      </w:r>
      <w:r w:rsidR="00430CC1">
        <w:t xml:space="preserve"> requiring substantial manual intervention</w:t>
      </w:r>
      <w:r w:rsidR="003F09F2">
        <w:t xml:space="preserve"> arose from </w:t>
      </w:r>
      <w:r w:rsidR="003F09F2" w:rsidRPr="000E1BF6">
        <w:t>inconsistenc</w:t>
      </w:r>
      <w:r w:rsidR="00430CC1">
        <w:t>ies</w:t>
      </w:r>
      <w:r w:rsidR="003F09F2" w:rsidRPr="000E1BF6">
        <w:t xml:space="preserve"> in reported plant names over time</w:t>
      </w:r>
      <w:r w:rsidR="00430CC1">
        <w:t xml:space="preserve"> within FERC Form 1</w:t>
      </w:r>
      <w:r w:rsidR="003F09F2" w:rsidRPr="000E1BF6">
        <w:t xml:space="preserve">. </w:t>
      </w:r>
      <w:r w:rsidR="00BB588E">
        <w:t xml:space="preserve">Specifically, changes in plant names, evolving plant configurations, and shifts in ownership over many plants’ histories across both FERC and EIA data presented a challenge </w:t>
      </w:r>
      <w:r w:rsidR="00D75042">
        <w:t xml:space="preserve">with </w:t>
      </w:r>
      <w:r w:rsidR="00BB588E">
        <w:t xml:space="preserve">linking records across time. </w:t>
      </w:r>
      <w:r w:rsidR="003F09F2" w:rsidRPr="000E1BF6">
        <w:t>Frequently, the same power plant appears under varying names in different reporting periods, for instance, “4 Corners” one year and “Four Corners” the next, or “Allen”</w:t>
      </w:r>
      <w:r w:rsidR="003F09F2">
        <w:t xml:space="preserve"> one year and</w:t>
      </w:r>
      <w:r w:rsidR="003F09F2" w:rsidRPr="000E1BF6">
        <w:t xml:space="preserve"> “Allen E. Kintigh”</w:t>
      </w:r>
      <w:r w:rsidR="003F09F2">
        <w:t xml:space="preserve"> the next</w:t>
      </w:r>
      <w:r w:rsidR="003F09F2" w:rsidRPr="000E1BF6">
        <w:t xml:space="preserve">. Such inconsistencies create a barrier to </w:t>
      </w:r>
      <w:r w:rsidR="003F09F2">
        <w:t xml:space="preserve">robust analysis of </w:t>
      </w:r>
      <w:r w:rsidR="003F09F2" w:rsidRPr="000E1BF6">
        <w:t xml:space="preserve">costs </w:t>
      </w:r>
      <w:r w:rsidR="003F09F2">
        <w:t>at the plant level over time</w:t>
      </w:r>
      <w:r w:rsidR="003F09F2" w:rsidRPr="000E1BF6">
        <w:t>, as plant names are the primary identifying key in FERC Form 1.</w:t>
      </w:r>
      <w:r w:rsidR="003F09F2">
        <w:t xml:space="preserve"> Ultimately, the matching process for this analysis was anchored by using plants names as of 2023 in the FERC data, with the linkages extending historically when plant names demonstrated persistence over time</w:t>
      </w:r>
      <w:r w:rsidR="00B9148C">
        <w:t>.</w:t>
      </w:r>
    </w:p>
    <w:p w14:paraId="11AAA9BE" w14:textId="05872872" w:rsidR="00F12213" w:rsidRDefault="00CF277E" w:rsidP="00E63E92">
      <w:pPr>
        <w:spacing w:after="0" w:line="480" w:lineRule="auto"/>
        <w:ind w:firstLine="720"/>
      </w:pPr>
      <w:r>
        <w:t>Further c</w:t>
      </w:r>
      <w:r w:rsidR="00F12213">
        <w:t xml:space="preserve">omplexity arises from </w:t>
      </w:r>
      <w:r>
        <w:t xml:space="preserve">Form 1’s </w:t>
      </w:r>
      <w:r w:rsidR="00F12213">
        <w:t>treatment of jointly owned or operated facilities. The costs reported by a utility for a jointly owned plant typically represent only the filing utility’s ownership share of that plant’s total costs and statistics. Thus, an entry for a jointly owned plant</w:t>
      </w:r>
      <w:r w:rsidR="00437D65">
        <w:t xml:space="preserve"> generally</w:t>
      </w:r>
      <w:r w:rsidR="00F12213">
        <w:t xml:space="preserve"> does not reflect the economics of the entire facility but </w:t>
      </w:r>
      <w:r w:rsidR="00437D65">
        <w:t>rather</w:t>
      </w:r>
      <w:r w:rsidR="00F12213">
        <w:t xml:space="preserve"> </w:t>
      </w:r>
      <w:r w:rsidR="00BF33D4">
        <w:t xml:space="preserve">often reports costs for the </w:t>
      </w:r>
      <w:r w:rsidR="00F12213">
        <w:t xml:space="preserve">portion </w:t>
      </w:r>
      <w:r w:rsidR="00BF33D4">
        <w:t xml:space="preserve">of the plant </w:t>
      </w:r>
      <w:r w:rsidR="00F12213">
        <w:t xml:space="preserve">corresponding to the </w:t>
      </w:r>
      <w:r w:rsidR="008801B2">
        <w:t xml:space="preserve">entities’ ownership </w:t>
      </w:r>
      <w:r w:rsidR="00F12213">
        <w:t>share.</w:t>
      </w:r>
      <w:r w:rsidR="000E1BF6">
        <w:t xml:space="preserve"> </w:t>
      </w:r>
      <w:r w:rsidR="00F12213">
        <w:lastRenderedPageBreak/>
        <w:t xml:space="preserve">Furthermore, FERC Form 1 plant entries are not fully consistent in their level of physical aggregation. Sometimes entities report individual units, sometimes groups of units aggregated by technology or fuel type, and sometimes an entire plant site. </w:t>
      </w:r>
    </w:p>
    <w:p w14:paraId="604DF2BB" w14:textId="3A26951B" w:rsidR="00C4699D" w:rsidRDefault="00C4699D" w:rsidP="00E63E92">
      <w:pPr>
        <w:spacing w:after="0" w:line="480" w:lineRule="auto"/>
        <w:ind w:firstLine="720"/>
      </w:pPr>
      <w:r w:rsidRPr="000E1BF6">
        <w:t>Further complexity arises from how plant ownership report</w:t>
      </w:r>
      <w:r>
        <w:t>ing is not enforced nor standardized</w:t>
      </w:r>
      <w:r w:rsidRPr="000E1BF6">
        <w:t xml:space="preserve">. Currently, Form 1 data does not directly capture ownership share for plants operating under shared ownership arrangements. Form 1 does report corresponding plant capacity from reporting entities, which </w:t>
      </w:r>
      <w:r w:rsidR="004C2702">
        <w:t>was</w:t>
      </w:r>
      <w:r w:rsidRPr="000E1BF6">
        <w:t xml:space="preserve"> matche</w:t>
      </w:r>
      <w:r w:rsidR="004C2702">
        <w:t>d</w:t>
      </w:r>
      <w:r w:rsidRPr="000E1BF6">
        <w:t xml:space="preserve"> to EIA data </w:t>
      </w:r>
      <w:r w:rsidR="004C2702">
        <w:t xml:space="preserve">in this analysis </w:t>
      </w:r>
      <w:r w:rsidRPr="000E1BF6">
        <w:t>to derive an estimate of ownership share</w:t>
      </w:r>
      <w:r w:rsidR="004C2702">
        <w:t>. However,</w:t>
      </w:r>
      <w:r w:rsidRPr="000E1BF6">
        <w:t xml:space="preserve"> this method is imperfect without clearer and consistent guidance for reporting partially owned plants. Compounding this issue</w:t>
      </w:r>
      <w:r>
        <w:t>, for plants with multiple owners</w:t>
      </w:r>
      <w:r w:rsidRPr="000E1BF6">
        <w:t>, some Form 1 entries</w:t>
      </w:r>
      <w:r>
        <w:t xml:space="preserve"> </w:t>
      </w:r>
      <w:r w:rsidRPr="000E1BF6">
        <w:t>report partial costs, while others reflect total plant costs. In an apparent workaround for the lack of a dedicated field, a few entities voluntarily include ownership percentages directly in the plant name field</w:t>
      </w:r>
      <w:r>
        <w:t>. For example,</w:t>
      </w:r>
      <w:r w:rsidRPr="000E1BF6">
        <w:t xml:space="preserve"> </w:t>
      </w:r>
      <w:r>
        <w:t xml:space="preserve">a plant name of </w:t>
      </w:r>
      <w:r w:rsidRPr="000E1BF6">
        <w:t>“</w:t>
      </w:r>
      <w:proofErr w:type="spellStart"/>
      <w:r>
        <w:t>jeffrey</w:t>
      </w:r>
      <w:proofErr w:type="spellEnd"/>
      <w:r>
        <w:t xml:space="preserve"> energy ctr 8</w:t>
      </w:r>
      <w:r w:rsidRPr="000E1BF6">
        <w:t>%”</w:t>
      </w:r>
      <w:r>
        <w:t xml:space="preserve"> in FERC Form 1 refers to an entry by Kansas City Power &amp; Light reporting costs for its 8% share of the Jeffrey Energy Center coal plant. </w:t>
      </w:r>
    </w:p>
    <w:p w14:paraId="6A004C3D" w14:textId="54BC617E" w:rsidR="00846709" w:rsidRDefault="00846709" w:rsidP="00E63E92">
      <w:pPr>
        <w:spacing w:after="0" w:line="480" w:lineRule="auto"/>
        <w:ind w:firstLine="720"/>
      </w:pPr>
      <w:r>
        <w:t xml:space="preserve">To address the challenges of inconsistent reporting for jointly-owned facilities and varying levels of unit </w:t>
      </w:r>
      <w:r w:rsidR="00C43203">
        <w:t>aggregation</w:t>
      </w:r>
      <w:r>
        <w:t xml:space="preserve">, this analysis implements an aggregation step after linking the FERC data with EIA. Specifically, individual plant entries that share identical geographic coordinates and the same technology type are grouped into a single record. During this process, the capacities (MW) and costs reported by each partial owner are summed to create aggregate totals for the full facilities. This approach </w:t>
      </w:r>
      <w:r w:rsidR="00C94176">
        <w:t xml:space="preserve">aggregates all units and partially-owned plant entries to the plant level, </w:t>
      </w:r>
      <w:r>
        <w:t>provid</w:t>
      </w:r>
      <w:r w:rsidR="00D27705">
        <w:t>ing</w:t>
      </w:r>
      <w:r>
        <w:t xml:space="preserve"> a more complete plant-level picture to provide a more accurate analysis of plant-level costs.</w:t>
      </w:r>
    </w:p>
    <w:p w14:paraId="0BC253E4" w14:textId="7DA53C98" w:rsidR="00882443" w:rsidRDefault="00882443" w:rsidP="00882443">
      <w:pPr>
        <w:pStyle w:val="Heading1"/>
      </w:pPr>
      <w:r>
        <w:lastRenderedPageBreak/>
        <w:t>Descriptive Statistics</w:t>
      </w:r>
    </w:p>
    <w:p w14:paraId="04506100" w14:textId="6990FCE2" w:rsidR="00C63BE0" w:rsidRPr="001B1353" w:rsidRDefault="0025785D" w:rsidP="00DC40BB">
      <w:pPr>
        <w:pStyle w:val="Heading2"/>
      </w:pPr>
      <w:r w:rsidRPr="001B1353">
        <w:t>Data Coverage</w:t>
      </w:r>
    </w:p>
    <w:p w14:paraId="1742AD2C" w14:textId="4E8414FF" w:rsidR="004106C3" w:rsidRDefault="00230404" w:rsidP="00A35EC6">
      <w:pPr>
        <w:keepNext/>
        <w:spacing w:line="480" w:lineRule="auto"/>
        <w:ind w:firstLine="720"/>
      </w:pPr>
      <w:r w:rsidRPr="00230404">
        <w:t xml:space="preserve">The cleaned dataset for this analysis encompasses </w:t>
      </w:r>
      <w:r w:rsidR="00135D26">
        <w:t>778</w:t>
      </w:r>
      <w:r w:rsidR="00C355ED">
        <w:t xml:space="preserve"> </w:t>
      </w:r>
      <w:r w:rsidRPr="00230404">
        <w:t>unique power plant</w:t>
      </w:r>
      <w:r w:rsidR="00DE3983">
        <w:t xml:space="preserve"> entries </w:t>
      </w:r>
      <w:r w:rsidRPr="00230404">
        <w:t>across the United States</w:t>
      </w:r>
      <w:r w:rsidR="00C355ED">
        <w:t xml:space="preserve"> in 2023</w:t>
      </w:r>
      <w:r w:rsidR="00D15FA4">
        <w:t xml:space="preserve">, </w:t>
      </w:r>
      <w:r w:rsidRPr="00230404">
        <w:t>contribut</w:t>
      </w:r>
      <w:r w:rsidR="00D15FA4">
        <w:t>ing</w:t>
      </w:r>
      <w:r w:rsidRPr="00230404">
        <w:t xml:space="preserve"> </w:t>
      </w:r>
      <w:r w:rsidR="00C355ED" w:rsidRPr="00C355ED">
        <w:t>32,838</w:t>
      </w:r>
      <w:r w:rsidR="00C355ED">
        <w:rPr>
          <w:b/>
          <w:bCs/>
        </w:rPr>
        <w:t xml:space="preserve"> </w:t>
      </w:r>
      <w:r w:rsidRPr="00230404">
        <w:t>plant-year observations</w:t>
      </w:r>
      <w:r w:rsidR="00C355ED">
        <w:t>, spanning back to 1994</w:t>
      </w:r>
      <w:r w:rsidRPr="00230404">
        <w:t xml:space="preserve">. </w:t>
      </w:r>
      <w:r w:rsidR="00C355ED">
        <w:t xml:space="preserve"> </w:t>
      </w:r>
      <w:r w:rsidRPr="00230404">
        <w:t xml:space="preserve">The aggregate installed nameplate capacity represented by these plants in the sample is </w:t>
      </w:r>
      <w:r w:rsidR="00281FF3">
        <w:t>approximately</w:t>
      </w:r>
      <w:r w:rsidR="009679C7">
        <w:t xml:space="preserve"> </w:t>
      </w:r>
      <w:r w:rsidR="00135D26">
        <w:t>394</w:t>
      </w:r>
      <w:r w:rsidR="00281FF3">
        <w:t xml:space="preserve"> G</w:t>
      </w:r>
      <w:r w:rsidR="00C355ED" w:rsidRPr="00C355ED">
        <w:t>W</w:t>
      </w:r>
      <w:r w:rsidRPr="00230404">
        <w:t>.</w:t>
      </w:r>
      <w:r w:rsidR="004106C3">
        <w:t xml:space="preserve"> </w:t>
      </w:r>
      <w:r w:rsidR="00596819">
        <w:t xml:space="preserve"> </w:t>
      </w:r>
      <w:r w:rsidR="004106C3">
        <w:fldChar w:fldCharType="begin"/>
      </w:r>
      <w:r w:rsidR="004106C3">
        <w:instrText xml:space="preserve"> REF _Ref200980219 \h </w:instrText>
      </w:r>
      <w:r w:rsidR="00A35EC6">
        <w:instrText xml:space="preserve"> \* MERGEFORMAT </w:instrText>
      </w:r>
      <w:r w:rsidR="004106C3">
        <w:fldChar w:fldCharType="separate"/>
      </w:r>
      <w:r w:rsidR="00CD17CC">
        <w:t xml:space="preserve">Figure </w:t>
      </w:r>
      <w:r w:rsidR="00CD17CC">
        <w:rPr>
          <w:noProof/>
        </w:rPr>
        <w:t>1</w:t>
      </w:r>
      <w:r w:rsidR="004106C3">
        <w:fldChar w:fldCharType="end"/>
      </w:r>
      <w:r w:rsidR="0034217F">
        <w:t xml:space="preserve"> </w:t>
      </w:r>
      <w:r w:rsidR="0034217F" w:rsidRPr="0034217F">
        <w:t xml:space="preserve">presents a map of the power plants </w:t>
      </w:r>
      <w:r w:rsidR="00596819">
        <w:t>included in the Form 1 data as of 2023</w:t>
      </w:r>
      <w:r w:rsidR="0034217F" w:rsidRPr="0034217F">
        <w:t>, illustrating their geographic distribution and composition by technology type across the United States. The size of each circle corresponds to the plant's nameplate capacity.</w:t>
      </w:r>
      <w:r w:rsidR="00421842">
        <w:t xml:space="preserve"> </w:t>
      </w:r>
    </w:p>
    <w:p w14:paraId="33B6433E" w14:textId="77777777" w:rsidR="00A8118E" w:rsidRDefault="00A8118E" w:rsidP="00882443">
      <w:r w:rsidRPr="0070592A">
        <w:rPr>
          <w:noProof/>
        </w:rPr>
        <w:drawing>
          <wp:inline distT="0" distB="0" distL="0" distR="0" wp14:anchorId="5EC53659" wp14:editId="4EC2E001">
            <wp:extent cx="5943600" cy="2732405"/>
            <wp:effectExtent l="0" t="0" r="0" b="0"/>
            <wp:docPr id="4" name="Picture 3" descr="Chart, scatter chart&#10;&#10;AI-generated content may be incorrect.">
              <a:extLst xmlns:a="http://schemas.openxmlformats.org/drawingml/2006/main">
                <a:ext uri="{FF2B5EF4-FFF2-40B4-BE49-F238E27FC236}">
                  <a16:creationId xmlns:a16="http://schemas.microsoft.com/office/drawing/2014/main" id="{93FFBD84-72DE-C02F-733A-53AEA78AE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scatter chart&#10;&#10;AI-generated content may be incorrect.">
                      <a:extLst>
                        <a:ext uri="{FF2B5EF4-FFF2-40B4-BE49-F238E27FC236}">
                          <a16:creationId xmlns:a16="http://schemas.microsoft.com/office/drawing/2014/main" id="{93FFBD84-72DE-C02F-733A-53AEA78AEBD2}"/>
                        </a:ext>
                      </a:extLst>
                    </pic:cNvPr>
                    <pic:cNvPicPr>
                      <a:picLocks noChangeAspect="1"/>
                    </pic:cNvPicPr>
                  </pic:nvPicPr>
                  <pic:blipFill>
                    <a:blip r:embed="rId8"/>
                    <a:stretch>
                      <a:fillRect/>
                    </a:stretch>
                  </pic:blipFill>
                  <pic:spPr>
                    <a:xfrm>
                      <a:off x="0" y="0"/>
                      <a:ext cx="5943600" cy="2732405"/>
                    </a:xfrm>
                    <a:prstGeom prst="rect">
                      <a:avLst/>
                    </a:prstGeom>
                  </pic:spPr>
                </pic:pic>
              </a:graphicData>
            </a:graphic>
          </wp:inline>
        </w:drawing>
      </w:r>
    </w:p>
    <w:p w14:paraId="4D0A4DA2" w14:textId="5B67E659" w:rsidR="00A35EC6" w:rsidRDefault="00A8118E" w:rsidP="006300E4">
      <w:pPr>
        <w:pStyle w:val="Caption"/>
      </w:pPr>
      <w:bookmarkStart w:id="1" w:name="_Ref200980219"/>
      <w:r>
        <w:t xml:space="preserve">Figure </w:t>
      </w:r>
      <w:r w:rsidR="00BF3A2E">
        <w:fldChar w:fldCharType="begin"/>
      </w:r>
      <w:r w:rsidR="00BF3A2E">
        <w:instrText xml:space="preserve"> SEQ Figure \* ARABIC </w:instrText>
      </w:r>
      <w:r w:rsidR="00BF3A2E">
        <w:fldChar w:fldCharType="separate"/>
      </w:r>
      <w:r w:rsidR="00CD17CC">
        <w:rPr>
          <w:noProof/>
        </w:rPr>
        <w:t>1</w:t>
      </w:r>
      <w:r w:rsidR="00BF3A2E">
        <w:rPr>
          <w:noProof/>
        </w:rPr>
        <w:fldChar w:fldCharType="end"/>
      </w:r>
      <w:bookmarkEnd w:id="1"/>
      <w:r>
        <w:t xml:space="preserve"> Map of power plants included in this analysis via FERC Form 1 Schedule 402.</w:t>
      </w:r>
      <w:r w:rsidR="00BB13A9">
        <w:rPr>
          <w:rStyle w:val="FootnoteReference"/>
        </w:rPr>
        <w:footnoteReference w:id="2"/>
      </w:r>
    </w:p>
    <w:p w14:paraId="76F7E920" w14:textId="77777777" w:rsidR="006300E4" w:rsidRPr="006300E4" w:rsidRDefault="006300E4" w:rsidP="006300E4"/>
    <w:p w14:paraId="3A638B62" w14:textId="13F12F4F" w:rsidR="0034217F" w:rsidRDefault="005847FF" w:rsidP="00A35EC6">
      <w:pPr>
        <w:keepNext/>
        <w:spacing w:after="0" w:line="480" w:lineRule="auto"/>
        <w:ind w:firstLine="720"/>
      </w:pPr>
      <w:r>
        <w:fldChar w:fldCharType="begin"/>
      </w:r>
      <w:r>
        <w:instrText xml:space="preserve"> REF _Ref200980219 \h </w:instrText>
      </w:r>
      <w:r w:rsidR="00A35EC6">
        <w:instrText xml:space="preserve"> \* MERGEFORMAT </w:instrText>
      </w:r>
      <w:r>
        <w:fldChar w:fldCharType="separate"/>
      </w:r>
      <w:r w:rsidR="00CD17CC">
        <w:t xml:space="preserve">Figure </w:t>
      </w:r>
      <w:r w:rsidR="00CD17CC">
        <w:rPr>
          <w:noProof/>
        </w:rPr>
        <w:t>1</w:t>
      </w:r>
      <w:r>
        <w:fldChar w:fldCharType="end"/>
      </w:r>
      <w:r>
        <w:t xml:space="preserve"> shows a</w:t>
      </w:r>
      <w:r w:rsidR="0034217F" w:rsidRPr="0034217F">
        <w:t xml:space="preserve"> concentration of power plants is visible in the eastern half of the United States, particularly throughout the Southeast and the Ohio River Valley. Another significant cluster of facilities, primarily natural gas plants, </w:t>
      </w:r>
      <w:r w:rsidR="006D0A47" w:rsidRPr="0034217F">
        <w:t>is in</w:t>
      </w:r>
      <w:r w:rsidR="0034217F" w:rsidRPr="0034217F">
        <w:t xml:space="preserve"> Texas and along the Gulf Coast. </w:t>
      </w:r>
      <w:r w:rsidR="0034217F" w:rsidRPr="0034217F">
        <w:lastRenderedPageBreak/>
        <w:t>The distribution is sparser in the western states, though notable clusters exist in California</w:t>
      </w:r>
      <w:r w:rsidR="006D0A47">
        <w:t>, Arizona,</w:t>
      </w:r>
      <w:r w:rsidR="0034217F" w:rsidRPr="0034217F">
        <w:t xml:space="preserve"> and the Pacific Northwest.</w:t>
      </w:r>
      <w:r w:rsidR="001B78BC">
        <w:t xml:space="preserve"> </w:t>
      </w:r>
      <w:r w:rsidR="001B78BC" w:rsidRPr="001B78BC">
        <w:t xml:space="preserve">This sparsity in the western </w:t>
      </w:r>
      <w:r w:rsidR="001B78BC">
        <w:t xml:space="preserve">U.S. </w:t>
      </w:r>
      <w:r w:rsidR="001B78BC" w:rsidRPr="001B78BC">
        <w:t>may be partly attributable not only to lower population clusters but also to the significant role of hydroelectric power in serving the region's electricity demand; hydroelectric plants were explicitly excluded from this study's scope</w:t>
      </w:r>
      <w:r w:rsidR="001B78BC">
        <w:t xml:space="preserve"> as described in section </w:t>
      </w:r>
      <w:r w:rsidR="001B78BC">
        <w:fldChar w:fldCharType="begin"/>
      </w:r>
      <w:r w:rsidR="001B78BC">
        <w:instrText xml:space="preserve"> REF _Ref200981168 \r \h </w:instrText>
      </w:r>
      <w:r w:rsidR="00A35EC6">
        <w:instrText xml:space="preserve"> \* MERGEFORMAT </w:instrText>
      </w:r>
      <w:r w:rsidR="001B78BC">
        <w:fldChar w:fldCharType="separate"/>
      </w:r>
      <w:r w:rsidR="00CD17CC">
        <w:t>8.1</w:t>
      </w:r>
      <w:r w:rsidR="001B78BC">
        <w:fldChar w:fldCharType="end"/>
      </w:r>
      <w:r w:rsidR="001B78BC" w:rsidRPr="001B78BC">
        <w:t>.</w:t>
      </w:r>
      <w:r w:rsidR="00D2632F">
        <w:t xml:space="preserve"> </w:t>
      </w:r>
      <w:r w:rsidR="00596819" w:rsidRPr="00596819">
        <w:t xml:space="preserve">The map highlights the prevalence of </w:t>
      </w:r>
      <w:r w:rsidR="00BA54F9">
        <w:t>c</w:t>
      </w:r>
      <w:r w:rsidR="00596819" w:rsidRPr="00596819">
        <w:t xml:space="preserve">oal (dark grey) and </w:t>
      </w:r>
      <w:r w:rsidR="00BA54F9">
        <w:t>n</w:t>
      </w:r>
      <w:r w:rsidR="00596819" w:rsidRPr="005847FF">
        <w:t xml:space="preserve">atural </w:t>
      </w:r>
      <w:r w:rsidR="00BA54F9">
        <w:t>g</w:t>
      </w:r>
      <w:r w:rsidR="00596819" w:rsidRPr="005847FF">
        <w:t xml:space="preserve">as </w:t>
      </w:r>
      <w:r w:rsidR="00BA54F9">
        <w:t>c</w:t>
      </w:r>
      <w:r w:rsidR="00596819" w:rsidRPr="005847FF">
        <w:t xml:space="preserve">ombined </w:t>
      </w:r>
      <w:r w:rsidR="00BA54F9">
        <w:t>c</w:t>
      </w:r>
      <w:r w:rsidR="00596819" w:rsidRPr="005847FF">
        <w:t xml:space="preserve">ycle (red) plants, which are widely distributed across the country. </w:t>
      </w:r>
      <w:r w:rsidR="00BA54F9">
        <w:t>N</w:t>
      </w:r>
      <w:r w:rsidR="00A35EC6" w:rsidRPr="005847FF">
        <w:t>uclear</w:t>
      </w:r>
      <w:r w:rsidR="00596819" w:rsidRPr="005847FF">
        <w:t xml:space="preserve"> plants</w:t>
      </w:r>
      <w:r w:rsidR="00596819" w:rsidRPr="00596819">
        <w:t xml:space="preserve"> (purple) are also prominent, though fewer in number, and</w:t>
      </w:r>
      <w:r w:rsidR="00FA0CB9">
        <w:t xml:space="preserve"> </w:t>
      </w:r>
      <w:r w:rsidR="00596819" w:rsidRPr="00596819">
        <w:t>are generally located in the eastern and southern states.</w:t>
      </w:r>
    </w:p>
    <w:p w14:paraId="45ACEEF4" w14:textId="3164C342" w:rsidR="00B95364" w:rsidRDefault="00A8118E" w:rsidP="00A35EC6">
      <w:pPr>
        <w:spacing w:after="0" w:line="480" w:lineRule="auto"/>
        <w:ind w:firstLine="720"/>
      </w:pPr>
      <w:r w:rsidRPr="00A8118E">
        <w:t>An</w:t>
      </w:r>
      <w:r>
        <w:t>other</w:t>
      </w:r>
      <w:r w:rsidRPr="00A8118E">
        <w:t xml:space="preserve"> observation from </w:t>
      </w:r>
      <w:r>
        <w:fldChar w:fldCharType="begin"/>
      </w:r>
      <w:r>
        <w:instrText xml:space="preserve"> REF _Ref200980219 \h </w:instrText>
      </w:r>
      <w:r w:rsidR="00A35EC6">
        <w:instrText xml:space="preserve"> \* MERGEFORMAT </w:instrText>
      </w:r>
      <w:r>
        <w:fldChar w:fldCharType="separate"/>
      </w:r>
      <w:r w:rsidR="00CD17CC">
        <w:t xml:space="preserve">Figure </w:t>
      </w:r>
      <w:r w:rsidR="00CD17CC">
        <w:rPr>
          <w:noProof/>
        </w:rPr>
        <w:t>1</w:t>
      </w:r>
      <w:r>
        <w:fldChar w:fldCharType="end"/>
      </w:r>
      <w:r>
        <w:t xml:space="preserve"> </w:t>
      </w:r>
      <w:r w:rsidRPr="00A8118E">
        <w:t xml:space="preserve">is the inclusion of Onshore Wind Turbine (light green) and Solar Photovoltaic (yellow) facilities. The FERC Form 1 </w:t>
      </w:r>
      <w:r w:rsidR="007653E3">
        <w:t>Schedule 402</w:t>
      </w:r>
      <w:r w:rsidRPr="00A8118E">
        <w:t xml:space="preserve"> </w:t>
      </w:r>
      <w:r w:rsidR="007653E3">
        <w:t xml:space="preserve">covers </w:t>
      </w:r>
      <w:r w:rsidRPr="00A8118E">
        <w:t xml:space="preserve">large steam plants (25 MW or more) and internal combustion or gas turbine plants (10 MW or more), </w:t>
      </w:r>
      <w:r w:rsidR="00F01376">
        <w:t>but</w:t>
      </w:r>
      <w:r w:rsidRPr="00A8118E">
        <w:t xml:space="preserve"> do</w:t>
      </w:r>
      <w:r w:rsidR="000C101A">
        <w:t>es</w:t>
      </w:r>
      <w:r w:rsidRPr="00A8118E">
        <w:t xml:space="preserve"> not mandate </w:t>
      </w:r>
      <w:r w:rsidR="00F01376">
        <w:t xml:space="preserve">cost </w:t>
      </w:r>
      <w:r w:rsidRPr="00A8118E">
        <w:t xml:space="preserve">reporting for wind and solar </w:t>
      </w:r>
      <w:r w:rsidR="000C101A">
        <w:t>facilities</w:t>
      </w:r>
      <w:r w:rsidRPr="00A8118E">
        <w:t xml:space="preserve">. The presence of a small number of these renewable energy plants in the dataset, as seen on the map, </w:t>
      </w:r>
      <w:r>
        <w:t>suggests</w:t>
      </w:r>
      <w:r w:rsidRPr="00A8118E">
        <w:t xml:space="preserve"> some utilities have reported </w:t>
      </w:r>
      <w:r>
        <w:t xml:space="preserve">them </w:t>
      </w:r>
      <w:r w:rsidRPr="00A8118E">
        <w:t xml:space="preserve">voluntarily, even though </w:t>
      </w:r>
      <w:r w:rsidR="00F01376" w:rsidRPr="00A8118E">
        <w:t xml:space="preserve">most </w:t>
      </w:r>
      <w:r w:rsidR="00F01376">
        <w:t xml:space="preserve">existing </w:t>
      </w:r>
      <w:r w:rsidR="00C56EEC">
        <w:t xml:space="preserve">wind and solar generation facilities </w:t>
      </w:r>
      <w:r w:rsidR="00247E99">
        <w:t xml:space="preserve">are not included in the FERC Form 1 </w:t>
      </w:r>
      <w:r w:rsidR="00B53E55">
        <w:t xml:space="preserve">Schedule 402 </w:t>
      </w:r>
      <w:commentRangeStart w:id="2"/>
      <w:r w:rsidR="00B53E55">
        <w:t>data</w:t>
      </w:r>
      <w:commentRangeEnd w:id="2"/>
      <w:r w:rsidR="009E767C">
        <w:rPr>
          <w:rStyle w:val="CommentReference"/>
        </w:rPr>
        <w:commentReference w:id="2"/>
      </w:r>
      <w:r w:rsidRPr="00A8118E">
        <w:t xml:space="preserve">. </w:t>
      </w:r>
    </w:p>
    <w:p w14:paraId="76166E64" w14:textId="4607226B" w:rsidR="006300E4" w:rsidRDefault="001B569E" w:rsidP="000276CB">
      <w:pPr>
        <w:spacing w:after="0" w:line="480" w:lineRule="auto"/>
        <w:ind w:firstLine="720"/>
      </w:pPr>
      <w:r>
        <w:fldChar w:fldCharType="begin"/>
      </w:r>
      <w:r>
        <w:instrText xml:space="preserve"> REF _Ref200983894 \h </w:instrText>
      </w:r>
      <w:r w:rsidR="00CF089A">
        <w:instrText xml:space="preserve"> \* MERGEFORMAT </w:instrText>
      </w:r>
      <w:r>
        <w:fldChar w:fldCharType="separate"/>
      </w:r>
      <w:r w:rsidR="00CD17CC">
        <w:t xml:space="preserve">Table </w:t>
      </w:r>
      <w:r w:rsidR="00CD17CC">
        <w:rPr>
          <w:noProof/>
        </w:rPr>
        <w:t>1</w:t>
      </w:r>
      <w:r>
        <w:fldChar w:fldCharType="end"/>
      </w:r>
      <w:r>
        <w:t xml:space="preserve"> </w:t>
      </w:r>
      <w:r w:rsidRPr="001B569E">
        <w:t>provides a breakdown of the 2023 sample by technology type, summarizing the number of unique plants, their total capacity, and their share of the sample's aggregate capacity.</w:t>
      </w:r>
      <w:r w:rsidR="00F01376">
        <w:t xml:space="preserve"> It</w:t>
      </w:r>
      <w:r w:rsidR="002212C1">
        <w:t xml:space="preserve"> shows that conventional steam coal plants represent the largest share of capacity at 30% (11</w:t>
      </w:r>
      <w:r w:rsidR="00985333">
        <w:t>7</w:t>
      </w:r>
      <w:r w:rsidR="002212C1">
        <w:t xml:space="preserve"> GW)</w:t>
      </w:r>
      <w:r w:rsidR="00985333">
        <w:t xml:space="preserve"> across 166 plants. Natural Gas Fired Combined Cycle</w:t>
      </w:r>
      <w:r w:rsidR="00EC6820">
        <w:t xml:space="preserve"> (NGCC)</w:t>
      </w:r>
      <w:r w:rsidR="00985333">
        <w:t xml:space="preserve"> facilities are a close second, accounting for 27% (108 GW)</w:t>
      </w:r>
      <w:r w:rsidR="008C19B6">
        <w:t xml:space="preserve"> of capacity from 147 plants. If natural gas technologies are considered in aggregate (</w:t>
      </w:r>
      <w:r w:rsidR="00F01376">
        <w:t>including</w:t>
      </w:r>
      <w:r w:rsidR="008C19B6">
        <w:t xml:space="preserve"> combined cycle, combustion turbine, and other), they collectively constitute the majority of the sample’s capacity at 53%.</w:t>
      </w:r>
      <w:r w:rsidR="000276CB">
        <w:t xml:space="preserve"> </w:t>
      </w:r>
      <w:r w:rsidR="00471B80">
        <w:t xml:space="preserve">More information </w:t>
      </w:r>
      <w:r w:rsidR="000276CB">
        <w:t xml:space="preserve">on the </w:t>
      </w:r>
      <w:r w:rsidR="00471B80">
        <w:t xml:space="preserve">capacity </w:t>
      </w:r>
      <w:r w:rsidR="000276CB">
        <w:t>distribution</w:t>
      </w:r>
      <w:r w:rsidR="00471B80">
        <w:t>s</w:t>
      </w:r>
      <w:r w:rsidR="000276CB">
        <w:t xml:space="preserve"> of plants in the Form 1 sample by technology is </w:t>
      </w:r>
      <w:r w:rsidR="00471B80">
        <w:t xml:space="preserve">provided </w:t>
      </w:r>
      <w:r w:rsidR="000276CB">
        <w:t xml:space="preserve">in Appendix </w:t>
      </w:r>
      <w:r w:rsidR="000276CB">
        <w:rPr>
          <w:highlight w:val="yellow"/>
        </w:rPr>
        <w:fldChar w:fldCharType="begin"/>
      </w:r>
      <w:r w:rsidR="000276CB">
        <w:instrText xml:space="preserve"> REF _Ref218927836 \r \h </w:instrText>
      </w:r>
      <w:r w:rsidR="000276CB">
        <w:rPr>
          <w:highlight w:val="yellow"/>
        </w:rPr>
      </w:r>
      <w:r w:rsidR="000276CB">
        <w:rPr>
          <w:highlight w:val="yellow"/>
        </w:rPr>
        <w:fldChar w:fldCharType="separate"/>
      </w:r>
      <w:r w:rsidR="00CD17CC">
        <w:t>1.1</w:t>
      </w:r>
      <w:r w:rsidR="000276CB">
        <w:rPr>
          <w:highlight w:val="yellow"/>
        </w:rPr>
        <w:fldChar w:fldCharType="end"/>
      </w:r>
      <w:r w:rsidR="00471B80">
        <w:t>, and further information on the temporal distributions is provided in Appendix</w:t>
      </w:r>
    </w:p>
    <w:p w14:paraId="516C2EE8" w14:textId="2995D87A" w:rsidR="001B569E" w:rsidRDefault="001B569E" w:rsidP="006300E4">
      <w:pPr>
        <w:pStyle w:val="Caption"/>
      </w:pPr>
      <w:bookmarkStart w:id="3" w:name="_Ref200983894"/>
      <w:r>
        <w:lastRenderedPageBreak/>
        <w:t xml:space="preserve">Table </w:t>
      </w:r>
      <w:r w:rsidR="00BF3A2E">
        <w:fldChar w:fldCharType="begin"/>
      </w:r>
      <w:r w:rsidR="00BF3A2E">
        <w:instrText xml:space="preserve"> SEQ Table \* ARABIC </w:instrText>
      </w:r>
      <w:r w:rsidR="00BF3A2E">
        <w:fldChar w:fldCharType="separate"/>
      </w:r>
      <w:r w:rsidR="00CD17CC">
        <w:rPr>
          <w:noProof/>
        </w:rPr>
        <w:t>1</w:t>
      </w:r>
      <w:r w:rsidR="00BF3A2E">
        <w:rPr>
          <w:noProof/>
        </w:rPr>
        <w:fldChar w:fldCharType="end"/>
      </w:r>
      <w:bookmarkEnd w:id="3"/>
      <w:r>
        <w:t xml:space="preserve"> </w:t>
      </w:r>
      <w:r w:rsidRPr="00D064E3">
        <w:t xml:space="preserve">Composition of FERC Form 1 </w:t>
      </w:r>
      <w:r w:rsidR="002136F4">
        <w:t>s</w:t>
      </w:r>
      <w:r w:rsidRPr="00D064E3">
        <w:t xml:space="preserve">ample by </w:t>
      </w:r>
      <w:r w:rsidR="002136F4">
        <w:t>t</w:t>
      </w:r>
      <w:r w:rsidRPr="00D064E3">
        <w:t xml:space="preserve">echnology </w:t>
      </w:r>
      <w:r w:rsidR="002136F4">
        <w:t>t</w:t>
      </w:r>
      <w:r w:rsidRPr="00D064E3">
        <w:t>ype</w:t>
      </w:r>
      <w:r>
        <w:t>, 2023.</w:t>
      </w:r>
    </w:p>
    <w:tbl>
      <w:tblPr>
        <w:tblW w:w="7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1728"/>
        <w:gridCol w:w="1728"/>
      </w:tblGrid>
      <w:tr w:rsidR="00707132" w:rsidRPr="00707132" w14:paraId="218DB559" w14:textId="77777777" w:rsidTr="00BF7FB0">
        <w:trPr>
          <w:trHeight w:val="288"/>
          <w:jc w:val="center"/>
        </w:trPr>
        <w:tc>
          <w:tcPr>
            <w:tcW w:w="2592" w:type="dxa"/>
            <w:shd w:val="clear" w:color="auto" w:fill="000000" w:themeFill="text1"/>
            <w:noWrap/>
            <w:vAlign w:val="center"/>
            <w:hideMark/>
          </w:tcPr>
          <w:p w14:paraId="69A3EC2A" w14:textId="77777777" w:rsidR="00707132" w:rsidRPr="00707132" w:rsidRDefault="00707132" w:rsidP="00882443">
            <w:pPr>
              <w:spacing w:after="0" w:line="240" w:lineRule="auto"/>
              <w:rPr>
                <w:rFonts w:eastAsia="Times New Roman" w:cs="Times New Roman"/>
                <w:b/>
                <w:bCs/>
                <w:color w:val="FFFFFF" w:themeColor="background1"/>
                <w:kern w:val="0"/>
                <w:sz w:val="22"/>
                <w:szCs w:val="22"/>
                <w14:ligatures w14:val="none"/>
              </w:rPr>
            </w:pPr>
            <w:r w:rsidRPr="00707132">
              <w:rPr>
                <w:rFonts w:eastAsia="Times New Roman" w:cs="Times New Roman"/>
                <w:b/>
                <w:bCs/>
                <w:color w:val="FFFFFF" w:themeColor="background1"/>
                <w:kern w:val="0"/>
                <w:sz w:val="22"/>
                <w:szCs w:val="22"/>
                <w14:ligatures w14:val="none"/>
              </w:rPr>
              <w:t>Technology Group</w:t>
            </w:r>
          </w:p>
        </w:tc>
        <w:tc>
          <w:tcPr>
            <w:tcW w:w="1728" w:type="dxa"/>
            <w:shd w:val="clear" w:color="auto" w:fill="000000" w:themeFill="text1"/>
            <w:noWrap/>
            <w:vAlign w:val="bottom"/>
            <w:hideMark/>
          </w:tcPr>
          <w:p w14:paraId="50A80330" w14:textId="77777777" w:rsidR="00707132" w:rsidRPr="00707132" w:rsidRDefault="00707132" w:rsidP="00882443">
            <w:pPr>
              <w:spacing w:after="0" w:line="240" w:lineRule="auto"/>
              <w:jc w:val="right"/>
              <w:rPr>
                <w:rFonts w:eastAsia="Times New Roman" w:cs="Times New Roman"/>
                <w:b/>
                <w:bCs/>
                <w:color w:val="FFFFFF" w:themeColor="background1"/>
                <w:kern w:val="0"/>
                <w:sz w:val="22"/>
                <w:szCs w:val="22"/>
                <w14:ligatures w14:val="none"/>
              </w:rPr>
            </w:pPr>
            <w:r w:rsidRPr="00707132">
              <w:rPr>
                <w:rFonts w:eastAsia="Times New Roman" w:cs="Times New Roman"/>
                <w:b/>
                <w:bCs/>
                <w:color w:val="FFFFFF" w:themeColor="background1"/>
                <w:kern w:val="0"/>
                <w:sz w:val="22"/>
                <w:szCs w:val="22"/>
                <w14:ligatures w14:val="none"/>
              </w:rPr>
              <w:t>Number of Unique Plants</w:t>
            </w:r>
          </w:p>
        </w:tc>
        <w:tc>
          <w:tcPr>
            <w:tcW w:w="1728" w:type="dxa"/>
            <w:shd w:val="clear" w:color="auto" w:fill="000000" w:themeFill="text1"/>
            <w:noWrap/>
            <w:vAlign w:val="bottom"/>
            <w:hideMark/>
          </w:tcPr>
          <w:p w14:paraId="588F32E9" w14:textId="77777777" w:rsidR="00707132" w:rsidRPr="00707132" w:rsidRDefault="00707132" w:rsidP="00882443">
            <w:pPr>
              <w:spacing w:after="0" w:line="240" w:lineRule="auto"/>
              <w:jc w:val="right"/>
              <w:rPr>
                <w:rFonts w:eastAsia="Times New Roman" w:cs="Times New Roman"/>
                <w:b/>
                <w:bCs/>
                <w:color w:val="FFFFFF" w:themeColor="background1"/>
                <w:kern w:val="0"/>
                <w:sz w:val="22"/>
                <w:szCs w:val="22"/>
                <w14:ligatures w14:val="none"/>
              </w:rPr>
            </w:pPr>
            <w:r w:rsidRPr="00707132">
              <w:rPr>
                <w:rFonts w:eastAsia="Times New Roman" w:cs="Times New Roman"/>
                <w:b/>
                <w:bCs/>
                <w:color w:val="FFFFFF" w:themeColor="background1"/>
                <w:kern w:val="0"/>
                <w:sz w:val="22"/>
                <w:szCs w:val="22"/>
                <w14:ligatures w14:val="none"/>
              </w:rPr>
              <w:t>Total Capacity (MW)</w:t>
            </w:r>
          </w:p>
        </w:tc>
        <w:tc>
          <w:tcPr>
            <w:tcW w:w="1728" w:type="dxa"/>
            <w:shd w:val="clear" w:color="auto" w:fill="000000" w:themeFill="text1"/>
            <w:noWrap/>
            <w:vAlign w:val="bottom"/>
            <w:hideMark/>
          </w:tcPr>
          <w:p w14:paraId="08A0F2C2" w14:textId="77777777" w:rsidR="00707132" w:rsidRPr="00707132" w:rsidRDefault="00707132" w:rsidP="00882443">
            <w:pPr>
              <w:spacing w:after="0" w:line="240" w:lineRule="auto"/>
              <w:jc w:val="right"/>
              <w:rPr>
                <w:rFonts w:eastAsia="Times New Roman" w:cs="Times New Roman"/>
                <w:b/>
                <w:bCs/>
                <w:color w:val="FFFFFF" w:themeColor="background1"/>
                <w:kern w:val="0"/>
                <w:sz w:val="22"/>
                <w:szCs w:val="22"/>
                <w14:ligatures w14:val="none"/>
              </w:rPr>
            </w:pPr>
            <w:r w:rsidRPr="00707132">
              <w:rPr>
                <w:rFonts w:eastAsia="Times New Roman" w:cs="Times New Roman"/>
                <w:b/>
                <w:bCs/>
                <w:color w:val="FFFFFF" w:themeColor="background1"/>
                <w:kern w:val="0"/>
                <w:sz w:val="22"/>
                <w:szCs w:val="22"/>
                <w14:ligatures w14:val="none"/>
              </w:rPr>
              <w:t>% of Sample's Total Capacity</w:t>
            </w:r>
          </w:p>
        </w:tc>
      </w:tr>
      <w:tr w:rsidR="00707132" w:rsidRPr="00707132" w14:paraId="6359DB28" w14:textId="77777777" w:rsidTr="00995C94">
        <w:trPr>
          <w:trHeight w:val="288"/>
          <w:jc w:val="center"/>
        </w:trPr>
        <w:tc>
          <w:tcPr>
            <w:tcW w:w="2592" w:type="dxa"/>
            <w:noWrap/>
            <w:vAlign w:val="center"/>
            <w:hideMark/>
          </w:tcPr>
          <w:p w14:paraId="5472EC00"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Conventional Steam Coal</w:t>
            </w:r>
          </w:p>
        </w:tc>
        <w:tc>
          <w:tcPr>
            <w:tcW w:w="1728" w:type="dxa"/>
            <w:noWrap/>
            <w:vAlign w:val="center"/>
            <w:hideMark/>
          </w:tcPr>
          <w:p w14:paraId="57D49F94" w14:textId="6EDA86BB"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16</w:t>
            </w:r>
            <w:r w:rsidR="00E83EAB">
              <w:rPr>
                <w:rFonts w:eastAsia="Times New Roman" w:cs="Times New Roman"/>
                <w:color w:val="000000"/>
                <w:kern w:val="0"/>
                <w:sz w:val="22"/>
                <w:szCs w:val="22"/>
                <w14:ligatures w14:val="none"/>
              </w:rPr>
              <w:t>4</w:t>
            </w:r>
          </w:p>
        </w:tc>
        <w:tc>
          <w:tcPr>
            <w:tcW w:w="1728" w:type="dxa"/>
            <w:noWrap/>
            <w:vAlign w:val="center"/>
            <w:hideMark/>
          </w:tcPr>
          <w:p w14:paraId="12FAD9F8" w14:textId="25C47E9A"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116,772 </w:t>
            </w:r>
          </w:p>
        </w:tc>
        <w:tc>
          <w:tcPr>
            <w:tcW w:w="1728" w:type="dxa"/>
            <w:noWrap/>
            <w:vAlign w:val="center"/>
            <w:hideMark/>
          </w:tcPr>
          <w:p w14:paraId="3C88B378"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30 </w:t>
            </w:r>
          </w:p>
        </w:tc>
      </w:tr>
      <w:tr w:rsidR="00707132" w:rsidRPr="00707132" w14:paraId="0918FA3B" w14:textId="77777777" w:rsidTr="00995C94">
        <w:trPr>
          <w:trHeight w:val="288"/>
          <w:jc w:val="center"/>
        </w:trPr>
        <w:tc>
          <w:tcPr>
            <w:tcW w:w="2592" w:type="dxa"/>
            <w:noWrap/>
            <w:vAlign w:val="center"/>
            <w:hideMark/>
          </w:tcPr>
          <w:p w14:paraId="09398233" w14:textId="6A4C669A"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Natural Gas Fired </w:t>
            </w:r>
            <w:r w:rsidR="00A84681">
              <w:rPr>
                <w:rFonts w:eastAsia="Times New Roman" w:cs="Times New Roman"/>
                <w:color w:val="000000"/>
                <w:kern w:val="0"/>
                <w:sz w:val="22"/>
                <w:szCs w:val="22"/>
                <w14:ligatures w14:val="none"/>
              </w:rPr>
              <w:t>CC</w:t>
            </w:r>
          </w:p>
        </w:tc>
        <w:tc>
          <w:tcPr>
            <w:tcW w:w="1728" w:type="dxa"/>
            <w:noWrap/>
            <w:vAlign w:val="center"/>
            <w:hideMark/>
          </w:tcPr>
          <w:p w14:paraId="7E448AE2"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147</w:t>
            </w:r>
          </w:p>
        </w:tc>
        <w:tc>
          <w:tcPr>
            <w:tcW w:w="1728" w:type="dxa"/>
            <w:noWrap/>
            <w:vAlign w:val="center"/>
            <w:hideMark/>
          </w:tcPr>
          <w:p w14:paraId="2690EE53" w14:textId="401E53DA"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107,514 </w:t>
            </w:r>
          </w:p>
        </w:tc>
        <w:tc>
          <w:tcPr>
            <w:tcW w:w="1728" w:type="dxa"/>
            <w:noWrap/>
            <w:vAlign w:val="center"/>
            <w:hideMark/>
          </w:tcPr>
          <w:p w14:paraId="2113A120"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27 </w:t>
            </w:r>
          </w:p>
        </w:tc>
      </w:tr>
      <w:tr w:rsidR="00707132" w:rsidRPr="00707132" w14:paraId="044FE86B" w14:textId="77777777" w:rsidTr="00995C94">
        <w:trPr>
          <w:trHeight w:val="288"/>
          <w:jc w:val="center"/>
        </w:trPr>
        <w:tc>
          <w:tcPr>
            <w:tcW w:w="2592" w:type="dxa"/>
            <w:noWrap/>
            <w:vAlign w:val="center"/>
            <w:hideMark/>
          </w:tcPr>
          <w:p w14:paraId="1E44665A" w14:textId="1CC92F62"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Natural Gas Fired </w:t>
            </w:r>
            <w:r w:rsidR="00A84681">
              <w:rPr>
                <w:rFonts w:eastAsia="Times New Roman" w:cs="Times New Roman"/>
                <w:color w:val="000000"/>
                <w:kern w:val="0"/>
                <w:sz w:val="22"/>
                <w:szCs w:val="22"/>
                <w14:ligatures w14:val="none"/>
              </w:rPr>
              <w:t>CT</w:t>
            </w:r>
          </w:p>
        </w:tc>
        <w:tc>
          <w:tcPr>
            <w:tcW w:w="1728" w:type="dxa"/>
            <w:noWrap/>
            <w:vAlign w:val="center"/>
            <w:hideMark/>
          </w:tcPr>
          <w:p w14:paraId="41175806" w14:textId="67DD1A5B"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22</w:t>
            </w:r>
            <w:r w:rsidR="00E83EAB">
              <w:rPr>
                <w:rFonts w:eastAsia="Times New Roman" w:cs="Times New Roman"/>
                <w:color w:val="000000"/>
                <w:kern w:val="0"/>
                <w:sz w:val="22"/>
                <w:szCs w:val="22"/>
                <w14:ligatures w14:val="none"/>
              </w:rPr>
              <w:t>7</w:t>
            </w:r>
          </w:p>
        </w:tc>
        <w:tc>
          <w:tcPr>
            <w:tcW w:w="1728" w:type="dxa"/>
            <w:noWrap/>
            <w:vAlign w:val="center"/>
            <w:hideMark/>
          </w:tcPr>
          <w:p w14:paraId="3798A30A" w14:textId="42BC0A62"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59,993 </w:t>
            </w:r>
          </w:p>
        </w:tc>
        <w:tc>
          <w:tcPr>
            <w:tcW w:w="1728" w:type="dxa"/>
            <w:noWrap/>
            <w:vAlign w:val="center"/>
            <w:hideMark/>
          </w:tcPr>
          <w:p w14:paraId="75B38DB2"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15 </w:t>
            </w:r>
          </w:p>
        </w:tc>
      </w:tr>
      <w:tr w:rsidR="00707132" w:rsidRPr="00707132" w14:paraId="473C85B7" w14:textId="77777777" w:rsidTr="00995C94">
        <w:trPr>
          <w:trHeight w:val="288"/>
          <w:jc w:val="center"/>
        </w:trPr>
        <w:tc>
          <w:tcPr>
            <w:tcW w:w="2592" w:type="dxa"/>
            <w:noWrap/>
            <w:vAlign w:val="center"/>
            <w:hideMark/>
          </w:tcPr>
          <w:p w14:paraId="08940300"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Other Natural Gas</w:t>
            </w:r>
          </w:p>
        </w:tc>
        <w:tc>
          <w:tcPr>
            <w:tcW w:w="1728" w:type="dxa"/>
            <w:noWrap/>
            <w:vAlign w:val="center"/>
            <w:hideMark/>
          </w:tcPr>
          <w:p w14:paraId="3143DE55" w14:textId="1212D2F2"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8</w:t>
            </w:r>
            <w:r w:rsidR="00E83EAB">
              <w:rPr>
                <w:rFonts w:eastAsia="Times New Roman" w:cs="Times New Roman"/>
                <w:color w:val="000000"/>
                <w:kern w:val="0"/>
                <w:sz w:val="22"/>
                <w:szCs w:val="22"/>
                <w14:ligatures w14:val="none"/>
              </w:rPr>
              <w:t>1</w:t>
            </w:r>
          </w:p>
        </w:tc>
        <w:tc>
          <w:tcPr>
            <w:tcW w:w="1728" w:type="dxa"/>
            <w:noWrap/>
            <w:vAlign w:val="center"/>
            <w:hideMark/>
          </w:tcPr>
          <w:p w14:paraId="13B539B9" w14:textId="00C6CD0D"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44,516 </w:t>
            </w:r>
          </w:p>
        </w:tc>
        <w:tc>
          <w:tcPr>
            <w:tcW w:w="1728" w:type="dxa"/>
            <w:noWrap/>
            <w:vAlign w:val="center"/>
            <w:hideMark/>
          </w:tcPr>
          <w:p w14:paraId="2A7435B1"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11 </w:t>
            </w:r>
          </w:p>
        </w:tc>
      </w:tr>
      <w:tr w:rsidR="00707132" w:rsidRPr="00707132" w14:paraId="6D5E5577" w14:textId="77777777" w:rsidTr="00995C94">
        <w:trPr>
          <w:trHeight w:val="288"/>
          <w:jc w:val="center"/>
        </w:trPr>
        <w:tc>
          <w:tcPr>
            <w:tcW w:w="2592" w:type="dxa"/>
            <w:noWrap/>
            <w:vAlign w:val="center"/>
            <w:hideMark/>
          </w:tcPr>
          <w:p w14:paraId="77E2A315"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Nuclear</w:t>
            </w:r>
          </w:p>
        </w:tc>
        <w:tc>
          <w:tcPr>
            <w:tcW w:w="1728" w:type="dxa"/>
            <w:noWrap/>
            <w:vAlign w:val="center"/>
            <w:hideMark/>
          </w:tcPr>
          <w:p w14:paraId="4C974228"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34</w:t>
            </w:r>
          </w:p>
        </w:tc>
        <w:tc>
          <w:tcPr>
            <w:tcW w:w="1728" w:type="dxa"/>
            <w:noWrap/>
            <w:vAlign w:val="center"/>
            <w:hideMark/>
          </w:tcPr>
          <w:p w14:paraId="61D1D72A" w14:textId="3C9088B3"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41,442 </w:t>
            </w:r>
          </w:p>
        </w:tc>
        <w:tc>
          <w:tcPr>
            <w:tcW w:w="1728" w:type="dxa"/>
            <w:noWrap/>
            <w:vAlign w:val="center"/>
            <w:hideMark/>
          </w:tcPr>
          <w:p w14:paraId="4A384FE8"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11 </w:t>
            </w:r>
          </w:p>
        </w:tc>
      </w:tr>
      <w:tr w:rsidR="00707132" w:rsidRPr="00707132" w14:paraId="4A82BB05" w14:textId="77777777" w:rsidTr="00995C94">
        <w:trPr>
          <w:trHeight w:val="288"/>
          <w:jc w:val="center"/>
        </w:trPr>
        <w:tc>
          <w:tcPr>
            <w:tcW w:w="2592" w:type="dxa"/>
            <w:noWrap/>
            <w:vAlign w:val="center"/>
            <w:hideMark/>
          </w:tcPr>
          <w:p w14:paraId="57019C6E"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Other</w:t>
            </w:r>
          </w:p>
        </w:tc>
        <w:tc>
          <w:tcPr>
            <w:tcW w:w="1728" w:type="dxa"/>
            <w:noWrap/>
            <w:vAlign w:val="center"/>
            <w:hideMark/>
          </w:tcPr>
          <w:p w14:paraId="73DB1EDF" w14:textId="0321595C"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9</w:t>
            </w:r>
            <w:r w:rsidR="00E83EAB">
              <w:rPr>
                <w:rFonts w:eastAsia="Times New Roman" w:cs="Times New Roman"/>
                <w:color w:val="000000"/>
                <w:kern w:val="0"/>
                <w:sz w:val="22"/>
                <w:szCs w:val="22"/>
                <w14:ligatures w14:val="none"/>
              </w:rPr>
              <w:t>8</w:t>
            </w:r>
          </w:p>
        </w:tc>
        <w:tc>
          <w:tcPr>
            <w:tcW w:w="1728" w:type="dxa"/>
            <w:noWrap/>
            <w:vAlign w:val="center"/>
            <w:hideMark/>
          </w:tcPr>
          <w:p w14:paraId="383C34F8" w14:textId="094544ED"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9,934 </w:t>
            </w:r>
          </w:p>
        </w:tc>
        <w:tc>
          <w:tcPr>
            <w:tcW w:w="1728" w:type="dxa"/>
            <w:noWrap/>
            <w:vAlign w:val="center"/>
            <w:hideMark/>
          </w:tcPr>
          <w:p w14:paraId="78C8CD8E"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3 </w:t>
            </w:r>
          </w:p>
        </w:tc>
      </w:tr>
      <w:tr w:rsidR="00707132" w:rsidRPr="00707132" w14:paraId="77CB36D2" w14:textId="77777777" w:rsidTr="00995C94">
        <w:trPr>
          <w:trHeight w:val="288"/>
          <w:jc w:val="center"/>
        </w:trPr>
        <w:tc>
          <w:tcPr>
            <w:tcW w:w="2592" w:type="dxa"/>
            <w:noWrap/>
            <w:vAlign w:val="center"/>
            <w:hideMark/>
          </w:tcPr>
          <w:p w14:paraId="144D812A"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Solar Photovoltaic</w:t>
            </w:r>
          </w:p>
        </w:tc>
        <w:tc>
          <w:tcPr>
            <w:tcW w:w="1728" w:type="dxa"/>
            <w:noWrap/>
            <w:vAlign w:val="center"/>
            <w:hideMark/>
          </w:tcPr>
          <w:p w14:paraId="7C60F3A2"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119</w:t>
            </w:r>
          </w:p>
        </w:tc>
        <w:tc>
          <w:tcPr>
            <w:tcW w:w="1728" w:type="dxa"/>
            <w:noWrap/>
            <w:vAlign w:val="center"/>
            <w:hideMark/>
          </w:tcPr>
          <w:p w14:paraId="2E6F83B7" w14:textId="66099DCA"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7,965 </w:t>
            </w:r>
          </w:p>
        </w:tc>
        <w:tc>
          <w:tcPr>
            <w:tcW w:w="1728" w:type="dxa"/>
            <w:noWrap/>
            <w:vAlign w:val="center"/>
            <w:hideMark/>
          </w:tcPr>
          <w:p w14:paraId="071CD2AF"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2 </w:t>
            </w:r>
          </w:p>
        </w:tc>
      </w:tr>
      <w:tr w:rsidR="00707132" w:rsidRPr="00707132" w14:paraId="62E0BF43" w14:textId="77777777" w:rsidTr="00995C94">
        <w:trPr>
          <w:trHeight w:val="288"/>
          <w:jc w:val="center"/>
        </w:trPr>
        <w:tc>
          <w:tcPr>
            <w:tcW w:w="2592" w:type="dxa"/>
            <w:noWrap/>
            <w:vAlign w:val="center"/>
            <w:hideMark/>
          </w:tcPr>
          <w:p w14:paraId="4A031FC8"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Onshore Wind Turbine</w:t>
            </w:r>
          </w:p>
        </w:tc>
        <w:tc>
          <w:tcPr>
            <w:tcW w:w="1728" w:type="dxa"/>
            <w:noWrap/>
            <w:vAlign w:val="center"/>
            <w:hideMark/>
          </w:tcPr>
          <w:p w14:paraId="74E7217B"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34</w:t>
            </w:r>
          </w:p>
        </w:tc>
        <w:tc>
          <w:tcPr>
            <w:tcW w:w="1728" w:type="dxa"/>
            <w:noWrap/>
            <w:vAlign w:val="center"/>
            <w:hideMark/>
          </w:tcPr>
          <w:p w14:paraId="61FC661D" w14:textId="0DEB677C"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5,668 </w:t>
            </w:r>
          </w:p>
        </w:tc>
        <w:tc>
          <w:tcPr>
            <w:tcW w:w="1728" w:type="dxa"/>
            <w:noWrap/>
            <w:vAlign w:val="center"/>
            <w:hideMark/>
          </w:tcPr>
          <w:p w14:paraId="2AE65F3F"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1 </w:t>
            </w:r>
          </w:p>
        </w:tc>
      </w:tr>
      <w:tr w:rsidR="00707132" w:rsidRPr="00707132" w14:paraId="77E57120" w14:textId="77777777" w:rsidTr="00995C94">
        <w:trPr>
          <w:trHeight w:val="288"/>
          <w:jc w:val="center"/>
        </w:trPr>
        <w:tc>
          <w:tcPr>
            <w:tcW w:w="2592" w:type="dxa"/>
            <w:noWrap/>
            <w:vAlign w:val="center"/>
            <w:hideMark/>
          </w:tcPr>
          <w:p w14:paraId="63166333" w14:textId="77777777" w:rsidR="00707132" w:rsidRPr="00707132" w:rsidRDefault="00707132" w:rsidP="00882443">
            <w:pPr>
              <w:spacing w:after="0" w:line="240" w:lineRule="auto"/>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Geothermal</w:t>
            </w:r>
          </w:p>
        </w:tc>
        <w:tc>
          <w:tcPr>
            <w:tcW w:w="1728" w:type="dxa"/>
            <w:noWrap/>
            <w:vAlign w:val="center"/>
            <w:hideMark/>
          </w:tcPr>
          <w:p w14:paraId="6CE89103"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1</w:t>
            </w:r>
          </w:p>
        </w:tc>
        <w:tc>
          <w:tcPr>
            <w:tcW w:w="1728" w:type="dxa"/>
            <w:noWrap/>
            <w:vAlign w:val="center"/>
            <w:hideMark/>
          </w:tcPr>
          <w:p w14:paraId="3110191A" w14:textId="0993E73D"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38 </w:t>
            </w:r>
          </w:p>
        </w:tc>
        <w:tc>
          <w:tcPr>
            <w:tcW w:w="1728" w:type="dxa"/>
            <w:noWrap/>
            <w:vAlign w:val="center"/>
            <w:hideMark/>
          </w:tcPr>
          <w:p w14:paraId="519FBB68" w14:textId="77777777" w:rsidR="00707132" w:rsidRPr="00707132" w:rsidRDefault="00707132" w:rsidP="00882443">
            <w:pPr>
              <w:spacing w:after="0" w:line="240" w:lineRule="auto"/>
              <w:jc w:val="right"/>
              <w:rPr>
                <w:rFonts w:eastAsia="Times New Roman" w:cs="Times New Roman"/>
                <w:color w:val="000000"/>
                <w:kern w:val="0"/>
                <w:sz w:val="22"/>
                <w:szCs w:val="22"/>
                <w14:ligatures w14:val="none"/>
              </w:rPr>
            </w:pPr>
            <w:r w:rsidRPr="00707132">
              <w:rPr>
                <w:rFonts w:eastAsia="Times New Roman" w:cs="Times New Roman"/>
                <w:color w:val="000000"/>
                <w:kern w:val="0"/>
                <w:sz w:val="22"/>
                <w:szCs w:val="22"/>
                <w14:ligatures w14:val="none"/>
              </w:rPr>
              <w:t xml:space="preserve">               0 </w:t>
            </w:r>
          </w:p>
        </w:tc>
      </w:tr>
    </w:tbl>
    <w:p w14:paraId="0A22FC30" w14:textId="77777777" w:rsidR="008D0BBB" w:rsidRDefault="008D0BBB" w:rsidP="00882443">
      <w:pPr>
        <w:rPr>
          <w:b/>
          <w:bCs/>
        </w:rPr>
      </w:pPr>
    </w:p>
    <w:p w14:paraId="40CD8E50" w14:textId="77777777" w:rsidR="00AA2027" w:rsidRPr="00957DD9" w:rsidRDefault="00AA2027" w:rsidP="00DC40BB">
      <w:pPr>
        <w:pStyle w:val="Heading2"/>
      </w:pPr>
      <w:r w:rsidRPr="00957DD9">
        <w:t>Representativeness of FERC Data Compared to National Totals</w:t>
      </w:r>
    </w:p>
    <w:p w14:paraId="434F8EB3" w14:textId="77777777" w:rsidR="00CD17CC" w:rsidRDefault="00867E53" w:rsidP="00E8698E">
      <w:pPr>
        <w:spacing w:after="0" w:line="480" w:lineRule="auto"/>
        <w:ind w:firstLine="720"/>
      </w:pPr>
      <w:r>
        <w:t>As discussed in the Introduction, FERC Form 1 covers a subset of plants in the US.</w:t>
      </w:r>
      <w:r w:rsidR="000213F2">
        <w:t xml:space="preserve"> Thus,</w:t>
      </w:r>
      <w:r w:rsidR="00AA2027">
        <w:t xml:space="preserve"> it</w:t>
      </w:r>
      <w:r w:rsidR="003D3A3F">
        <w:t xml:space="preserve"> is</w:t>
      </w:r>
      <w:r w:rsidR="00AA2027">
        <w:t xml:space="preserve"> useful to compare its coverage to all power plants in the U.S. as documented by the Energy Information Administration. </w:t>
      </w:r>
      <w:r w:rsidR="00AA2027">
        <w:fldChar w:fldCharType="begin"/>
      </w:r>
      <w:r w:rsidR="00AA2027">
        <w:instrText xml:space="preserve"> REF _Ref206677989 \h </w:instrText>
      </w:r>
      <w:r w:rsidR="006C3B69">
        <w:instrText xml:space="preserve"> \* MERGEFORMAT </w:instrText>
      </w:r>
      <w:r w:rsidR="00AA2027">
        <w:fldChar w:fldCharType="separate"/>
      </w:r>
    </w:p>
    <w:p w14:paraId="574EFF35" w14:textId="512745B5" w:rsidR="006C3B69" w:rsidRDefault="00CD17CC" w:rsidP="00E8698E">
      <w:pPr>
        <w:spacing w:after="0" w:line="480" w:lineRule="auto"/>
        <w:ind w:firstLine="720"/>
      </w:pPr>
      <w:r w:rsidRPr="006300E4">
        <w:rPr>
          <w:noProof/>
        </w:rPr>
        <w:t xml:space="preserve">Table </w:t>
      </w:r>
      <w:r>
        <w:rPr>
          <w:noProof/>
        </w:rPr>
        <w:t>2</w:t>
      </w:r>
      <w:r w:rsidR="00AA2027">
        <w:fldChar w:fldCharType="end"/>
      </w:r>
      <w:r w:rsidR="00AA2027">
        <w:t xml:space="preserve"> provides this comparison by technology group, revealing significant variation in coverage. It is notable that overall, the FERC Form 1 large plants dataset covers less than a third (31%) of U.S. powerplants. As noted earlier, hydroelectric plant costs are reported separately to FERC under schedules 406 and 408, and have been analyzed in other research </w:t>
      </w:r>
      <w:r w:rsidR="00AA2027">
        <w:fldChar w:fldCharType="begin"/>
      </w:r>
      <w:r w:rsidR="00864649">
        <w:instrText xml:space="preserve"> ADDIN ZOTERO_ITEM CSL_CITATION {"citationID":"mTxEwpKl","properties":{"formattedCitation":"(Oladosu and Sasthav, 2022)","plainCitation":"(Oladosu and Sasthav, 2022)","noteIndex":0},"citationItems":[{"id":156,"uris":["http://zotero.org/users/14790435/items/4MTGNPNQ"],"itemData":{"id":156,"type":"report","abstract":"Hydropower cost data is necessary for investment and decision-making by plant owners, project developers, technology developers, and regulators in the industry. This report explores the potential for using responses from the Federal Energy Regulatory Commission’s (FERC’s) “Electric Utility Annual Report,” also known as FERC Form 1, as a cost database for conventional and pumped storage hydropower (PSH). The report outlines the process used to compile an easy-to-access database from the original FERC Form 1 data and discusses the historical cost/performance data. The steps for developing the database include downloading the annual FoxPro files from the FERC website (FERC, 2020), reading them into an Excel format, and reconciling naming issues across years, repeated entries, and shared assets, among others. The cleaned and compiled Form 1 database is available on Oak Ridge National Laboratory’s (ORNL’s) HydroSource website. For this report, the compiled Form 1 database was linked to two other hydropower databases, the National Inventory of Dams and the ORNL Existing Hydropower Assets, that provide additional information on the characteristics and other features of plants in the Form 1 data. Explorations of the plant characteristics, performance, capital costs, and operation and maintenance (O&amp;amp;M) cost data in the combined database were presented separately for conventional hydropower and PSH projects.","language":"English","note":"DOI: 10.2172/1845786","number":"ORNL/TM-2021/2297","publisher":"Oak Ridge National Laboratory (ORNL), Oak Ridge, TN (United States)","source":"www.osti.gov","title":"Hydropower Capital and O&amp;M Costs: An Exploration of the FERC Form 1 Data","title-short":"Hydropower Capital and O&amp;amp;M Costs","URL":"https://www.osti.gov/biblio/1845786","author":[{"family":"Oladosu","given":"Gbadebo A."},{"family":"Sasthav","given":"Colin M."}],"accessed":{"date-parts":[["2024",12,30]]},"issued":{"date-parts":[["2022",2,1]]}}}],"schema":"https://github.com/citation-style-language/schema/raw/master/csl-citation.json"} </w:instrText>
      </w:r>
      <w:r w:rsidR="00AA2027">
        <w:fldChar w:fldCharType="separate"/>
      </w:r>
      <w:r w:rsidR="00864649" w:rsidRPr="00864649">
        <w:t>(Oladosu and Sasthav, 2022)</w:t>
      </w:r>
      <w:r w:rsidR="00AA2027">
        <w:fldChar w:fldCharType="end"/>
      </w:r>
      <w:r w:rsidR="00AA2027">
        <w:t xml:space="preserve">. </w:t>
      </w:r>
      <w:bookmarkStart w:id="4" w:name="_Ref206677989"/>
    </w:p>
    <w:p w14:paraId="361A23C6" w14:textId="7BE92D61" w:rsidR="00AA2027" w:rsidRPr="006300E4" w:rsidRDefault="00AA2027" w:rsidP="006300E4">
      <w:pPr>
        <w:pStyle w:val="Caption"/>
      </w:pPr>
      <w:r w:rsidRPr="006300E4">
        <w:t xml:space="preserve">Table </w:t>
      </w:r>
      <w:r w:rsidR="00BF3A2E">
        <w:fldChar w:fldCharType="begin"/>
      </w:r>
      <w:r w:rsidR="00BF3A2E">
        <w:instrText xml:space="preserve"> SEQ Table \* ARABIC </w:instrText>
      </w:r>
      <w:r w:rsidR="00BF3A2E">
        <w:fldChar w:fldCharType="separate"/>
      </w:r>
      <w:r w:rsidR="00CD17CC">
        <w:rPr>
          <w:noProof/>
        </w:rPr>
        <w:t>2</w:t>
      </w:r>
      <w:r w:rsidR="00BF3A2E">
        <w:fldChar w:fldCharType="end"/>
      </w:r>
      <w:bookmarkEnd w:id="4"/>
      <w:r w:rsidRPr="006300E4">
        <w:t xml:space="preserve"> Comparison of FERC Sample Capacity to EIA National Totals by Technology, 2023.</w:t>
      </w:r>
    </w:p>
    <w:tbl>
      <w:tblPr>
        <w:tblStyle w:val="ListTable3"/>
        <w:tblW w:w="8928" w:type="dxa"/>
        <w:jc w:val="center"/>
        <w:tblLook w:val="04A0" w:firstRow="1" w:lastRow="0" w:firstColumn="1" w:lastColumn="0" w:noHBand="0" w:noVBand="1"/>
      </w:tblPr>
      <w:tblGrid>
        <w:gridCol w:w="2448"/>
        <w:gridCol w:w="2304"/>
        <w:gridCol w:w="2160"/>
        <w:gridCol w:w="2016"/>
      </w:tblGrid>
      <w:tr w:rsidR="00AA2027" w:rsidRPr="003F4672" w14:paraId="1164FDED" w14:textId="77777777" w:rsidTr="007F7A4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2448" w:type="dxa"/>
            <w:noWrap/>
            <w:hideMark/>
          </w:tcPr>
          <w:p w14:paraId="23DB3FB1" w14:textId="77777777" w:rsidR="00AA2027" w:rsidRPr="003F4672" w:rsidRDefault="00AA2027" w:rsidP="007F7A47">
            <w:pPr>
              <w:rPr>
                <w:rFonts w:eastAsia="Times New Roman" w:cs="Times New Roman"/>
                <w:kern w:val="0"/>
                <w:sz w:val="22"/>
                <w:szCs w:val="22"/>
                <w14:ligatures w14:val="none"/>
              </w:rPr>
            </w:pPr>
            <w:r w:rsidRPr="003F4672">
              <w:rPr>
                <w:rFonts w:eastAsia="Times New Roman" w:cs="Times New Roman"/>
                <w:kern w:val="0"/>
                <w:sz w:val="22"/>
                <w:szCs w:val="22"/>
                <w14:ligatures w14:val="none"/>
              </w:rPr>
              <w:t>Technology Group</w:t>
            </w:r>
          </w:p>
        </w:tc>
        <w:tc>
          <w:tcPr>
            <w:tcW w:w="2304" w:type="dxa"/>
            <w:noWrap/>
            <w:hideMark/>
          </w:tcPr>
          <w:p w14:paraId="2D273E32" w14:textId="77777777" w:rsidR="00AA2027" w:rsidRPr="003F4672" w:rsidRDefault="00AA2027" w:rsidP="007F7A47">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14:ligatures w14:val="none"/>
              </w:rPr>
            </w:pPr>
            <w:r w:rsidRPr="003F4672">
              <w:rPr>
                <w:rFonts w:eastAsia="Times New Roman" w:cs="Times New Roman"/>
                <w:kern w:val="0"/>
                <w:sz w:val="22"/>
                <w:szCs w:val="22"/>
                <w14:ligatures w14:val="none"/>
              </w:rPr>
              <w:t>FERC Sample: Total Capacity (MW)</w:t>
            </w:r>
          </w:p>
        </w:tc>
        <w:tc>
          <w:tcPr>
            <w:tcW w:w="2160" w:type="dxa"/>
            <w:noWrap/>
            <w:hideMark/>
          </w:tcPr>
          <w:p w14:paraId="5589D649" w14:textId="77777777" w:rsidR="00AA2027" w:rsidRPr="003F4672" w:rsidRDefault="00AA2027" w:rsidP="007F7A47">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14:ligatures w14:val="none"/>
              </w:rPr>
            </w:pPr>
            <w:r w:rsidRPr="003F4672">
              <w:rPr>
                <w:rFonts w:eastAsia="Times New Roman" w:cs="Times New Roman"/>
                <w:kern w:val="0"/>
                <w:sz w:val="22"/>
                <w:szCs w:val="22"/>
                <w14:ligatures w14:val="none"/>
              </w:rPr>
              <w:t>EIA National: Total Capacity (MW)</w:t>
            </w:r>
          </w:p>
        </w:tc>
        <w:tc>
          <w:tcPr>
            <w:tcW w:w="2016" w:type="dxa"/>
            <w:noWrap/>
            <w:hideMark/>
          </w:tcPr>
          <w:p w14:paraId="23EE8B5C" w14:textId="77777777" w:rsidR="00AA2027" w:rsidRPr="003F4672" w:rsidRDefault="00AA2027" w:rsidP="007F7A47">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szCs w:val="22"/>
                <w14:ligatures w14:val="none"/>
              </w:rPr>
            </w:pPr>
            <w:r w:rsidRPr="003F4672">
              <w:rPr>
                <w:rFonts w:eastAsia="Times New Roman" w:cs="Times New Roman"/>
                <w:kern w:val="0"/>
                <w:sz w:val="22"/>
                <w:szCs w:val="22"/>
                <w14:ligatures w14:val="none"/>
              </w:rPr>
              <w:t>FERC as % of National Capacity</w:t>
            </w:r>
          </w:p>
        </w:tc>
      </w:tr>
      <w:tr w:rsidR="00AA2027" w:rsidRPr="003F4672" w14:paraId="5FF31F68"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6A6E14BC"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Batteries</w:t>
            </w:r>
          </w:p>
        </w:tc>
        <w:tc>
          <w:tcPr>
            <w:tcW w:w="2304" w:type="dxa"/>
            <w:noWrap/>
            <w:hideMark/>
          </w:tcPr>
          <w:p w14:paraId="1C1E4D83"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0 </w:t>
            </w:r>
          </w:p>
        </w:tc>
        <w:tc>
          <w:tcPr>
            <w:tcW w:w="2160" w:type="dxa"/>
            <w:noWrap/>
            <w:hideMark/>
          </w:tcPr>
          <w:p w14:paraId="51904C91"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16,091 </w:t>
            </w:r>
          </w:p>
        </w:tc>
        <w:tc>
          <w:tcPr>
            <w:tcW w:w="2016" w:type="dxa"/>
            <w:noWrap/>
            <w:hideMark/>
          </w:tcPr>
          <w:p w14:paraId="27D63670"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0%</w:t>
            </w:r>
          </w:p>
        </w:tc>
      </w:tr>
      <w:tr w:rsidR="00AA2027" w:rsidRPr="003F4672" w14:paraId="77245156"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0D08C5E1"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Coal</w:t>
            </w:r>
          </w:p>
        </w:tc>
        <w:tc>
          <w:tcPr>
            <w:tcW w:w="2304" w:type="dxa"/>
            <w:noWrap/>
            <w:hideMark/>
          </w:tcPr>
          <w:p w14:paraId="249C0E33"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116,772 </w:t>
            </w:r>
          </w:p>
        </w:tc>
        <w:tc>
          <w:tcPr>
            <w:tcW w:w="2160" w:type="dxa"/>
            <w:noWrap/>
            <w:hideMark/>
          </w:tcPr>
          <w:p w14:paraId="11D97C9E"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192,602 </w:t>
            </w:r>
          </w:p>
        </w:tc>
        <w:tc>
          <w:tcPr>
            <w:tcW w:w="2016" w:type="dxa"/>
            <w:noWrap/>
            <w:hideMark/>
          </w:tcPr>
          <w:p w14:paraId="5F8E74D1"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61%</w:t>
            </w:r>
          </w:p>
        </w:tc>
      </w:tr>
      <w:tr w:rsidR="00AA2027" w:rsidRPr="003F4672" w14:paraId="43758AB2"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47514129"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Geothermal</w:t>
            </w:r>
          </w:p>
        </w:tc>
        <w:tc>
          <w:tcPr>
            <w:tcW w:w="2304" w:type="dxa"/>
            <w:noWrap/>
            <w:hideMark/>
          </w:tcPr>
          <w:p w14:paraId="133D918C"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38 </w:t>
            </w:r>
          </w:p>
        </w:tc>
        <w:tc>
          <w:tcPr>
            <w:tcW w:w="2160" w:type="dxa"/>
            <w:noWrap/>
            <w:hideMark/>
          </w:tcPr>
          <w:p w14:paraId="3C055E8F"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4,010 </w:t>
            </w:r>
          </w:p>
        </w:tc>
        <w:tc>
          <w:tcPr>
            <w:tcW w:w="2016" w:type="dxa"/>
            <w:noWrap/>
            <w:hideMark/>
          </w:tcPr>
          <w:p w14:paraId="35095E5B"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1%</w:t>
            </w:r>
          </w:p>
        </w:tc>
      </w:tr>
      <w:tr w:rsidR="00AA2027" w:rsidRPr="003F4672" w14:paraId="7A324127"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0F56AD01"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Hydroelectric</w:t>
            </w:r>
          </w:p>
        </w:tc>
        <w:tc>
          <w:tcPr>
            <w:tcW w:w="2304" w:type="dxa"/>
            <w:noWrap/>
            <w:hideMark/>
          </w:tcPr>
          <w:p w14:paraId="0B37A6C7"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0 </w:t>
            </w:r>
          </w:p>
        </w:tc>
        <w:tc>
          <w:tcPr>
            <w:tcW w:w="2160" w:type="dxa"/>
            <w:noWrap/>
            <w:hideMark/>
          </w:tcPr>
          <w:p w14:paraId="7105E899"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102,140 </w:t>
            </w:r>
          </w:p>
        </w:tc>
        <w:tc>
          <w:tcPr>
            <w:tcW w:w="2016" w:type="dxa"/>
            <w:noWrap/>
            <w:hideMark/>
          </w:tcPr>
          <w:p w14:paraId="0AB91A4A"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0%</w:t>
            </w:r>
          </w:p>
        </w:tc>
      </w:tr>
      <w:tr w:rsidR="00AA2027" w:rsidRPr="003F4672" w14:paraId="53292A7C"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74FA5ED0"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Natural Gas CC</w:t>
            </w:r>
          </w:p>
        </w:tc>
        <w:tc>
          <w:tcPr>
            <w:tcW w:w="2304" w:type="dxa"/>
            <w:noWrap/>
            <w:hideMark/>
          </w:tcPr>
          <w:p w14:paraId="44145643"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107,514 </w:t>
            </w:r>
          </w:p>
        </w:tc>
        <w:tc>
          <w:tcPr>
            <w:tcW w:w="2160" w:type="dxa"/>
            <w:noWrap/>
            <w:hideMark/>
          </w:tcPr>
          <w:p w14:paraId="5B3E1630"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327,903 </w:t>
            </w:r>
          </w:p>
        </w:tc>
        <w:tc>
          <w:tcPr>
            <w:tcW w:w="2016" w:type="dxa"/>
            <w:noWrap/>
            <w:hideMark/>
          </w:tcPr>
          <w:p w14:paraId="77E62512"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33%</w:t>
            </w:r>
          </w:p>
        </w:tc>
      </w:tr>
      <w:tr w:rsidR="00AA2027" w:rsidRPr="003F4672" w14:paraId="1469F0DB"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6D4FB621"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Natural Gas CT</w:t>
            </w:r>
          </w:p>
        </w:tc>
        <w:tc>
          <w:tcPr>
            <w:tcW w:w="2304" w:type="dxa"/>
            <w:noWrap/>
            <w:hideMark/>
          </w:tcPr>
          <w:p w14:paraId="260AFD16"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59,993 </w:t>
            </w:r>
          </w:p>
        </w:tc>
        <w:tc>
          <w:tcPr>
            <w:tcW w:w="2160" w:type="dxa"/>
            <w:noWrap/>
            <w:hideMark/>
          </w:tcPr>
          <w:p w14:paraId="0E9BFA74"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156,354 </w:t>
            </w:r>
          </w:p>
        </w:tc>
        <w:tc>
          <w:tcPr>
            <w:tcW w:w="2016" w:type="dxa"/>
            <w:noWrap/>
            <w:hideMark/>
          </w:tcPr>
          <w:p w14:paraId="10E3F63B"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38%</w:t>
            </w:r>
          </w:p>
        </w:tc>
      </w:tr>
      <w:tr w:rsidR="00AA2027" w:rsidRPr="003F4672" w14:paraId="7C2964CB"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3F49B69C"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Nuclear</w:t>
            </w:r>
          </w:p>
        </w:tc>
        <w:tc>
          <w:tcPr>
            <w:tcW w:w="2304" w:type="dxa"/>
            <w:noWrap/>
            <w:hideMark/>
          </w:tcPr>
          <w:p w14:paraId="09EF493B"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41,442 </w:t>
            </w:r>
          </w:p>
        </w:tc>
        <w:tc>
          <w:tcPr>
            <w:tcW w:w="2160" w:type="dxa"/>
            <w:noWrap/>
            <w:hideMark/>
          </w:tcPr>
          <w:p w14:paraId="3BD905A5"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100,675 </w:t>
            </w:r>
          </w:p>
        </w:tc>
        <w:tc>
          <w:tcPr>
            <w:tcW w:w="2016" w:type="dxa"/>
            <w:noWrap/>
            <w:hideMark/>
          </w:tcPr>
          <w:p w14:paraId="0FBA610A"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41%</w:t>
            </w:r>
          </w:p>
        </w:tc>
      </w:tr>
      <w:tr w:rsidR="00AA2027" w:rsidRPr="003F4672" w14:paraId="5C102841"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5B0CA75F"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Onshore Wind Turbine</w:t>
            </w:r>
          </w:p>
        </w:tc>
        <w:tc>
          <w:tcPr>
            <w:tcW w:w="2304" w:type="dxa"/>
            <w:noWrap/>
            <w:hideMark/>
          </w:tcPr>
          <w:p w14:paraId="0F7DC972"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5,668 </w:t>
            </w:r>
          </w:p>
        </w:tc>
        <w:tc>
          <w:tcPr>
            <w:tcW w:w="2160" w:type="dxa"/>
            <w:noWrap/>
            <w:hideMark/>
          </w:tcPr>
          <w:p w14:paraId="67A5DD66"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147,998 </w:t>
            </w:r>
          </w:p>
        </w:tc>
        <w:tc>
          <w:tcPr>
            <w:tcW w:w="2016" w:type="dxa"/>
            <w:noWrap/>
            <w:hideMark/>
          </w:tcPr>
          <w:p w14:paraId="612B7ABA"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4%</w:t>
            </w:r>
          </w:p>
        </w:tc>
      </w:tr>
      <w:tr w:rsidR="00AA2027" w:rsidRPr="003F4672" w14:paraId="094D1420"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72E53B06"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Other</w:t>
            </w:r>
          </w:p>
        </w:tc>
        <w:tc>
          <w:tcPr>
            <w:tcW w:w="2304" w:type="dxa"/>
            <w:noWrap/>
            <w:hideMark/>
          </w:tcPr>
          <w:p w14:paraId="5F164738"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9,934 </w:t>
            </w:r>
          </w:p>
        </w:tc>
        <w:tc>
          <w:tcPr>
            <w:tcW w:w="2160" w:type="dxa"/>
            <w:noWrap/>
            <w:hideMark/>
          </w:tcPr>
          <w:p w14:paraId="74B71ADD"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51,994 </w:t>
            </w:r>
          </w:p>
        </w:tc>
        <w:tc>
          <w:tcPr>
            <w:tcW w:w="2016" w:type="dxa"/>
            <w:noWrap/>
            <w:hideMark/>
          </w:tcPr>
          <w:p w14:paraId="2F8E833A"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19%</w:t>
            </w:r>
          </w:p>
        </w:tc>
      </w:tr>
      <w:tr w:rsidR="00AA2027" w:rsidRPr="003F4672" w14:paraId="38CFC8D1"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6D09D11C"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lastRenderedPageBreak/>
              <w:t>Other Natural Gas</w:t>
            </w:r>
          </w:p>
        </w:tc>
        <w:tc>
          <w:tcPr>
            <w:tcW w:w="2304" w:type="dxa"/>
            <w:noWrap/>
            <w:hideMark/>
          </w:tcPr>
          <w:p w14:paraId="2CA815EF"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44,516 </w:t>
            </w:r>
          </w:p>
        </w:tc>
        <w:tc>
          <w:tcPr>
            <w:tcW w:w="2160" w:type="dxa"/>
            <w:noWrap/>
            <w:hideMark/>
          </w:tcPr>
          <w:p w14:paraId="475E47EB"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88,002 </w:t>
            </w:r>
          </w:p>
        </w:tc>
        <w:tc>
          <w:tcPr>
            <w:tcW w:w="2016" w:type="dxa"/>
            <w:noWrap/>
            <w:hideMark/>
          </w:tcPr>
          <w:p w14:paraId="06F9D0E6"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51%</w:t>
            </w:r>
          </w:p>
        </w:tc>
      </w:tr>
      <w:tr w:rsidR="00AA2027" w:rsidRPr="003F4672" w14:paraId="33F61232"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1657DBC9"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Solar Photovoltaic</w:t>
            </w:r>
          </w:p>
        </w:tc>
        <w:tc>
          <w:tcPr>
            <w:tcW w:w="2304" w:type="dxa"/>
            <w:noWrap/>
            <w:hideMark/>
          </w:tcPr>
          <w:p w14:paraId="43976A0A"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7,965 </w:t>
            </w:r>
          </w:p>
        </w:tc>
        <w:tc>
          <w:tcPr>
            <w:tcW w:w="2160" w:type="dxa"/>
            <w:noWrap/>
            <w:hideMark/>
          </w:tcPr>
          <w:p w14:paraId="22CBC811"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91,219 </w:t>
            </w:r>
          </w:p>
        </w:tc>
        <w:tc>
          <w:tcPr>
            <w:tcW w:w="2016" w:type="dxa"/>
            <w:noWrap/>
            <w:hideMark/>
          </w:tcPr>
          <w:p w14:paraId="7EC7041F"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9%</w:t>
            </w:r>
          </w:p>
        </w:tc>
      </w:tr>
      <w:tr w:rsidR="00AA2027" w:rsidRPr="003F4672" w14:paraId="5ABBB948" w14:textId="77777777" w:rsidTr="007F7A47">
        <w:trPr>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0224E89A" w14:textId="77777777" w:rsidR="00AA2027" w:rsidRPr="003F4672" w:rsidRDefault="00AA2027" w:rsidP="007F7A47">
            <w:pPr>
              <w:rPr>
                <w:rFonts w:eastAsia="Times New Roman" w:cs="Times New Roman"/>
                <w:b w:val="0"/>
                <w:bCs w:val="0"/>
                <w:color w:val="000000"/>
                <w:kern w:val="0"/>
                <w:sz w:val="22"/>
                <w:szCs w:val="22"/>
                <w14:ligatures w14:val="none"/>
              </w:rPr>
            </w:pPr>
            <w:r w:rsidRPr="003F4672">
              <w:rPr>
                <w:rFonts w:eastAsia="Times New Roman" w:cs="Times New Roman"/>
                <w:b w:val="0"/>
                <w:bCs w:val="0"/>
                <w:color w:val="000000"/>
                <w:kern w:val="0"/>
                <w:sz w:val="22"/>
                <w:szCs w:val="22"/>
                <w14:ligatures w14:val="none"/>
              </w:rPr>
              <w:t>Solar Thermal</w:t>
            </w:r>
          </w:p>
        </w:tc>
        <w:tc>
          <w:tcPr>
            <w:tcW w:w="2304" w:type="dxa"/>
            <w:noWrap/>
            <w:hideMark/>
          </w:tcPr>
          <w:p w14:paraId="5CFC06A7"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0 </w:t>
            </w:r>
          </w:p>
        </w:tc>
        <w:tc>
          <w:tcPr>
            <w:tcW w:w="2160" w:type="dxa"/>
            <w:noWrap/>
            <w:hideMark/>
          </w:tcPr>
          <w:p w14:paraId="4B98230A"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 xml:space="preserve">1,497 </w:t>
            </w:r>
          </w:p>
        </w:tc>
        <w:tc>
          <w:tcPr>
            <w:tcW w:w="2016" w:type="dxa"/>
            <w:noWrap/>
            <w:hideMark/>
          </w:tcPr>
          <w:p w14:paraId="26851678" w14:textId="77777777" w:rsidR="00AA2027" w:rsidRPr="003F4672" w:rsidRDefault="00AA2027" w:rsidP="007F7A47">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0%</w:t>
            </w:r>
          </w:p>
        </w:tc>
      </w:tr>
      <w:tr w:rsidR="00AA2027" w:rsidRPr="003F4672" w14:paraId="7D8D006A" w14:textId="77777777" w:rsidTr="007F7A4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48" w:type="dxa"/>
            <w:noWrap/>
            <w:hideMark/>
          </w:tcPr>
          <w:p w14:paraId="6EBFE821" w14:textId="77777777" w:rsidR="00AA2027" w:rsidRPr="003F4672" w:rsidRDefault="00AA2027" w:rsidP="007F7A47">
            <w:pPr>
              <w:rPr>
                <w:rFonts w:eastAsia="Times New Roman" w:cs="Times New Roman"/>
                <w:color w:val="000000"/>
                <w:kern w:val="0"/>
                <w:sz w:val="22"/>
                <w:szCs w:val="22"/>
                <w14:ligatures w14:val="none"/>
              </w:rPr>
            </w:pPr>
            <w:r w:rsidRPr="003F4672">
              <w:rPr>
                <w:rFonts w:eastAsia="Times New Roman" w:cs="Times New Roman"/>
                <w:color w:val="000000"/>
                <w:kern w:val="0"/>
                <w:sz w:val="22"/>
                <w:szCs w:val="22"/>
                <w14:ligatures w14:val="none"/>
              </w:rPr>
              <w:t>Total</w:t>
            </w:r>
          </w:p>
        </w:tc>
        <w:tc>
          <w:tcPr>
            <w:tcW w:w="2304" w:type="dxa"/>
            <w:noWrap/>
            <w:hideMark/>
          </w:tcPr>
          <w:p w14:paraId="5339262F"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2"/>
                <w:szCs w:val="22"/>
                <w14:ligatures w14:val="none"/>
              </w:rPr>
            </w:pPr>
            <w:r w:rsidRPr="003F4672">
              <w:rPr>
                <w:rFonts w:eastAsia="Times New Roman" w:cs="Times New Roman"/>
                <w:b/>
                <w:bCs/>
                <w:color w:val="000000"/>
                <w:kern w:val="0"/>
                <w:sz w:val="22"/>
                <w:szCs w:val="22"/>
                <w14:ligatures w14:val="none"/>
              </w:rPr>
              <w:t xml:space="preserve">393,842 </w:t>
            </w:r>
          </w:p>
        </w:tc>
        <w:tc>
          <w:tcPr>
            <w:tcW w:w="2160" w:type="dxa"/>
            <w:noWrap/>
            <w:hideMark/>
          </w:tcPr>
          <w:p w14:paraId="527ABE00"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2"/>
                <w:szCs w:val="22"/>
                <w14:ligatures w14:val="none"/>
              </w:rPr>
            </w:pPr>
            <w:r w:rsidRPr="003F4672">
              <w:rPr>
                <w:rFonts w:eastAsia="Times New Roman" w:cs="Times New Roman"/>
                <w:b/>
                <w:bCs/>
                <w:color w:val="000000"/>
                <w:kern w:val="0"/>
                <w:sz w:val="22"/>
                <w:szCs w:val="22"/>
                <w14:ligatures w14:val="none"/>
              </w:rPr>
              <w:t xml:space="preserve">1,280,483 </w:t>
            </w:r>
          </w:p>
        </w:tc>
        <w:tc>
          <w:tcPr>
            <w:tcW w:w="2016" w:type="dxa"/>
            <w:noWrap/>
            <w:hideMark/>
          </w:tcPr>
          <w:p w14:paraId="49D7F98A" w14:textId="77777777" w:rsidR="00AA2027" w:rsidRPr="003F4672" w:rsidRDefault="00AA2027" w:rsidP="007F7A47">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2"/>
                <w:szCs w:val="22"/>
                <w14:ligatures w14:val="none"/>
              </w:rPr>
            </w:pPr>
            <w:r w:rsidRPr="003F4672">
              <w:rPr>
                <w:rFonts w:eastAsia="Times New Roman" w:cs="Times New Roman"/>
                <w:b/>
                <w:bCs/>
                <w:color w:val="000000"/>
                <w:kern w:val="0"/>
                <w:sz w:val="22"/>
                <w:szCs w:val="22"/>
                <w14:ligatures w14:val="none"/>
              </w:rPr>
              <w:t>31%</w:t>
            </w:r>
          </w:p>
        </w:tc>
      </w:tr>
    </w:tbl>
    <w:p w14:paraId="2555E82F" w14:textId="77777777" w:rsidR="00AA2027" w:rsidRPr="00957DD9" w:rsidRDefault="00AA2027" w:rsidP="00AA2027"/>
    <w:p w14:paraId="6BB90859" w14:textId="77777777" w:rsidR="00AA2027" w:rsidRPr="00957DD9" w:rsidRDefault="00AA2027" w:rsidP="006C3B69">
      <w:pPr>
        <w:spacing w:after="0" w:line="480" w:lineRule="auto"/>
        <w:ind w:firstLine="720"/>
      </w:pPr>
      <w:r>
        <w:t>Even among coal, natural gas, and nuclear, which are the technology groups covered by the Form 1 large plants dataset, coverage is only 43% of plants in the U.S. within those technology categories. The FERC sample captures a higher portion of coal plants at 61%, but only 33% of the country’s natural gas combined cycle and 38% of the natural gas combustion turbine capacity. The small portion of geothermal, wind, and solar plants included in Form 1 come from entities reporting these plants even though they are not required to by FERC.</w:t>
      </w:r>
    </w:p>
    <w:p w14:paraId="34821DCB" w14:textId="12CA8E08" w:rsidR="00AA2027" w:rsidRDefault="00AA2027" w:rsidP="006300E4">
      <w:pPr>
        <w:spacing w:line="480" w:lineRule="auto"/>
        <w:ind w:firstLine="720"/>
        <w:rPr>
          <w:i/>
          <w:iCs/>
        </w:rPr>
      </w:pPr>
      <w:r w:rsidRPr="00C82465">
        <w:rPr>
          <w:i/>
          <w:iCs/>
        </w:rPr>
        <w:fldChar w:fldCharType="begin"/>
      </w:r>
      <w:r w:rsidRPr="00C82465">
        <w:instrText xml:space="preserve"> REF _Ref207022755 \h  \* MERGEFORMAT </w:instrText>
      </w:r>
      <w:r w:rsidRPr="00C82465">
        <w:rPr>
          <w:i/>
          <w:iCs/>
        </w:rPr>
      </w:r>
      <w:r w:rsidRPr="00C82465">
        <w:rPr>
          <w:i/>
          <w:iCs/>
        </w:rPr>
        <w:fldChar w:fldCharType="separate"/>
      </w:r>
      <w:r w:rsidR="00CD17CC" w:rsidRPr="006C3B69">
        <w:t xml:space="preserve">Figure </w:t>
      </w:r>
      <w:r w:rsidR="00CD17CC">
        <w:t>2</w:t>
      </w:r>
      <w:r w:rsidRPr="00C82465">
        <w:rPr>
          <w:i/>
          <w:iCs/>
        </w:rPr>
        <w:fldChar w:fldCharType="end"/>
      </w:r>
      <w:r w:rsidRPr="00C82465">
        <w:t xml:space="preserve"> maps</w:t>
      </w:r>
      <w:r>
        <w:t xml:space="preserve"> the</w:t>
      </w:r>
      <w:r w:rsidRPr="00C82465">
        <w:t xml:space="preserve"> U.S. power plants that are not included in th</w:t>
      </w:r>
      <w:r>
        <w:t>is</w:t>
      </w:r>
      <w:r w:rsidRPr="00C82465">
        <w:t xml:space="preserve"> </w:t>
      </w:r>
      <w:r>
        <w:t>sample due to the above-described limits in Form 1 data coverage</w:t>
      </w:r>
      <w:r w:rsidRPr="00C82465">
        <w:t xml:space="preserve">. This can be compared with </w:t>
      </w:r>
      <w:r w:rsidRPr="00C82465">
        <w:rPr>
          <w:i/>
          <w:iCs/>
        </w:rPr>
        <w:fldChar w:fldCharType="begin"/>
      </w:r>
      <w:r w:rsidRPr="00C82465">
        <w:instrText xml:space="preserve"> REF _Ref200980219 \h  \* MERGEFORMAT </w:instrText>
      </w:r>
      <w:r w:rsidRPr="00C82465">
        <w:rPr>
          <w:i/>
          <w:iCs/>
        </w:rPr>
      </w:r>
      <w:r w:rsidRPr="00C82465">
        <w:rPr>
          <w:i/>
          <w:iCs/>
        </w:rPr>
        <w:fldChar w:fldCharType="separate"/>
      </w:r>
      <w:r w:rsidR="00CD17CC">
        <w:t>Figure 1</w:t>
      </w:r>
      <w:r w:rsidRPr="00C82465">
        <w:rPr>
          <w:i/>
          <w:iCs/>
        </w:rPr>
        <w:fldChar w:fldCharType="end"/>
      </w:r>
      <w:r w:rsidRPr="00C82465">
        <w:t xml:space="preserve">, which maps the plants in the Form 1 sample. </w:t>
      </w:r>
      <w:r w:rsidRPr="00C82465">
        <w:rPr>
          <w:i/>
          <w:iCs/>
        </w:rPr>
        <w:fldChar w:fldCharType="begin"/>
      </w:r>
      <w:r w:rsidRPr="00C82465">
        <w:instrText xml:space="preserve"> REF _Ref207022755 \h  \* MERGEFORMAT </w:instrText>
      </w:r>
      <w:r w:rsidRPr="00C82465">
        <w:rPr>
          <w:i/>
          <w:iCs/>
        </w:rPr>
      </w:r>
      <w:r w:rsidRPr="00C82465">
        <w:rPr>
          <w:i/>
          <w:iCs/>
        </w:rPr>
        <w:fldChar w:fldCharType="separate"/>
      </w:r>
      <w:r w:rsidR="00CD17CC" w:rsidRPr="006C3B69">
        <w:t xml:space="preserve">Figure </w:t>
      </w:r>
      <w:r w:rsidR="00CD17CC">
        <w:t>2</w:t>
      </w:r>
      <w:r w:rsidRPr="00C82465">
        <w:rPr>
          <w:i/>
          <w:iCs/>
        </w:rPr>
        <w:fldChar w:fldCharType="end"/>
      </w:r>
      <w:r w:rsidRPr="00C82465">
        <w:t xml:space="preserve"> displays the majority of wind, solar, and hydroelectric facilities that are not included in the Form 1 sample for this analysis. </w:t>
      </w:r>
    </w:p>
    <w:p w14:paraId="6AD42CAC" w14:textId="77777777" w:rsidR="006C3B69" w:rsidRPr="006C3B69" w:rsidRDefault="006C3B69" w:rsidP="006C3B69"/>
    <w:p w14:paraId="7EBDB81A" w14:textId="77777777" w:rsidR="00AA2027" w:rsidRDefault="00AA2027" w:rsidP="006C3B69">
      <w:pPr>
        <w:keepNext/>
        <w:jc w:val="center"/>
      </w:pPr>
      <w:r w:rsidRPr="00F05232">
        <w:rPr>
          <w:noProof/>
        </w:rPr>
        <w:drawing>
          <wp:inline distT="0" distB="0" distL="0" distR="0" wp14:anchorId="3D38C23E" wp14:editId="7114954B">
            <wp:extent cx="5943600" cy="2644775"/>
            <wp:effectExtent l="0" t="0" r="0" b="3175"/>
            <wp:docPr id="321994353" name="Picture 3" descr="Chart, scatter chart&#10;&#10;AI-generated content may be incorrect.">
              <a:extLst xmlns:a="http://schemas.openxmlformats.org/drawingml/2006/main">
                <a:ext uri="{FF2B5EF4-FFF2-40B4-BE49-F238E27FC236}">
                  <a16:creationId xmlns:a16="http://schemas.microsoft.com/office/drawing/2014/main" id="{86DF7AA4-FFA8-F5FF-3795-8DA1ECB5A6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4353" name="Picture 3" descr="Chart, scatter chart&#10;&#10;AI-generated content may be incorrect.">
                      <a:extLst>
                        <a:ext uri="{FF2B5EF4-FFF2-40B4-BE49-F238E27FC236}">
                          <a16:creationId xmlns:a16="http://schemas.microsoft.com/office/drawing/2014/main" id="{86DF7AA4-FFA8-F5FF-3795-8DA1ECB5A681}"/>
                        </a:ext>
                      </a:extLst>
                    </pic:cNvPr>
                    <pic:cNvPicPr>
                      <a:picLocks noChangeAspect="1"/>
                    </pic:cNvPicPr>
                  </pic:nvPicPr>
                  <pic:blipFill>
                    <a:blip r:embed="rId13"/>
                    <a:stretch>
                      <a:fillRect/>
                    </a:stretch>
                  </pic:blipFill>
                  <pic:spPr>
                    <a:xfrm>
                      <a:off x="0" y="0"/>
                      <a:ext cx="5943600" cy="2644775"/>
                    </a:xfrm>
                    <a:prstGeom prst="rect">
                      <a:avLst/>
                    </a:prstGeom>
                  </pic:spPr>
                </pic:pic>
              </a:graphicData>
            </a:graphic>
          </wp:inline>
        </w:drawing>
      </w:r>
    </w:p>
    <w:p w14:paraId="4F4CC8F6" w14:textId="74761350" w:rsidR="00AA2027" w:rsidRPr="006C3B69" w:rsidRDefault="00AA2027" w:rsidP="006300E4">
      <w:pPr>
        <w:pStyle w:val="Caption"/>
      </w:pPr>
      <w:bookmarkStart w:id="5" w:name="_Ref207022755"/>
      <w:r w:rsidRPr="006C3B69">
        <w:t xml:space="preserve">Figure </w:t>
      </w:r>
      <w:r w:rsidR="00BF3A2E">
        <w:fldChar w:fldCharType="begin"/>
      </w:r>
      <w:r w:rsidR="00BF3A2E">
        <w:instrText xml:space="preserve"> SEQ Figure \* ARABIC </w:instrText>
      </w:r>
      <w:r w:rsidR="00BF3A2E">
        <w:fldChar w:fldCharType="separate"/>
      </w:r>
      <w:r w:rsidR="00CD17CC">
        <w:rPr>
          <w:noProof/>
        </w:rPr>
        <w:t>2</w:t>
      </w:r>
      <w:r w:rsidR="00BF3A2E">
        <w:fldChar w:fldCharType="end"/>
      </w:r>
      <w:bookmarkEnd w:id="5"/>
      <w:r w:rsidRPr="006C3B69">
        <w:t xml:space="preserve"> U.S. Powerplants not </w:t>
      </w:r>
      <w:r w:rsidR="001051F9">
        <w:t xml:space="preserve">covered by FERC </w:t>
      </w:r>
      <w:r w:rsidR="00CD5DF0">
        <w:t>Form 1</w:t>
      </w:r>
      <w:r w:rsidRPr="006C3B69">
        <w:t>, 2023.</w:t>
      </w:r>
    </w:p>
    <w:p w14:paraId="39597DA2" w14:textId="77777777" w:rsidR="006C3B69" w:rsidRPr="006C3B69" w:rsidRDefault="006C3B69" w:rsidP="006C3B69"/>
    <w:p w14:paraId="4AA4C01A" w14:textId="1E498614" w:rsidR="00B702F8" w:rsidRPr="00471B80" w:rsidRDefault="00AA2027" w:rsidP="00471B80">
      <w:pPr>
        <w:spacing w:line="480" w:lineRule="auto"/>
        <w:ind w:firstLine="720"/>
        <w:rPr>
          <w:i/>
          <w:iCs/>
        </w:rPr>
      </w:pPr>
      <w:r>
        <w:lastRenderedPageBreak/>
        <w:t xml:space="preserve">Interestingly, </w:t>
      </w:r>
      <w:r w:rsidRPr="00D74B7E">
        <w:rPr>
          <w:i/>
          <w:iCs/>
        </w:rPr>
        <w:fldChar w:fldCharType="begin"/>
      </w:r>
      <w:r w:rsidRPr="00D74B7E">
        <w:instrText xml:space="preserve"> REF _Ref207698845 \h  \* MERGEFORMAT </w:instrText>
      </w:r>
      <w:r w:rsidRPr="00D74B7E">
        <w:rPr>
          <w:i/>
          <w:iCs/>
        </w:rPr>
      </w:r>
      <w:r w:rsidRPr="00D74B7E">
        <w:rPr>
          <w:i/>
          <w:iCs/>
        </w:rPr>
        <w:fldChar w:fldCharType="separate"/>
      </w:r>
      <w:r w:rsidR="00CD17CC">
        <w:t xml:space="preserve">Figure </w:t>
      </w:r>
      <w:r w:rsidR="00CD17CC">
        <w:rPr>
          <w:noProof/>
        </w:rPr>
        <w:t>9</w:t>
      </w:r>
      <w:r w:rsidRPr="00D74B7E">
        <w:rPr>
          <w:i/>
          <w:iCs/>
        </w:rPr>
        <w:fldChar w:fldCharType="end"/>
      </w:r>
      <w:r w:rsidRPr="00C82465">
        <w:t xml:space="preserve"> also shows the large number of plants across the U.S. that are fueled by natural gas (orange) and coal (black)</w:t>
      </w:r>
      <w:r>
        <w:t xml:space="preserve">, </w:t>
      </w:r>
      <w:r w:rsidRPr="00C82465">
        <w:t xml:space="preserve">that are not included in FERC Form 1. </w:t>
      </w:r>
      <w:r>
        <w:t xml:space="preserve">It shows many </w:t>
      </w:r>
      <w:r w:rsidRPr="00C82465">
        <w:t xml:space="preserve">of </w:t>
      </w:r>
      <w:r>
        <w:t>these are in</w:t>
      </w:r>
      <w:r w:rsidRPr="00C82465">
        <w:t xml:space="preserve"> deregulated regions</w:t>
      </w:r>
      <w:r>
        <w:t>,</w:t>
      </w:r>
      <w:r w:rsidRPr="00C82465">
        <w:t xml:space="preserve"> including the Northeast and Texas</w:t>
      </w:r>
      <w:r>
        <w:t xml:space="preserve">. </w:t>
      </w:r>
      <w:r w:rsidRPr="00D74B7E">
        <w:t xml:space="preserve">Additional analysis using EIA </w:t>
      </w:r>
      <w:r>
        <w:t xml:space="preserve">plant ownership </w:t>
      </w:r>
      <w:r w:rsidRPr="00D74B7E">
        <w:t xml:space="preserve">data </w:t>
      </w:r>
      <w:r w:rsidRPr="00D74B7E">
        <w:rPr>
          <w:i/>
          <w:iCs/>
        </w:rPr>
        <w:fldChar w:fldCharType="begin"/>
      </w:r>
      <w:r w:rsidR="00864649">
        <w:instrText xml:space="preserve"> ADDIN ZOTERO_ITEM CSL_CITATION {"citationID":"7E8EcoNV","properties":{"formattedCitation":"(Catalyst Cooperative, n.d.)","plainCitation":"(Catalyst Cooperative, n.d.)","noteIndex":0},"citationItems":[{"id":81,"uris":["http://zotero.org/users/14790435/items/45S5HTCG"],"itemData":{"id":81,"type":"dataset","title":"PUDL Data Dictionary","URL":"https://catalystcoop-pudl.readthedocs.io/en/latest/data_dictionaries/pudl_db.html","version":"out_eia__yearly_utilities","author":[{"family":"Catalyst Cooperative","given":""}],"accessed":{"date-parts":[["2025",8,28]]}}}],"schema":"https://github.com/citation-style-language/schema/raw/master/csl-citation.json"} </w:instrText>
      </w:r>
      <w:r w:rsidRPr="00D74B7E">
        <w:rPr>
          <w:i/>
          <w:iCs/>
        </w:rPr>
        <w:fldChar w:fldCharType="separate"/>
      </w:r>
      <w:r w:rsidR="00864649" w:rsidRPr="00864649">
        <w:t>(Catalyst Cooperative, n.d.)</w:t>
      </w:r>
      <w:r w:rsidRPr="00D74B7E">
        <w:rPr>
          <w:i/>
          <w:iCs/>
        </w:rPr>
        <w:fldChar w:fldCharType="end"/>
      </w:r>
      <w:r w:rsidRPr="00D74B7E">
        <w:t xml:space="preserve"> confirms that the coal, natural gas, and nuclear plants </w:t>
      </w:r>
      <w:r>
        <w:t xml:space="preserve">in the U.S. that are </w:t>
      </w:r>
      <w:r w:rsidRPr="00D74B7E">
        <w:t>not in the FERC Form 1</w:t>
      </w:r>
      <w:r>
        <w:t>’s cost data</w:t>
      </w:r>
      <w:r w:rsidRPr="00D74B7E">
        <w:t xml:space="preserve"> are predominantly owned by entities outside of FERC's reporting jurisdiction. Specifically, 59% of these plants are owned by independent power producers. Another 28% belong to municipal utilities, non-profit cooperatives, federal, state, or other political subdivisions, and 6% are owned by commercial or industrial entities. Collectively, these entities, which are generally not considered "major electric utilities" required to file Form 1, account for 93% of the coal, natural gas, and nuclear power plants not in the FERC Form 1 sample. This reinforces that the FERC dataset primarily represents the nation's rate-regulated utility fleet.</w:t>
      </w:r>
    </w:p>
    <w:p w14:paraId="77A97FD8" w14:textId="640FBBCE" w:rsidR="00B702F8" w:rsidRPr="000B63F4" w:rsidRDefault="00B702F8" w:rsidP="00DC40BB">
      <w:pPr>
        <w:pStyle w:val="Heading2"/>
      </w:pPr>
      <w:r w:rsidRPr="000B63F4">
        <w:t>Age Profile of Plants by Technology</w:t>
      </w:r>
    </w:p>
    <w:p w14:paraId="56BA5C3B" w14:textId="18825CFD" w:rsidR="006076B0" w:rsidRPr="006076B0" w:rsidRDefault="006076B0" w:rsidP="006300E4">
      <w:pPr>
        <w:spacing w:line="480" w:lineRule="auto"/>
        <w:ind w:firstLine="720"/>
        <w:rPr>
          <w:i/>
          <w:iCs/>
        </w:rPr>
      </w:pPr>
      <w:r w:rsidRPr="006076B0">
        <w:rPr>
          <w:i/>
          <w:iCs/>
        </w:rPr>
        <w:fldChar w:fldCharType="begin"/>
      </w:r>
      <w:r w:rsidRPr="006076B0">
        <w:instrText xml:space="preserve"> REF _Ref209436188 \h  \* MERGEFORMAT </w:instrText>
      </w:r>
      <w:r w:rsidRPr="006076B0">
        <w:rPr>
          <w:i/>
          <w:iCs/>
        </w:rPr>
      </w:r>
      <w:r w:rsidRPr="006076B0">
        <w:rPr>
          <w:i/>
          <w:iCs/>
        </w:rPr>
        <w:fldChar w:fldCharType="separate"/>
      </w:r>
      <w:r w:rsidR="00CD17CC">
        <w:t xml:space="preserve">Table </w:t>
      </w:r>
      <w:r w:rsidR="00CD17CC">
        <w:rPr>
          <w:noProof/>
        </w:rPr>
        <w:t>3</w:t>
      </w:r>
      <w:r w:rsidRPr="006076B0">
        <w:rPr>
          <w:i/>
          <w:iCs/>
        </w:rPr>
        <w:fldChar w:fldCharType="end"/>
      </w:r>
      <w:r>
        <w:t xml:space="preserve"> summarizes the capacity-weighted average installation year for each technology group in the sample, highlighting that conventional steam coal and nuclear are among the oldest in the sample with average installation years in 1979 and 1981, respectively. Natural gas combustion turbines and combined cycle are newer, with average installation years of 1995 and 1998. </w:t>
      </w:r>
      <w:r w:rsidRPr="006076B0">
        <w:rPr>
          <w:i/>
          <w:iCs/>
        </w:rPr>
        <w:fldChar w:fldCharType="begin"/>
      </w:r>
      <w:r w:rsidRPr="006076B0">
        <w:instrText xml:space="preserve"> REF _Ref209436320 \h  \* MERGEFORMAT </w:instrText>
      </w:r>
      <w:r w:rsidRPr="006076B0">
        <w:rPr>
          <w:i/>
          <w:iCs/>
        </w:rPr>
      </w:r>
      <w:r w:rsidRPr="006076B0">
        <w:rPr>
          <w:i/>
          <w:iCs/>
        </w:rPr>
        <w:fldChar w:fldCharType="separate"/>
      </w:r>
      <w:r w:rsidR="00CD17CC">
        <w:t xml:space="preserve">Figure </w:t>
      </w:r>
      <w:r w:rsidR="00CD17CC">
        <w:rPr>
          <w:noProof/>
        </w:rPr>
        <w:t>3</w:t>
      </w:r>
      <w:r w:rsidRPr="006076B0">
        <w:rPr>
          <w:i/>
          <w:iCs/>
        </w:rPr>
        <w:fldChar w:fldCharType="end"/>
      </w:r>
      <w:r>
        <w:t xml:space="preserve"> plots the distribution of installation years throughout the sample and shows two distinct investment eras from the sample. The first is a steam plant wave starting in the late 1960’s through mid-1980’s, when </w:t>
      </w:r>
      <w:r w:rsidR="00437F92">
        <w:t>most</w:t>
      </w:r>
      <w:r>
        <w:t xml:space="preserve"> coal and nuclear capacity </w:t>
      </w:r>
      <w:r w:rsidR="00201774">
        <w:t xml:space="preserve">were </w:t>
      </w:r>
      <w:r>
        <w:t>built.</w:t>
      </w:r>
      <w:r w:rsidR="00201774">
        <w:t xml:space="preserve"> The second wave began in the late 1990’s when a substantial build out of natural gas capacity began.</w:t>
      </w:r>
    </w:p>
    <w:p w14:paraId="2E0927E6" w14:textId="79D332B1" w:rsidR="00062BA0" w:rsidRDefault="00062BA0" w:rsidP="006300E4">
      <w:pPr>
        <w:pStyle w:val="Caption"/>
      </w:pPr>
      <w:bookmarkStart w:id="6" w:name="_Ref209436188"/>
      <w:r>
        <w:t xml:space="preserve">Table </w:t>
      </w:r>
      <w:r w:rsidR="00BF3A2E">
        <w:fldChar w:fldCharType="begin"/>
      </w:r>
      <w:r w:rsidR="00BF3A2E">
        <w:instrText xml:space="preserve"> SEQ Table \* ARABIC </w:instrText>
      </w:r>
      <w:r w:rsidR="00BF3A2E">
        <w:fldChar w:fldCharType="separate"/>
      </w:r>
      <w:r w:rsidR="00CD17CC">
        <w:rPr>
          <w:noProof/>
        </w:rPr>
        <w:t>3</w:t>
      </w:r>
      <w:r w:rsidR="00BF3A2E">
        <w:rPr>
          <w:noProof/>
        </w:rPr>
        <w:fldChar w:fldCharType="end"/>
      </w:r>
      <w:bookmarkEnd w:id="6"/>
      <w:r>
        <w:t xml:space="preserve"> </w:t>
      </w:r>
      <w:r w:rsidR="001414D8" w:rsidRPr="001414D8">
        <w:t xml:space="preserve">Average installation year by technology in sample, weighted by capacity. </w:t>
      </w:r>
    </w:p>
    <w:tbl>
      <w:tblPr>
        <w:tblW w:w="4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1980"/>
      </w:tblGrid>
      <w:tr w:rsidR="00062BA0" w:rsidRPr="00062BA0" w14:paraId="1C215927" w14:textId="77777777" w:rsidTr="00437F92">
        <w:trPr>
          <w:trHeight w:val="288"/>
          <w:jc w:val="center"/>
        </w:trPr>
        <w:tc>
          <w:tcPr>
            <w:tcW w:w="2605" w:type="dxa"/>
            <w:shd w:val="clear" w:color="auto" w:fill="000000" w:themeFill="text1"/>
            <w:noWrap/>
            <w:vAlign w:val="center"/>
            <w:hideMark/>
          </w:tcPr>
          <w:p w14:paraId="062A71C0" w14:textId="77777777" w:rsidR="00062BA0" w:rsidRPr="00437F92" w:rsidRDefault="00062BA0" w:rsidP="00882443">
            <w:pPr>
              <w:spacing w:after="0" w:line="240" w:lineRule="auto"/>
              <w:rPr>
                <w:rFonts w:eastAsia="Times New Roman" w:cs="Times New Roman"/>
                <w:b/>
                <w:bCs/>
                <w:color w:val="FFFFFF" w:themeColor="background1"/>
                <w:kern w:val="0"/>
                <w:sz w:val="24"/>
                <w14:ligatures w14:val="none"/>
              </w:rPr>
            </w:pPr>
            <w:r w:rsidRPr="00437F92">
              <w:rPr>
                <w:rFonts w:eastAsia="Times New Roman" w:cs="Times New Roman"/>
                <w:b/>
                <w:bCs/>
                <w:color w:val="FFFFFF" w:themeColor="background1"/>
                <w:kern w:val="0"/>
                <w:sz w:val="24"/>
                <w14:ligatures w14:val="none"/>
              </w:rPr>
              <w:t>Technology</w:t>
            </w:r>
          </w:p>
        </w:tc>
        <w:tc>
          <w:tcPr>
            <w:tcW w:w="1980" w:type="dxa"/>
            <w:shd w:val="clear" w:color="auto" w:fill="000000" w:themeFill="text1"/>
            <w:noWrap/>
            <w:vAlign w:val="bottom"/>
            <w:hideMark/>
          </w:tcPr>
          <w:p w14:paraId="255A815B" w14:textId="77777777" w:rsidR="00062BA0" w:rsidRPr="00437F92" w:rsidRDefault="00062BA0" w:rsidP="00882443">
            <w:pPr>
              <w:spacing w:after="0" w:line="240" w:lineRule="auto"/>
              <w:jc w:val="right"/>
              <w:rPr>
                <w:rFonts w:eastAsia="Times New Roman" w:cs="Times New Roman"/>
                <w:b/>
                <w:bCs/>
                <w:color w:val="FFFFFF" w:themeColor="background1"/>
                <w:kern w:val="0"/>
                <w:sz w:val="24"/>
                <w14:ligatures w14:val="none"/>
              </w:rPr>
            </w:pPr>
            <w:r w:rsidRPr="00437F92">
              <w:rPr>
                <w:rFonts w:eastAsia="Times New Roman" w:cs="Times New Roman"/>
                <w:b/>
                <w:bCs/>
                <w:color w:val="FFFFFF" w:themeColor="background1"/>
                <w:kern w:val="0"/>
                <w:sz w:val="24"/>
                <w14:ligatures w14:val="none"/>
              </w:rPr>
              <w:t>Avg Installation Year</w:t>
            </w:r>
          </w:p>
        </w:tc>
      </w:tr>
      <w:tr w:rsidR="00062BA0" w:rsidRPr="00062BA0" w14:paraId="30A68B11" w14:textId="77777777" w:rsidTr="00437F92">
        <w:trPr>
          <w:trHeight w:val="288"/>
          <w:jc w:val="center"/>
        </w:trPr>
        <w:tc>
          <w:tcPr>
            <w:tcW w:w="2605" w:type="dxa"/>
            <w:noWrap/>
            <w:vAlign w:val="center"/>
            <w:hideMark/>
          </w:tcPr>
          <w:p w14:paraId="4665DF85" w14:textId="075A5C48"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lastRenderedPageBreak/>
              <w:t>Other Natural Gas</w:t>
            </w:r>
          </w:p>
        </w:tc>
        <w:tc>
          <w:tcPr>
            <w:tcW w:w="1980" w:type="dxa"/>
            <w:noWrap/>
            <w:vAlign w:val="center"/>
            <w:hideMark/>
          </w:tcPr>
          <w:p w14:paraId="4D3CCD8D" w14:textId="0CBE18AF"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1975</w:t>
            </w:r>
          </w:p>
        </w:tc>
      </w:tr>
      <w:tr w:rsidR="00062BA0" w:rsidRPr="00062BA0" w14:paraId="31CE2E2A" w14:textId="77777777" w:rsidTr="00437F92">
        <w:trPr>
          <w:trHeight w:val="288"/>
          <w:jc w:val="center"/>
        </w:trPr>
        <w:tc>
          <w:tcPr>
            <w:tcW w:w="2605" w:type="dxa"/>
            <w:noWrap/>
            <w:vAlign w:val="center"/>
            <w:hideMark/>
          </w:tcPr>
          <w:p w14:paraId="0031D3C9" w14:textId="037E9130"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Coal</w:t>
            </w:r>
          </w:p>
        </w:tc>
        <w:tc>
          <w:tcPr>
            <w:tcW w:w="1980" w:type="dxa"/>
            <w:noWrap/>
            <w:vAlign w:val="center"/>
            <w:hideMark/>
          </w:tcPr>
          <w:p w14:paraId="129679DF" w14:textId="4330155F"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1979</w:t>
            </w:r>
          </w:p>
        </w:tc>
      </w:tr>
      <w:tr w:rsidR="00062BA0" w:rsidRPr="00062BA0" w14:paraId="69D255BA" w14:textId="77777777" w:rsidTr="00437F92">
        <w:trPr>
          <w:trHeight w:val="288"/>
          <w:jc w:val="center"/>
        </w:trPr>
        <w:tc>
          <w:tcPr>
            <w:tcW w:w="2605" w:type="dxa"/>
            <w:noWrap/>
            <w:vAlign w:val="center"/>
            <w:hideMark/>
          </w:tcPr>
          <w:p w14:paraId="4DCDD469" w14:textId="62D31C3F"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Other</w:t>
            </w:r>
          </w:p>
        </w:tc>
        <w:tc>
          <w:tcPr>
            <w:tcW w:w="1980" w:type="dxa"/>
            <w:noWrap/>
            <w:vAlign w:val="center"/>
            <w:hideMark/>
          </w:tcPr>
          <w:p w14:paraId="6C5A9350" w14:textId="1C8762C2"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1980</w:t>
            </w:r>
          </w:p>
        </w:tc>
      </w:tr>
      <w:tr w:rsidR="00062BA0" w:rsidRPr="00062BA0" w14:paraId="081BF37C" w14:textId="77777777" w:rsidTr="00437F92">
        <w:trPr>
          <w:trHeight w:val="288"/>
          <w:jc w:val="center"/>
        </w:trPr>
        <w:tc>
          <w:tcPr>
            <w:tcW w:w="2605" w:type="dxa"/>
            <w:noWrap/>
            <w:vAlign w:val="center"/>
            <w:hideMark/>
          </w:tcPr>
          <w:p w14:paraId="452FAF8A" w14:textId="2475A2FD"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Nuclear</w:t>
            </w:r>
          </w:p>
        </w:tc>
        <w:tc>
          <w:tcPr>
            <w:tcW w:w="1980" w:type="dxa"/>
            <w:noWrap/>
            <w:vAlign w:val="center"/>
            <w:hideMark/>
          </w:tcPr>
          <w:p w14:paraId="516E1B59" w14:textId="57135F04"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1981</w:t>
            </w:r>
          </w:p>
        </w:tc>
      </w:tr>
      <w:tr w:rsidR="00062BA0" w:rsidRPr="00062BA0" w14:paraId="3CD6B7D4" w14:textId="77777777" w:rsidTr="00437F92">
        <w:trPr>
          <w:trHeight w:val="288"/>
          <w:jc w:val="center"/>
        </w:trPr>
        <w:tc>
          <w:tcPr>
            <w:tcW w:w="2605" w:type="dxa"/>
            <w:noWrap/>
            <w:vAlign w:val="center"/>
            <w:hideMark/>
          </w:tcPr>
          <w:p w14:paraId="3358A0D5" w14:textId="15646238"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Natural Gas CT</w:t>
            </w:r>
          </w:p>
        </w:tc>
        <w:tc>
          <w:tcPr>
            <w:tcW w:w="1980" w:type="dxa"/>
            <w:noWrap/>
            <w:vAlign w:val="center"/>
            <w:hideMark/>
          </w:tcPr>
          <w:p w14:paraId="6A1EDB7A" w14:textId="0B62811E"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1995</w:t>
            </w:r>
          </w:p>
        </w:tc>
      </w:tr>
      <w:tr w:rsidR="00062BA0" w:rsidRPr="00062BA0" w14:paraId="57199B72" w14:textId="77777777" w:rsidTr="00437F92">
        <w:trPr>
          <w:trHeight w:val="288"/>
          <w:jc w:val="center"/>
        </w:trPr>
        <w:tc>
          <w:tcPr>
            <w:tcW w:w="2605" w:type="dxa"/>
            <w:noWrap/>
            <w:vAlign w:val="center"/>
            <w:hideMark/>
          </w:tcPr>
          <w:p w14:paraId="1457180F" w14:textId="4718BFFB"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Natural Gas CC</w:t>
            </w:r>
          </w:p>
        </w:tc>
        <w:tc>
          <w:tcPr>
            <w:tcW w:w="1980" w:type="dxa"/>
            <w:noWrap/>
            <w:vAlign w:val="center"/>
            <w:hideMark/>
          </w:tcPr>
          <w:p w14:paraId="6C42BB55" w14:textId="1B799CB3"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1998</w:t>
            </w:r>
          </w:p>
        </w:tc>
      </w:tr>
      <w:tr w:rsidR="00062BA0" w:rsidRPr="00062BA0" w14:paraId="7B85DCE2" w14:textId="77777777" w:rsidTr="00437F92">
        <w:trPr>
          <w:trHeight w:val="288"/>
          <w:jc w:val="center"/>
        </w:trPr>
        <w:tc>
          <w:tcPr>
            <w:tcW w:w="2605" w:type="dxa"/>
            <w:noWrap/>
            <w:vAlign w:val="center"/>
            <w:hideMark/>
          </w:tcPr>
          <w:p w14:paraId="0C6D5017" w14:textId="163AE2B3"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Geothermal</w:t>
            </w:r>
          </w:p>
        </w:tc>
        <w:tc>
          <w:tcPr>
            <w:tcW w:w="1980" w:type="dxa"/>
            <w:noWrap/>
            <w:vAlign w:val="center"/>
            <w:hideMark/>
          </w:tcPr>
          <w:p w14:paraId="58A63681" w14:textId="644C85D0"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2002</w:t>
            </w:r>
          </w:p>
        </w:tc>
      </w:tr>
      <w:tr w:rsidR="00062BA0" w:rsidRPr="00062BA0" w14:paraId="387C46A8" w14:textId="77777777" w:rsidTr="00437F92">
        <w:trPr>
          <w:trHeight w:val="288"/>
          <w:jc w:val="center"/>
        </w:trPr>
        <w:tc>
          <w:tcPr>
            <w:tcW w:w="2605" w:type="dxa"/>
            <w:noWrap/>
            <w:vAlign w:val="center"/>
            <w:hideMark/>
          </w:tcPr>
          <w:p w14:paraId="5977CB20" w14:textId="00C9494B"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Solar Photovoltaic</w:t>
            </w:r>
          </w:p>
        </w:tc>
        <w:tc>
          <w:tcPr>
            <w:tcW w:w="1980" w:type="dxa"/>
            <w:noWrap/>
            <w:vAlign w:val="center"/>
            <w:hideMark/>
          </w:tcPr>
          <w:p w14:paraId="63B882BC" w14:textId="3224B7F7"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2007</w:t>
            </w:r>
          </w:p>
        </w:tc>
      </w:tr>
      <w:tr w:rsidR="00062BA0" w:rsidRPr="00062BA0" w14:paraId="227E15ED" w14:textId="77777777" w:rsidTr="00437F92">
        <w:trPr>
          <w:trHeight w:val="288"/>
          <w:jc w:val="center"/>
        </w:trPr>
        <w:tc>
          <w:tcPr>
            <w:tcW w:w="2605" w:type="dxa"/>
            <w:noWrap/>
            <w:vAlign w:val="center"/>
            <w:hideMark/>
          </w:tcPr>
          <w:p w14:paraId="12AF6523" w14:textId="64841BA7" w:rsidR="00062BA0" w:rsidRPr="00437F92" w:rsidRDefault="00062BA0" w:rsidP="00882443">
            <w:pPr>
              <w:spacing w:after="0" w:line="240" w:lineRule="auto"/>
              <w:rPr>
                <w:rFonts w:eastAsia="Times New Roman" w:cs="Times New Roman"/>
                <w:color w:val="000000"/>
                <w:kern w:val="0"/>
                <w:sz w:val="24"/>
                <w14:ligatures w14:val="none"/>
              </w:rPr>
            </w:pPr>
            <w:r w:rsidRPr="00437F92">
              <w:rPr>
                <w:color w:val="000000"/>
                <w:sz w:val="24"/>
              </w:rPr>
              <w:t>Onshore Wind Turbine</w:t>
            </w:r>
          </w:p>
        </w:tc>
        <w:tc>
          <w:tcPr>
            <w:tcW w:w="1980" w:type="dxa"/>
            <w:noWrap/>
            <w:vAlign w:val="center"/>
            <w:hideMark/>
          </w:tcPr>
          <w:p w14:paraId="6DC7BBD7" w14:textId="3023FBE4" w:rsidR="00062BA0" w:rsidRPr="00437F92" w:rsidRDefault="00062BA0" w:rsidP="00882443">
            <w:pPr>
              <w:spacing w:after="0" w:line="240" w:lineRule="auto"/>
              <w:jc w:val="right"/>
              <w:rPr>
                <w:rFonts w:eastAsia="Times New Roman" w:cs="Times New Roman"/>
                <w:color w:val="000000"/>
                <w:kern w:val="0"/>
                <w:sz w:val="24"/>
                <w14:ligatures w14:val="none"/>
              </w:rPr>
            </w:pPr>
            <w:r w:rsidRPr="00437F92">
              <w:rPr>
                <w:color w:val="000000"/>
                <w:sz w:val="24"/>
              </w:rPr>
              <w:t>2013</w:t>
            </w:r>
          </w:p>
        </w:tc>
      </w:tr>
    </w:tbl>
    <w:p w14:paraId="39298CE6" w14:textId="77777777" w:rsidR="00062BA0" w:rsidRDefault="00062BA0" w:rsidP="00882443">
      <w:pPr>
        <w:rPr>
          <w:b/>
          <w:bCs/>
        </w:rPr>
      </w:pPr>
    </w:p>
    <w:p w14:paraId="0FD3E7D1" w14:textId="5386AA45" w:rsidR="00E71CED" w:rsidRDefault="00701B01" w:rsidP="00471B80">
      <w:pPr>
        <w:keepNext/>
        <w:jc w:val="center"/>
      </w:pPr>
      <w:r w:rsidRPr="00701B01">
        <w:rPr>
          <w:noProof/>
        </w:rPr>
        <w:drawing>
          <wp:inline distT="0" distB="0" distL="0" distR="0" wp14:anchorId="62E343E8" wp14:editId="11D62B20">
            <wp:extent cx="5164667" cy="2869811"/>
            <wp:effectExtent l="0" t="0" r="0" b="6985"/>
            <wp:docPr id="297211580" name="Picture 3"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1580" name="Picture 3" descr="Chart, bar 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5687" cy="2875935"/>
                    </a:xfrm>
                    <a:prstGeom prst="rect">
                      <a:avLst/>
                    </a:prstGeom>
                    <a:noFill/>
                    <a:ln>
                      <a:noFill/>
                    </a:ln>
                  </pic:spPr>
                </pic:pic>
              </a:graphicData>
            </a:graphic>
          </wp:inline>
        </w:drawing>
      </w:r>
    </w:p>
    <w:p w14:paraId="213E4F26" w14:textId="263B67A1" w:rsidR="002018F1" w:rsidRDefault="00E71CED" w:rsidP="006300E4">
      <w:pPr>
        <w:pStyle w:val="Caption"/>
      </w:pPr>
      <w:bookmarkStart w:id="7" w:name="_Ref209436320"/>
      <w:r>
        <w:t xml:space="preserve">Figure </w:t>
      </w:r>
      <w:r w:rsidR="00BF3A2E">
        <w:fldChar w:fldCharType="begin"/>
      </w:r>
      <w:r w:rsidR="00BF3A2E">
        <w:instrText xml:space="preserve"> SEQ Figure \* ARABIC </w:instrText>
      </w:r>
      <w:r w:rsidR="00BF3A2E">
        <w:fldChar w:fldCharType="separate"/>
      </w:r>
      <w:r w:rsidR="00CD17CC">
        <w:rPr>
          <w:noProof/>
        </w:rPr>
        <w:t>3</w:t>
      </w:r>
      <w:r w:rsidR="00BF3A2E">
        <w:rPr>
          <w:noProof/>
        </w:rPr>
        <w:fldChar w:fldCharType="end"/>
      </w:r>
      <w:bookmarkEnd w:id="7"/>
      <w:r>
        <w:t xml:space="preserve"> </w:t>
      </w:r>
      <w:r w:rsidR="001D6AB2">
        <w:t>Installation year</w:t>
      </w:r>
      <w:r w:rsidR="00701B01">
        <w:t xml:space="preserve"> distribution by technology from sample, 2023.</w:t>
      </w:r>
    </w:p>
    <w:p w14:paraId="11AFF2BE" w14:textId="77777777" w:rsidR="002C2808" w:rsidRPr="002C2808" w:rsidRDefault="002C2808" w:rsidP="00882443"/>
    <w:p w14:paraId="301CEC77" w14:textId="77777777" w:rsidR="0086185B" w:rsidRDefault="0086185B" w:rsidP="00DC40BB">
      <w:pPr>
        <w:pStyle w:val="Heading2"/>
      </w:pPr>
      <w:r>
        <w:t>Operating Expenditures</w:t>
      </w:r>
    </w:p>
    <w:p w14:paraId="35042709" w14:textId="4B3F75C0" w:rsidR="0086185B" w:rsidRDefault="00A870C3" w:rsidP="005E7F8B">
      <w:pPr>
        <w:spacing w:line="480" w:lineRule="auto"/>
        <w:ind w:firstLine="720"/>
      </w:pPr>
      <w:r>
        <w:t>This section examines operating expenditures (</w:t>
      </w:r>
      <w:proofErr w:type="spellStart"/>
      <w:r>
        <w:t>OpEx</w:t>
      </w:r>
      <w:proofErr w:type="spellEnd"/>
      <w:r>
        <w:t xml:space="preserve">) patterns across generating technologies from the Form 1 sample, showing how cost composition and labor requirements vary by plant type. </w:t>
      </w:r>
      <w:r w:rsidR="0086185B">
        <w:fldChar w:fldCharType="begin"/>
      </w:r>
      <w:r w:rsidR="0086185B">
        <w:instrText xml:space="preserve"> REF _Ref216442402 \h </w:instrText>
      </w:r>
      <w:r w:rsidR="008D3619">
        <w:instrText xml:space="preserve"> \* MERGEFORMAT </w:instrText>
      </w:r>
      <w:r w:rsidR="0086185B">
        <w:fldChar w:fldCharType="separate"/>
      </w:r>
      <w:r w:rsidR="00CD17CC">
        <w:t xml:space="preserve">Table </w:t>
      </w:r>
      <w:r w:rsidR="00CD17CC">
        <w:rPr>
          <w:noProof/>
        </w:rPr>
        <w:t>4</w:t>
      </w:r>
      <w:r w:rsidR="0086185B">
        <w:fldChar w:fldCharType="end"/>
      </w:r>
      <w:r w:rsidR="0086185B">
        <w:t xml:space="preserve"> presents the share of operating expenses by category. “Other” aggregates several reported </w:t>
      </w:r>
      <w:proofErr w:type="spellStart"/>
      <w:r w:rsidR="0086185B">
        <w:t>Opex</w:t>
      </w:r>
      <w:proofErr w:type="spellEnd"/>
      <w:r w:rsidR="0086185B">
        <w:t xml:space="preserve"> category including coolants, engineering, electrical, rents, and structural maintenance. “Misc” includes operating expenses not classified in any of the other categories. Fuel costs represent the majority share of operating expenditures for coal and natural gas plants, though the patterns diverge over the sample period. The share of total </w:t>
      </w:r>
      <w:proofErr w:type="spellStart"/>
      <w:r w:rsidR="0086185B">
        <w:t>opex</w:t>
      </w:r>
      <w:proofErr w:type="spellEnd"/>
      <w:r w:rsidR="0086185B">
        <w:t xml:space="preserve"> </w:t>
      </w:r>
      <w:r w:rsidR="0086185B">
        <w:lastRenderedPageBreak/>
        <w:t xml:space="preserve">spent on fuel was significantly lower in 2023 compared to 1995 for both coal and nuclear plants on average. Conversely, fuel shares for natural gas technologies’ fuel shares were significantly higher in 2023. Nuclear plants show a distinctly different operating cost structure, with fuel representing only 20% of total </w:t>
      </w:r>
      <w:proofErr w:type="spellStart"/>
      <w:r w:rsidR="00CB1378">
        <w:t>O</w:t>
      </w:r>
      <w:r w:rsidR="0086185B">
        <w:t>p</w:t>
      </w:r>
      <w:r w:rsidR="00CB1378">
        <w:t>E</w:t>
      </w:r>
      <w:r w:rsidR="0086185B">
        <w:t>x</w:t>
      </w:r>
      <w:proofErr w:type="spellEnd"/>
      <w:r w:rsidR="0086185B">
        <w:t xml:space="preserve"> in 2023. Nuclear plants have substantially larger shares of </w:t>
      </w:r>
      <w:proofErr w:type="spellStart"/>
      <w:r w:rsidR="0086185B">
        <w:t>opex</w:t>
      </w:r>
      <w:proofErr w:type="spellEnd"/>
      <w:r w:rsidR="0086185B">
        <w:t xml:space="preserve"> allocated to other and miscellaneous categories, which could reflect more intensive needs for regulatory compliance, specialized maintenance, security, and/or waste management.</w:t>
      </w:r>
    </w:p>
    <w:p w14:paraId="7B5A544A" w14:textId="0B91B738" w:rsidR="0086185B" w:rsidRDefault="0086185B" w:rsidP="006300E4">
      <w:pPr>
        <w:pStyle w:val="Caption"/>
      </w:pPr>
      <w:bookmarkStart w:id="8" w:name="_Ref216442402"/>
      <w:r>
        <w:t xml:space="preserve">Table </w:t>
      </w:r>
      <w:r w:rsidR="00BF3A2E">
        <w:fldChar w:fldCharType="begin"/>
      </w:r>
      <w:r w:rsidR="00BF3A2E">
        <w:instrText xml:space="preserve"> SEQ Table \* ARABIC </w:instrText>
      </w:r>
      <w:r w:rsidR="00BF3A2E">
        <w:fldChar w:fldCharType="separate"/>
      </w:r>
      <w:r w:rsidR="00CD17CC">
        <w:rPr>
          <w:noProof/>
        </w:rPr>
        <w:t>4</w:t>
      </w:r>
      <w:r w:rsidR="00BF3A2E">
        <w:rPr>
          <w:noProof/>
        </w:rPr>
        <w:fldChar w:fldCharType="end"/>
      </w:r>
      <w:bookmarkEnd w:id="8"/>
      <w:r>
        <w:t xml:space="preserve"> Operating expenditure shares by technology, 1995 and 2023 (% of total </w:t>
      </w:r>
      <w:proofErr w:type="spellStart"/>
      <w:r>
        <w:t>OpEx</w:t>
      </w:r>
      <w:proofErr w:type="spellEnd"/>
      <w:r>
        <w:t>).</w:t>
      </w:r>
    </w:p>
    <w:tbl>
      <w:tblPr>
        <w:tblW w:w="9068" w:type="dxa"/>
        <w:tblLook w:val="04A0" w:firstRow="1" w:lastRow="0" w:firstColumn="1" w:lastColumn="0" w:noHBand="0" w:noVBand="1"/>
      </w:tblPr>
      <w:tblGrid>
        <w:gridCol w:w="1872"/>
        <w:gridCol w:w="748"/>
        <w:gridCol w:w="1000"/>
        <w:gridCol w:w="1448"/>
        <w:gridCol w:w="1000"/>
        <w:gridCol w:w="1000"/>
        <w:gridCol w:w="1000"/>
        <w:gridCol w:w="1000"/>
      </w:tblGrid>
      <w:tr w:rsidR="0086185B" w:rsidRPr="003E2AB1" w14:paraId="4D2F5CE2" w14:textId="77777777" w:rsidTr="00206E87">
        <w:trPr>
          <w:trHeight w:val="312"/>
        </w:trPr>
        <w:tc>
          <w:tcPr>
            <w:tcW w:w="1872" w:type="dxa"/>
            <w:tcBorders>
              <w:top w:val="single" w:sz="4" w:space="0" w:color="auto"/>
              <w:left w:val="single" w:sz="4" w:space="0" w:color="auto"/>
              <w:bottom w:val="nil"/>
              <w:right w:val="nil"/>
            </w:tcBorders>
            <w:shd w:val="clear" w:color="000000" w:fill="000000"/>
            <w:noWrap/>
            <w:vAlign w:val="bottom"/>
            <w:hideMark/>
          </w:tcPr>
          <w:p w14:paraId="53609AC9" w14:textId="77777777" w:rsidR="0086185B" w:rsidRPr="003E2AB1" w:rsidRDefault="0086185B" w:rsidP="00206E87">
            <w:pPr>
              <w:spacing w:after="0" w:line="240" w:lineRule="auto"/>
              <w:rPr>
                <w:rFonts w:eastAsia="Times New Roman" w:cs="Times New Roman"/>
                <w:b/>
                <w:bCs/>
                <w:color w:val="FFFFFF"/>
                <w:kern w:val="0"/>
                <w14:ligatures w14:val="none"/>
              </w:rPr>
            </w:pPr>
            <w:r w:rsidRPr="003E2AB1">
              <w:rPr>
                <w:rFonts w:eastAsia="Times New Roman" w:cs="Times New Roman"/>
                <w:b/>
                <w:bCs/>
                <w:color w:val="FFFFFF"/>
                <w:kern w:val="0"/>
                <w14:ligatures w14:val="none"/>
              </w:rPr>
              <w:t>Technology</w:t>
            </w:r>
          </w:p>
        </w:tc>
        <w:tc>
          <w:tcPr>
            <w:tcW w:w="748" w:type="dxa"/>
            <w:tcBorders>
              <w:top w:val="single" w:sz="4" w:space="0" w:color="auto"/>
              <w:left w:val="nil"/>
              <w:bottom w:val="nil"/>
              <w:right w:val="nil"/>
            </w:tcBorders>
            <w:shd w:val="clear" w:color="000000" w:fill="000000"/>
            <w:noWrap/>
            <w:vAlign w:val="bottom"/>
            <w:hideMark/>
          </w:tcPr>
          <w:p w14:paraId="3C1EED42"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Year</w:t>
            </w:r>
          </w:p>
        </w:tc>
        <w:tc>
          <w:tcPr>
            <w:tcW w:w="1000" w:type="dxa"/>
            <w:tcBorders>
              <w:top w:val="single" w:sz="4" w:space="0" w:color="auto"/>
              <w:left w:val="nil"/>
              <w:bottom w:val="nil"/>
              <w:right w:val="nil"/>
            </w:tcBorders>
            <w:shd w:val="clear" w:color="000000" w:fill="000000"/>
            <w:noWrap/>
            <w:vAlign w:val="bottom"/>
            <w:hideMark/>
          </w:tcPr>
          <w:p w14:paraId="0980C775"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Fuel</w:t>
            </w:r>
          </w:p>
        </w:tc>
        <w:tc>
          <w:tcPr>
            <w:tcW w:w="1448" w:type="dxa"/>
            <w:tcBorders>
              <w:top w:val="single" w:sz="4" w:space="0" w:color="auto"/>
              <w:left w:val="nil"/>
              <w:bottom w:val="nil"/>
              <w:right w:val="nil"/>
            </w:tcBorders>
            <w:shd w:val="clear" w:color="000000" w:fill="000000"/>
            <w:noWrap/>
            <w:vAlign w:val="bottom"/>
            <w:hideMark/>
          </w:tcPr>
          <w:p w14:paraId="2C709C1C"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Operations</w:t>
            </w:r>
          </w:p>
        </w:tc>
        <w:tc>
          <w:tcPr>
            <w:tcW w:w="1000" w:type="dxa"/>
            <w:tcBorders>
              <w:top w:val="single" w:sz="4" w:space="0" w:color="auto"/>
              <w:left w:val="nil"/>
              <w:bottom w:val="nil"/>
              <w:right w:val="nil"/>
            </w:tcBorders>
            <w:shd w:val="clear" w:color="000000" w:fill="000000"/>
            <w:noWrap/>
            <w:vAlign w:val="bottom"/>
            <w:hideMark/>
          </w:tcPr>
          <w:p w14:paraId="7721B862"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Steam</w:t>
            </w:r>
          </w:p>
        </w:tc>
        <w:tc>
          <w:tcPr>
            <w:tcW w:w="1000" w:type="dxa"/>
            <w:tcBorders>
              <w:top w:val="single" w:sz="4" w:space="0" w:color="auto"/>
              <w:left w:val="nil"/>
              <w:bottom w:val="nil"/>
              <w:right w:val="nil"/>
            </w:tcBorders>
            <w:shd w:val="clear" w:color="000000" w:fill="000000"/>
            <w:noWrap/>
            <w:vAlign w:val="bottom"/>
            <w:hideMark/>
          </w:tcPr>
          <w:p w14:paraId="63AB7C1D"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Boiler</w:t>
            </w:r>
          </w:p>
        </w:tc>
        <w:tc>
          <w:tcPr>
            <w:tcW w:w="1000" w:type="dxa"/>
            <w:tcBorders>
              <w:top w:val="single" w:sz="4" w:space="0" w:color="auto"/>
              <w:left w:val="nil"/>
              <w:bottom w:val="nil"/>
              <w:right w:val="nil"/>
            </w:tcBorders>
            <w:shd w:val="clear" w:color="000000" w:fill="000000"/>
            <w:noWrap/>
            <w:vAlign w:val="bottom"/>
            <w:hideMark/>
          </w:tcPr>
          <w:p w14:paraId="44C54FC2"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Other</w:t>
            </w:r>
          </w:p>
        </w:tc>
        <w:tc>
          <w:tcPr>
            <w:tcW w:w="1000" w:type="dxa"/>
            <w:tcBorders>
              <w:top w:val="single" w:sz="4" w:space="0" w:color="auto"/>
              <w:left w:val="nil"/>
              <w:bottom w:val="nil"/>
              <w:right w:val="single" w:sz="4" w:space="0" w:color="auto"/>
            </w:tcBorders>
            <w:shd w:val="clear" w:color="000000" w:fill="000000"/>
            <w:noWrap/>
            <w:vAlign w:val="bottom"/>
            <w:hideMark/>
          </w:tcPr>
          <w:p w14:paraId="60919C8B" w14:textId="77777777" w:rsidR="0086185B" w:rsidRPr="003E2AB1" w:rsidRDefault="0086185B" w:rsidP="000E2DA4">
            <w:pPr>
              <w:spacing w:after="0" w:line="240" w:lineRule="auto"/>
              <w:jc w:val="right"/>
              <w:rPr>
                <w:rFonts w:eastAsia="Times New Roman" w:cs="Times New Roman"/>
                <w:b/>
                <w:bCs/>
                <w:color w:val="FFFFFF"/>
                <w:kern w:val="0"/>
                <w14:ligatures w14:val="none"/>
              </w:rPr>
            </w:pPr>
            <w:r w:rsidRPr="003E2AB1">
              <w:rPr>
                <w:rFonts w:eastAsia="Times New Roman" w:cs="Times New Roman"/>
                <w:b/>
                <w:bCs/>
                <w:color w:val="FFFFFF"/>
                <w:kern w:val="0"/>
                <w14:ligatures w14:val="none"/>
              </w:rPr>
              <w:t>Misc</w:t>
            </w:r>
          </w:p>
        </w:tc>
      </w:tr>
      <w:tr w:rsidR="0086185B" w:rsidRPr="003E2AB1" w14:paraId="758CF297" w14:textId="77777777" w:rsidTr="00206E87">
        <w:trPr>
          <w:trHeight w:val="312"/>
        </w:trPr>
        <w:tc>
          <w:tcPr>
            <w:tcW w:w="1872" w:type="dxa"/>
            <w:vMerge w:val="restart"/>
            <w:tcBorders>
              <w:top w:val="single" w:sz="4" w:space="0" w:color="auto"/>
              <w:left w:val="single" w:sz="4" w:space="0" w:color="auto"/>
              <w:bottom w:val="single" w:sz="4" w:space="0" w:color="000000"/>
              <w:right w:val="nil"/>
            </w:tcBorders>
            <w:noWrap/>
            <w:vAlign w:val="center"/>
            <w:hideMark/>
          </w:tcPr>
          <w:p w14:paraId="2D0B2285" w14:textId="77777777" w:rsidR="0086185B" w:rsidRPr="003E2AB1" w:rsidRDefault="0086185B" w:rsidP="00206E87">
            <w:pPr>
              <w:spacing w:after="0" w:line="240" w:lineRule="auto"/>
              <w:rPr>
                <w:rFonts w:eastAsia="Times New Roman" w:cs="Times New Roman"/>
                <w:color w:val="000000"/>
                <w:kern w:val="0"/>
                <w14:ligatures w14:val="none"/>
              </w:rPr>
            </w:pPr>
            <w:r w:rsidRPr="003E2AB1">
              <w:rPr>
                <w:rFonts w:eastAsia="Times New Roman" w:cs="Times New Roman"/>
                <w:color w:val="000000"/>
                <w:kern w:val="0"/>
                <w14:ligatures w14:val="none"/>
              </w:rPr>
              <w:t>Coal</w:t>
            </w:r>
          </w:p>
        </w:tc>
        <w:tc>
          <w:tcPr>
            <w:tcW w:w="748" w:type="dxa"/>
            <w:tcBorders>
              <w:top w:val="single" w:sz="4" w:space="0" w:color="auto"/>
              <w:left w:val="nil"/>
              <w:bottom w:val="nil"/>
              <w:right w:val="nil"/>
            </w:tcBorders>
            <w:noWrap/>
            <w:vAlign w:val="bottom"/>
            <w:hideMark/>
          </w:tcPr>
          <w:p w14:paraId="1F3808A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1995</w:t>
            </w:r>
          </w:p>
        </w:tc>
        <w:tc>
          <w:tcPr>
            <w:tcW w:w="1000" w:type="dxa"/>
            <w:tcBorders>
              <w:top w:val="single" w:sz="4" w:space="0" w:color="auto"/>
              <w:left w:val="nil"/>
              <w:bottom w:val="nil"/>
              <w:right w:val="nil"/>
            </w:tcBorders>
            <w:noWrap/>
            <w:vAlign w:val="bottom"/>
            <w:hideMark/>
          </w:tcPr>
          <w:p w14:paraId="43B1D62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77.0</w:t>
            </w:r>
          </w:p>
        </w:tc>
        <w:tc>
          <w:tcPr>
            <w:tcW w:w="1448" w:type="dxa"/>
            <w:tcBorders>
              <w:top w:val="single" w:sz="4" w:space="0" w:color="auto"/>
              <w:left w:val="nil"/>
              <w:bottom w:val="nil"/>
              <w:right w:val="nil"/>
            </w:tcBorders>
            <w:noWrap/>
            <w:vAlign w:val="bottom"/>
            <w:hideMark/>
          </w:tcPr>
          <w:p w14:paraId="18724375"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1.3</w:t>
            </w:r>
          </w:p>
        </w:tc>
        <w:tc>
          <w:tcPr>
            <w:tcW w:w="1000" w:type="dxa"/>
            <w:tcBorders>
              <w:top w:val="single" w:sz="4" w:space="0" w:color="auto"/>
              <w:left w:val="nil"/>
              <w:bottom w:val="nil"/>
              <w:right w:val="nil"/>
            </w:tcBorders>
            <w:noWrap/>
            <w:vAlign w:val="bottom"/>
            <w:hideMark/>
          </w:tcPr>
          <w:p w14:paraId="7292A170"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2.3</w:t>
            </w:r>
          </w:p>
        </w:tc>
        <w:tc>
          <w:tcPr>
            <w:tcW w:w="1000" w:type="dxa"/>
            <w:tcBorders>
              <w:top w:val="single" w:sz="4" w:space="0" w:color="auto"/>
              <w:left w:val="nil"/>
              <w:bottom w:val="nil"/>
              <w:right w:val="nil"/>
            </w:tcBorders>
            <w:noWrap/>
            <w:vAlign w:val="bottom"/>
            <w:hideMark/>
          </w:tcPr>
          <w:p w14:paraId="7E483FE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6.2</w:t>
            </w:r>
          </w:p>
        </w:tc>
        <w:tc>
          <w:tcPr>
            <w:tcW w:w="1000" w:type="dxa"/>
            <w:tcBorders>
              <w:top w:val="single" w:sz="4" w:space="0" w:color="auto"/>
              <w:left w:val="nil"/>
              <w:bottom w:val="nil"/>
              <w:right w:val="nil"/>
            </w:tcBorders>
            <w:noWrap/>
            <w:vAlign w:val="bottom"/>
            <w:hideMark/>
          </w:tcPr>
          <w:p w14:paraId="34C817E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9.4</w:t>
            </w:r>
          </w:p>
        </w:tc>
        <w:tc>
          <w:tcPr>
            <w:tcW w:w="1000" w:type="dxa"/>
            <w:tcBorders>
              <w:top w:val="single" w:sz="4" w:space="0" w:color="auto"/>
              <w:left w:val="nil"/>
              <w:bottom w:val="nil"/>
              <w:right w:val="single" w:sz="4" w:space="0" w:color="auto"/>
            </w:tcBorders>
            <w:noWrap/>
            <w:vAlign w:val="bottom"/>
            <w:hideMark/>
          </w:tcPr>
          <w:p w14:paraId="7B4A899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3.8</w:t>
            </w:r>
          </w:p>
        </w:tc>
      </w:tr>
      <w:tr w:rsidR="0086185B" w:rsidRPr="003E2AB1" w14:paraId="75FB8947" w14:textId="77777777" w:rsidTr="00206E87">
        <w:trPr>
          <w:trHeight w:val="312"/>
        </w:trPr>
        <w:tc>
          <w:tcPr>
            <w:tcW w:w="1872" w:type="dxa"/>
            <w:vMerge/>
            <w:tcBorders>
              <w:top w:val="single" w:sz="4" w:space="0" w:color="auto"/>
              <w:left w:val="single" w:sz="4" w:space="0" w:color="auto"/>
              <w:bottom w:val="single" w:sz="4" w:space="0" w:color="000000"/>
              <w:right w:val="nil"/>
            </w:tcBorders>
            <w:vAlign w:val="center"/>
            <w:hideMark/>
          </w:tcPr>
          <w:p w14:paraId="3B438690" w14:textId="77777777" w:rsidR="0086185B" w:rsidRPr="003E2AB1" w:rsidRDefault="0086185B" w:rsidP="00206E87">
            <w:pPr>
              <w:spacing w:after="0" w:line="240" w:lineRule="auto"/>
              <w:rPr>
                <w:rFonts w:eastAsia="Times New Roman" w:cs="Times New Roman"/>
                <w:color w:val="000000"/>
                <w:kern w:val="0"/>
                <w14:ligatures w14:val="none"/>
              </w:rPr>
            </w:pPr>
          </w:p>
        </w:tc>
        <w:tc>
          <w:tcPr>
            <w:tcW w:w="748" w:type="dxa"/>
            <w:tcBorders>
              <w:top w:val="nil"/>
              <w:left w:val="nil"/>
              <w:bottom w:val="single" w:sz="4" w:space="0" w:color="auto"/>
              <w:right w:val="nil"/>
            </w:tcBorders>
            <w:noWrap/>
            <w:vAlign w:val="bottom"/>
            <w:hideMark/>
          </w:tcPr>
          <w:p w14:paraId="288E17F5"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2023</w:t>
            </w:r>
          </w:p>
        </w:tc>
        <w:tc>
          <w:tcPr>
            <w:tcW w:w="1000" w:type="dxa"/>
            <w:tcBorders>
              <w:top w:val="nil"/>
              <w:left w:val="nil"/>
              <w:bottom w:val="single" w:sz="4" w:space="0" w:color="auto"/>
              <w:right w:val="nil"/>
            </w:tcBorders>
            <w:noWrap/>
            <w:vAlign w:val="bottom"/>
            <w:hideMark/>
          </w:tcPr>
          <w:p w14:paraId="6E39DD1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68.9</w:t>
            </w:r>
          </w:p>
        </w:tc>
        <w:tc>
          <w:tcPr>
            <w:tcW w:w="1448" w:type="dxa"/>
            <w:tcBorders>
              <w:top w:val="nil"/>
              <w:left w:val="nil"/>
              <w:bottom w:val="single" w:sz="4" w:space="0" w:color="auto"/>
              <w:right w:val="nil"/>
            </w:tcBorders>
            <w:noWrap/>
            <w:vAlign w:val="bottom"/>
            <w:hideMark/>
          </w:tcPr>
          <w:p w14:paraId="3CE3489E"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1.8</w:t>
            </w:r>
          </w:p>
        </w:tc>
        <w:tc>
          <w:tcPr>
            <w:tcW w:w="1000" w:type="dxa"/>
            <w:tcBorders>
              <w:top w:val="nil"/>
              <w:left w:val="nil"/>
              <w:bottom w:val="single" w:sz="4" w:space="0" w:color="auto"/>
              <w:right w:val="nil"/>
            </w:tcBorders>
            <w:noWrap/>
            <w:vAlign w:val="bottom"/>
            <w:hideMark/>
          </w:tcPr>
          <w:p w14:paraId="7665B51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4.9</w:t>
            </w:r>
          </w:p>
        </w:tc>
        <w:tc>
          <w:tcPr>
            <w:tcW w:w="1000" w:type="dxa"/>
            <w:tcBorders>
              <w:top w:val="nil"/>
              <w:left w:val="nil"/>
              <w:bottom w:val="single" w:sz="4" w:space="0" w:color="auto"/>
              <w:right w:val="nil"/>
            </w:tcBorders>
            <w:noWrap/>
            <w:vAlign w:val="bottom"/>
            <w:hideMark/>
          </w:tcPr>
          <w:p w14:paraId="36E0BEB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7.5</w:t>
            </w:r>
          </w:p>
        </w:tc>
        <w:tc>
          <w:tcPr>
            <w:tcW w:w="1000" w:type="dxa"/>
            <w:tcBorders>
              <w:top w:val="nil"/>
              <w:left w:val="nil"/>
              <w:bottom w:val="single" w:sz="4" w:space="0" w:color="auto"/>
              <w:right w:val="nil"/>
            </w:tcBorders>
            <w:noWrap/>
            <w:vAlign w:val="bottom"/>
            <w:hideMark/>
          </w:tcPr>
          <w:p w14:paraId="6702703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12.0</w:t>
            </w:r>
          </w:p>
        </w:tc>
        <w:tc>
          <w:tcPr>
            <w:tcW w:w="1000" w:type="dxa"/>
            <w:tcBorders>
              <w:top w:val="nil"/>
              <w:left w:val="nil"/>
              <w:bottom w:val="single" w:sz="4" w:space="0" w:color="auto"/>
              <w:right w:val="single" w:sz="4" w:space="0" w:color="auto"/>
            </w:tcBorders>
            <w:noWrap/>
            <w:vAlign w:val="bottom"/>
            <w:hideMark/>
          </w:tcPr>
          <w:p w14:paraId="6398BF9B"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4.9</w:t>
            </w:r>
          </w:p>
        </w:tc>
      </w:tr>
      <w:tr w:rsidR="0086185B" w:rsidRPr="003E2AB1" w14:paraId="2AA6A886" w14:textId="77777777" w:rsidTr="00206E87">
        <w:trPr>
          <w:trHeight w:val="312"/>
        </w:trPr>
        <w:tc>
          <w:tcPr>
            <w:tcW w:w="1872" w:type="dxa"/>
            <w:vMerge w:val="restart"/>
            <w:tcBorders>
              <w:top w:val="nil"/>
              <w:left w:val="single" w:sz="4" w:space="0" w:color="auto"/>
              <w:bottom w:val="single" w:sz="4" w:space="0" w:color="000000"/>
              <w:right w:val="nil"/>
            </w:tcBorders>
            <w:noWrap/>
            <w:vAlign w:val="center"/>
            <w:hideMark/>
          </w:tcPr>
          <w:p w14:paraId="4DCE5F2E" w14:textId="77777777" w:rsidR="0086185B" w:rsidRPr="003E2AB1" w:rsidRDefault="0086185B" w:rsidP="00206E87">
            <w:pPr>
              <w:spacing w:after="0" w:line="240" w:lineRule="auto"/>
              <w:rPr>
                <w:rFonts w:eastAsia="Times New Roman" w:cs="Times New Roman"/>
                <w:color w:val="000000"/>
                <w:kern w:val="0"/>
                <w14:ligatures w14:val="none"/>
              </w:rPr>
            </w:pPr>
            <w:r w:rsidRPr="003E2AB1">
              <w:rPr>
                <w:rFonts w:eastAsia="Times New Roman" w:cs="Times New Roman"/>
                <w:color w:val="000000"/>
                <w:kern w:val="0"/>
                <w14:ligatures w14:val="none"/>
              </w:rPr>
              <w:t>Natural Gas CC</w:t>
            </w:r>
          </w:p>
        </w:tc>
        <w:tc>
          <w:tcPr>
            <w:tcW w:w="748" w:type="dxa"/>
            <w:tcBorders>
              <w:top w:val="nil"/>
              <w:left w:val="nil"/>
              <w:bottom w:val="nil"/>
              <w:right w:val="nil"/>
            </w:tcBorders>
            <w:noWrap/>
            <w:vAlign w:val="bottom"/>
            <w:hideMark/>
          </w:tcPr>
          <w:p w14:paraId="01264141"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1995</w:t>
            </w:r>
          </w:p>
        </w:tc>
        <w:tc>
          <w:tcPr>
            <w:tcW w:w="1000" w:type="dxa"/>
            <w:tcBorders>
              <w:top w:val="nil"/>
              <w:left w:val="nil"/>
              <w:bottom w:val="nil"/>
              <w:right w:val="nil"/>
            </w:tcBorders>
            <w:noWrap/>
            <w:vAlign w:val="bottom"/>
            <w:hideMark/>
          </w:tcPr>
          <w:p w14:paraId="33A2106A"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52.7</w:t>
            </w:r>
          </w:p>
        </w:tc>
        <w:tc>
          <w:tcPr>
            <w:tcW w:w="1448" w:type="dxa"/>
            <w:tcBorders>
              <w:top w:val="nil"/>
              <w:left w:val="nil"/>
              <w:bottom w:val="nil"/>
              <w:right w:val="nil"/>
            </w:tcBorders>
            <w:noWrap/>
            <w:vAlign w:val="bottom"/>
            <w:hideMark/>
          </w:tcPr>
          <w:p w14:paraId="6B5C760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7.0</w:t>
            </w:r>
          </w:p>
        </w:tc>
        <w:tc>
          <w:tcPr>
            <w:tcW w:w="1000" w:type="dxa"/>
            <w:tcBorders>
              <w:top w:val="nil"/>
              <w:left w:val="nil"/>
              <w:bottom w:val="nil"/>
              <w:right w:val="nil"/>
            </w:tcBorders>
            <w:noWrap/>
            <w:vAlign w:val="bottom"/>
            <w:hideMark/>
          </w:tcPr>
          <w:p w14:paraId="5528760B"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3.4</w:t>
            </w:r>
          </w:p>
        </w:tc>
        <w:tc>
          <w:tcPr>
            <w:tcW w:w="1000" w:type="dxa"/>
            <w:tcBorders>
              <w:top w:val="nil"/>
              <w:left w:val="nil"/>
              <w:bottom w:val="nil"/>
              <w:right w:val="nil"/>
            </w:tcBorders>
            <w:noWrap/>
            <w:vAlign w:val="bottom"/>
            <w:hideMark/>
          </w:tcPr>
          <w:p w14:paraId="0C456C86"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4.2</w:t>
            </w:r>
          </w:p>
        </w:tc>
        <w:tc>
          <w:tcPr>
            <w:tcW w:w="1000" w:type="dxa"/>
            <w:tcBorders>
              <w:top w:val="nil"/>
              <w:left w:val="nil"/>
              <w:bottom w:val="nil"/>
              <w:right w:val="nil"/>
            </w:tcBorders>
            <w:noWrap/>
            <w:vAlign w:val="bottom"/>
            <w:hideMark/>
          </w:tcPr>
          <w:p w14:paraId="5E611311"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20.6</w:t>
            </w:r>
          </w:p>
        </w:tc>
        <w:tc>
          <w:tcPr>
            <w:tcW w:w="1000" w:type="dxa"/>
            <w:tcBorders>
              <w:top w:val="nil"/>
              <w:left w:val="nil"/>
              <w:bottom w:val="nil"/>
              <w:right w:val="single" w:sz="4" w:space="0" w:color="auto"/>
            </w:tcBorders>
            <w:noWrap/>
            <w:vAlign w:val="bottom"/>
            <w:hideMark/>
          </w:tcPr>
          <w:p w14:paraId="4D254A77"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12.0</w:t>
            </w:r>
          </w:p>
        </w:tc>
      </w:tr>
      <w:tr w:rsidR="0086185B" w:rsidRPr="003E2AB1" w14:paraId="4DE52B8C" w14:textId="77777777" w:rsidTr="00206E87">
        <w:trPr>
          <w:trHeight w:val="312"/>
        </w:trPr>
        <w:tc>
          <w:tcPr>
            <w:tcW w:w="1872" w:type="dxa"/>
            <w:vMerge/>
            <w:tcBorders>
              <w:top w:val="nil"/>
              <w:left w:val="single" w:sz="4" w:space="0" w:color="auto"/>
              <w:bottom w:val="single" w:sz="4" w:space="0" w:color="000000"/>
              <w:right w:val="nil"/>
            </w:tcBorders>
            <w:vAlign w:val="center"/>
            <w:hideMark/>
          </w:tcPr>
          <w:p w14:paraId="569BE8BB" w14:textId="77777777" w:rsidR="0086185B" w:rsidRPr="003E2AB1" w:rsidRDefault="0086185B" w:rsidP="00206E87">
            <w:pPr>
              <w:spacing w:after="0" w:line="240" w:lineRule="auto"/>
              <w:rPr>
                <w:rFonts w:eastAsia="Times New Roman" w:cs="Times New Roman"/>
                <w:color w:val="000000"/>
                <w:kern w:val="0"/>
                <w14:ligatures w14:val="none"/>
              </w:rPr>
            </w:pPr>
          </w:p>
        </w:tc>
        <w:tc>
          <w:tcPr>
            <w:tcW w:w="748" w:type="dxa"/>
            <w:tcBorders>
              <w:top w:val="nil"/>
              <w:left w:val="nil"/>
              <w:bottom w:val="single" w:sz="4" w:space="0" w:color="auto"/>
              <w:right w:val="nil"/>
            </w:tcBorders>
            <w:noWrap/>
            <w:vAlign w:val="bottom"/>
            <w:hideMark/>
          </w:tcPr>
          <w:p w14:paraId="363C35C9"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2023</w:t>
            </w:r>
          </w:p>
        </w:tc>
        <w:tc>
          <w:tcPr>
            <w:tcW w:w="1000" w:type="dxa"/>
            <w:tcBorders>
              <w:top w:val="nil"/>
              <w:left w:val="nil"/>
              <w:bottom w:val="single" w:sz="4" w:space="0" w:color="auto"/>
              <w:right w:val="nil"/>
            </w:tcBorders>
            <w:noWrap/>
            <w:vAlign w:val="bottom"/>
            <w:hideMark/>
          </w:tcPr>
          <w:p w14:paraId="3EE8306B"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86.6</w:t>
            </w:r>
          </w:p>
        </w:tc>
        <w:tc>
          <w:tcPr>
            <w:tcW w:w="1448" w:type="dxa"/>
            <w:tcBorders>
              <w:top w:val="nil"/>
              <w:left w:val="nil"/>
              <w:bottom w:val="single" w:sz="4" w:space="0" w:color="auto"/>
              <w:right w:val="nil"/>
            </w:tcBorders>
            <w:noWrap/>
            <w:vAlign w:val="bottom"/>
            <w:hideMark/>
          </w:tcPr>
          <w:p w14:paraId="6C964EE3"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1.0</w:t>
            </w:r>
          </w:p>
        </w:tc>
        <w:tc>
          <w:tcPr>
            <w:tcW w:w="1000" w:type="dxa"/>
            <w:tcBorders>
              <w:top w:val="nil"/>
              <w:left w:val="nil"/>
              <w:bottom w:val="single" w:sz="4" w:space="0" w:color="auto"/>
              <w:right w:val="nil"/>
            </w:tcBorders>
            <w:noWrap/>
            <w:vAlign w:val="bottom"/>
            <w:hideMark/>
          </w:tcPr>
          <w:p w14:paraId="5D5D4862"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0.6</w:t>
            </w:r>
          </w:p>
        </w:tc>
        <w:tc>
          <w:tcPr>
            <w:tcW w:w="1000" w:type="dxa"/>
            <w:tcBorders>
              <w:top w:val="nil"/>
              <w:left w:val="nil"/>
              <w:bottom w:val="single" w:sz="4" w:space="0" w:color="auto"/>
              <w:right w:val="nil"/>
            </w:tcBorders>
            <w:noWrap/>
            <w:vAlign w:val="bottom"/>
            <w:hideMark/>
          </w:tcPr>
          <w:p w14:paraId="5EAEC36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0.2</w:t>
            </w:r>
          </w:p>
        </w:tc>
        <w:tc>
          <w:tcPr>
            <w:tcW w:w="1000" w:type="dxa"/>
            <w:tcBorders>
              <w:top w:val="nil"/>
              <w:left w:val="nil"/>
              <w:bottom w:val="single" w:sz="4" w:space="0" w:color="auto"/>
              <w:right w:val="nil"/>
            </w:tcBorders>
            <w:noWrap/>
            <w:vAlign w:val="bottom"/>
            <w:hideMark/>
          </w:tcPr>
          <w:p w14:paraId="718BEEA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9.2</w:t>
            </w:r>
          </w:p>
        </w:tc>
        <w:tc>
          <w:tcPr>
            <w:tcW w:w="1000" w:type="dxa"/>
            <w:tcBorders>
              <w:top w:val="nil"/>
              <w:left w:val="nil"/>
              <w:bottom w:val="single" w:sz="4" w:space="0" w:color="auto"/>
              <w:right w:val="single" w:sz="4" w:space="0" w:color="auto"/>
            </w:tcBorders>
            <w:noWrap/>
            <w:vAlign w:val="bottom"/>
            <w:hideMark/>
          </w:tcPr>
          <w:p w14:paraId="2050915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2.4</w:t>
            </w:r>
          </w:p>
        </w:tc>
      </w:tr>
      <w:tr w:rsidR="0086185B" w:rsidRPr="003E2AB1" w14:paraId="54805B55" w14:textId="77777777" w:rsidTr="00206E87">
        <w:trPr>
          <w:trHeight w:val="312"/>
        </w:trPr>
        <w:tc>
          <w:tcPr>
            <w:tcW w:w="1872" w:type="dxa"/>
            <w:vMerge w:val="restart"/>
            <w:tcBorders>
              <w:top w:val="nil"/>
              <w:left w:val="single" w:sz="4" w:space="0" w:color="auto"/>
              <w:bottom w:val="single" w:sz="4" w:space="0" w:color="000000"/>
              <w:right w:val="nil"/>
            </w:tcBorders>
            <w:noWrap/>
            <w:vAlign w:val="center"/>
            <w:hideMark/>
          </w:tcPr>
          <w:p w14:paraId="6BC46B61" w14:textId="77777777" w:rsidR="0086185B" w:rsidRPr="003E2AB1" w:rsidRDefault="0086185B" w:rsidP="00206E87">
            <w:pPr>
              <w:spacing w:after="0" w:line="240" w:lineRule="auto"/>
              <w:rPr>
                <w:rFonts w:eastAsia="Times New Roman" w:cs="Times New Roman"/>
                <w:color w:val="000000"/>
                <w:kern w:val="0"/>
                <w14:ligatures w14:val="none"/>
              </w:rPr>
            </w:pPr>
            <w:r w:rsidRPr="003E2AB1">
              <w:rPr>
                <w:rFonts w:eastAsia="Times New Roman" w:cs="Times New Roman"/>
                <w:color w:val="000000"/>
                <w:kern w:val="0"/>
                <w14:ligatures w14:val="none"/>
              </w:rPr>
              <w:t>Natural Gas CT</w:t>
            </w:r>
          </w:p>
        </w:tc>
        <w:tc>
          <w:tcPr>
            <w:tcW w:w="748" w:type="dxa"/>
            <w:tcBorders>
              <w:top w:val="nil"/>
              <w:left w:val="nil"/>
              <w:bottom w:val="nil"/>
              <w:right w:val="nil"/>
            </w:tcBorders>
            <w:noWrap/>
            <w:vAlign w:val="bottom"/>
            <w:hideMark/>
          </w:tcPr>
          <w:p w14:paraId="69585A0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1995</w:t>
            </w:r>
          </w:p>
        </w:tc>
        <w:tc>
          <w:tcPr>
            <w:tcW w:w="1000" w:type="dxa"/>
            <w:tcBorders>
              <w:top w:val="nil"/>
              <w:left w:val="nil"/>
              <w:bottom w:val="nil"/>
              <w:right w:val="nil"/>
            </w:tcBorders>
            <w:noWrap/>
            <w:vAlign w:val="bottom"/>
            <w:hideMark/>
          </w:tcPr>
          <w:p w14:paraId="7D83A1A0"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76.5</w:t>
            </w:r>
          </w:p>
        </w:tc>
        <w:tc>
          <w:tcPr>
            <w:tcW w:w="1448" w:type="dxa"/>
            <w:tcBorders>
              <w:top w:val="nil"/>
              <w:left w:val="nil"/>
              <w:bottom w:val="nil"/>
              <w:right w:val="nil"/>
            </w:tcBorders>
            <w:noWrap/>
            <w:vAlign w:val="bottom"/>
            <w:hideMark/>
          </w:tcPr>
          <w:p w14:paraId="3DDC6F76"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w:t>
            </w:r>
          </w:p>
        </w:tc>
        <w:tc>
          <w:tcPr>
            <w:tcW w:w="1000" w:type="dxa"/>
            <w:tcBorders>
              <w:top w:val="nil"/>
              <w:left w:val="nil"/>
              <w:bottom w:val="nil"/>
              <w:right w:val="nil"/>
            </w:tcBorders>
            <w:noWrap/>
            <w:vAlign w:val="bottom"/>
            <w:hideMark/>
          </w:tcPr>
          <w:p w14:paraId="4CACD0EB"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1.7</w:t>
            </w:r>
          </w:p>
        </w:tc>
        <w:tc>
          <w:tcPr>
            <w:tcW w:w="1000" w:type="dxa"/>
            <w:tcBorders>
              <w:top w:val="nil"/>
              <w:left w:val="nil"/>
              <w:bottom w:val="nil"/>
              <w:right w:val="nil"/>
            </w:tcBorders>
            <w:noWrap/>
            <w:vAlign w:val="bottom"/>
            <w:hideMark/>
          </w:tcPr>
          <w:p w14:paraId="1CD7930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2.1</w:t>
            </w:r>
          </w:p>
        </w:tc>
        <w:tc>
          <w:tcPr>
            <w:tcW w:w="1000" w:type="dxa"/>
            <w:tcBorders>
              <w:top w:val="nil"/>
              <w:left w:val="nil"/>
              <w:bottom w:val="nil"/>
              <w:right w:val="nil"/>
            </w:tcBorders>
            <w:noWrap/>
            <w:vAlign w:val="bottom"/>
            <w:hideMark/>
          </w:tcPr>
          <w:p w14:paraId="15311EB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14.3</w:t>
            </w:r>
          </w:p>
        </w:tc>
        <w:tc>
          <w:tcPr>
            <w:tcW w:w="1000" w:type="dxa"/>
            <w:tcBorders>
              <w:top w:val="nil"/>
              <w:left w:val="nil"/>
              <w:bottom w:val="nil"/>
              <w:right w:val="single" w:sz="4" w:space="0" w:color="auto"/>
            </w:tcBorders>
            <w:noWrap/>
            <w:vAlign w:val="bottom"/>
            <w:hideMark/>
          </w:tcPr>
          <w:p w14:paraId="1874D0F1"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3.4</w:t>
            </w:r>
          </w:p>
        </w:tc>
      </w:tr>
      <w:tr w:rsidR="0086185B" w:rsidRPr="003E2AB1" w14:paraId="04B628F7" w14:textId="77777777" w:rsidTr="00206E87">
        <w:trPr>
          <w:trHeight w:val="312"/>
        </w:trPr>
        <w:tc>
          <w:tcPr>
            <w:tcW w:w="1872" w:type="dxa"/>
            <w:vMerge/>
            <w:tcBorders>
              <w:top w:val="nil"/>
              <w:left w:val="single" w:sz="4" w:space="0" w:color="auto"/>
              <w:bottom w:val="single" w:sz="4" w:space="0" w:color="000000"/>
              <w:right w:val="nil"/>
            </w:tcBorders>
            <w:vAlign w:val="center"/>
            <w:hideMark/>
          </w:tcPr>
          <w:p w14:paraId="5B3CA50B" w14:textId="77777777" w:rsidR="0086185B" w:rsidRPr="003E2AB1" w:rsidRDefault="0086185B" w:rsidP="00206E87">
            <w:pPr>
              <w:spacing w:after="0" w:line="240" w:lineRule="auto"/>
              <w:rPr>
                <w:rFonts w:eastAsia="Times New Roman" w:cs="Times New Roman"/>
                <w:color w:val="000000"/>
                <w:kern w:val="0"/>
                <w14:ligatures w14:val="none"/>
              </w:rPr>
            </w:pPr>
          </w:p>
        </w:tc>
        <w:tc>
          <w:tcPr>
            <w:tcW w:w="748" w:type="dxa"/>
            <w:tcBorders>
              <w:top w:val="nil"/>
              <w:left w:val="nil"/>
              <w:bottom w:val="single" w:sz="4" w:space="0" w:color="auto"/>
              <w:right w:val="nil"/>
            </w:tcBorders>
            <w:noWrap/>
            <w:vAlign w:val="bottom"/>
            <w:hideMark/>
          </w:tcPr>
          <w:p w14:paraId="409476AE"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2023</w:t>
            </w:r>
          </w:p>
        </w:tc>
        <w:tc>
          <w:tcPr>
            <w:tcW w:w="1000" w:type="dxa"/>
            <w:tcBorders>
              <w:top w:val="nil"/>
              <w:left w:val="nil"/>
              <w:bottom w:val="single" w:sz="4" w:space="0" w:color="auto"/>
              <w:right w:val="nil"/>
            </w:tcBorders>
            <w:noWrap/>
            <w:vAlign w:val="bottom"/>
            <w:hideMark/>
          </w:tcPr>
          <w:p w14:paraId="1A99C95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82.6</w:t>
            </w:r>
          </w:p>
        </w:tc>
        <w:tc>
          <w:tcPr>
            <w:tcW w:w="1448" w:type="dxa"/>
            <w:tcBorders>
              <w:top w:val="nil"/>
              <w:left w:val="nil"/>
              <w:bottom w:val="single" w:sz="4" w:space="0" w:color="auto"/>
              <w:right w:val="nil"/>
            </w:tcBorders>
            <w:noWrap/>
            <w:vAlign w:val="bottom"/>
            <w:hideMark/>
          </w:tcPr>
          <w:p w14:paraId="18CD665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1.1</w:t>
            </w:r>
          </w:p>
        </w:tc>
        <w:tc>
          <w:tcPr>
            <w:tcW w:w="1000" w:type="dxa"/>
            <w:tcBorders>
              <w:top w:val="nil"/>
              <w:left w:val="nil"/>
              <w:bottom w:val="single" w:sz="4" w:space="0" w:color="auto"/>
              <w:right w:val="nil"/>
            </w:tcBorders>
            <w:noWrap/>
            <w:vAlign w:val="bottom"/>
            <w:hideMark/>
          </w:tcPr>
          <w:p w14:paraId="1ADD0F99"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0.8</w:t>
            </w:r>
          </w:p>
        </w:tc>
        <w:tc>
          <w:tcPr>
            <w:tcW w:w="1000" w:type="dxa"/>
            <w:tcBorders>
              <w:top w:val="nil"/>
              <w:left w:val="nil"/>
              <w:bottom w:val="single" w:sz="4" w:space="0" w:color="auto"/>
              <w:right w:val="nil"/>
            </w:tcBorders>
            <w:noWrap/>
            <w:vAlign w:val="bottom"/>
            <w:hideMark/>
          </w:tcPr>
          <w:p w14:paraId="2DAC2631"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0.3</w:t>
            </w:r>
          </w:p>
        </w:tc>
        <w:tc>
          <w:tcPr>
            <w:tcW w:w="1000" w:type="dxa"/>
            <w:tcBorders>
              <w:top w:val="nil"/>
              <w:left w:val="nil"/>
              <w:bottom w:val="single" w:sz="4" w:space="0" w:color="auto"/>
              <w:right w:val="nil"/>
            </w:tcBorders>
            <w:noWrap/>
            <w:vAlign w:val="bottom"/>
            <w:hideMark/>
          </w:tcPr>
          <w:p w14:paraId="4041F5D3"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12.8</w:t>
            </w:r>
          </w:p>
        </w:tc>
        <w:tc>
          <w:tcPr>
            <w:tcW w:w="1000" w:type="dxa"/>
            <w:tcBorders>
              <w:top w:val="nil"/>
              <w:left w:val="nil"/>
              <w:bottom w:val="single" w:sz="4" w:space="0" w:color="auto"/>
              <w:right w:val="single" w:sz="4" w:space="0" w:color="auto"/>
            </w:tcBorders>
            <w:noWrap/>
            <w:vAlign w:val="bottom"/>
            <w:hideMark/>
          </w:tcPr>
          <w:p w14:paraId="3D807931"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2.4</w:t>
            </w:r>
          </w:p>
        </w:tc>
      </w:tr>
      <w:tr w:rsidR="0086185B" w:rsidRPr="003E2AB1" w14:paraId="21AA557E" w14:textId="77777777" w:rsidTr="00206E87">
        <w:trPr>
          <w:trHeight w:val="312"/>
        </w:trPr>
        <w:tc>
          <w:tcPr>
            <w:tcW w:w="1872" w:type="dxa"/>
            <w:vMerge w:val="restart"/>
            <w:tcBorders>
              <w:top w:val="nil"/>
              <w:left w:val="single" w:sz="4" w:space="0" w:color="auto"/>
              <w:bottom w:val="single" w:sz="4" w:space="0" w:color="000000"/>
              <w:right w:val="nil"/>
            </w:tcBorders>
            <w:noWrap/>
            <w:vAlign w:val="center"/>
            <w:hideMark/>
          </w:tcPr>
          <w:p w14:paraId="5B4E4F3D" w14:textId="77777777" w:rsidR="0086185B" w:rsidRPr="003E2AB1" w:rsidRDefault="0086185B" w:rsidP="00206E87">
            <w:pPr>
              <w:spacing w:after="0" w:line="240" w:lineRule="auto"/>
              <w:rPr>
                <w:rFonts w:eastAsia="Times New Roman" w:cs="Times New Roman"/>
                <w:color w:val="000000"/>
                <w:kern w:val="0"/>
                <w14:ligatures w14:val="none"/>
              </w:rPr>
            </w:pPr>
            <w:r w:rsidRPr="003E2AB1">
              <w:rPr>
                <w:rFonts w:eastAsia="Times New Roman" w:cs="Times New Roman"/>
                <w:color w:val="000000"/>
                <w:kern w:val="0"/>
                <w14:ligatures w14:val="none"/>
              </w:rPr>
              <w:t>Nuclear</w:t>
            </w:r>
          </w:p>
        </w:tc>
        <w:tc>
          <w:tcPr>
            <w:tcW w:w="748" w:type="dxa"/>
            <w:tcBorders>
              <w:top w:val="nil"/>
              <w:left w:val="nil"/>
              <w:bottom w:val="nil"/>
              <w:right w:val="nil"/>
            </w:tcBorders>
            <w:noWrap/>
            <w:vAlign w:val="bottom"/>
            <w:hideMark/>
          </w:tcPr>
          <w:p w14:paraId="6642CA3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1995</w:t>
            </w:r>
          </w:p>
        </w:tc>
        <w:tc>
          <w:tcPr>
            <w:tcW w:w="1000" w:type="dxa"/>
            <w:tcBorders>
              <w:top w:val="nil"/>
              <w:left w:val="nil"/>
              <w:bottom w:val="nil"/>
              <w:right w:val="nil"/>
            </w:tcBorders>
            <w:noWrap/>
            <w:vAlign w:val="bottom"/>
            <w:hideMark/>
          </w:tcPr>
          <w:p w14:paraId="2B55D317"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27.7</w:t>
            </w:r>
          </w:p>
        </w:tc>
        <w:tc>
          <w:tcPr>
            <w:tcW w:w="1448" w:type="dxa"/>
            <w:tcBorders>
              <w:top w:val="nil"/>
              <w:left w:val="nil"/>
              <w:bottom w:val="nil"/>
              <w:right w:val="nil"/>
            </w:tcBorders>
            <w:noWrap/>
            <w:vAlign w:val="bottom"/>
            <w:hideMark/>
          </w:tcPr>
          <w:p w14:paraId="168FEB08"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6.7</w:t>
            </w:r>
          </w:p>
        </w:tc>
        <w:tc>
          <w:tcPr>
            <w:tcW w:w="1000" w:type="dxa"/>
            <w:tcBorders>
              <w:top w:val="nil"/>
              <w:left w:val="nil"/>
              <w:bottom w:val="nil"/>
              <w:right w:val="nil"/>
            </w:tcBorders>
            <w:noWrap/>
            <w:vAlign w:val="bottom"/>
            <w:hideMark/>
          </w:tcPr>
          <w:p w14:paraId="2A3844EF"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5.4</w:t>
            </w:r>
          </w:p>
        </w:tc>
        <w:tc>
          <w:tcPr>
            <w:tcW w:w="1000" w:type="dxa"/>
            <w:tcBorders>
              <w:top w:val="nil"/>
              <w:left w:val="nil"/>
              <w:bottom w:val="nil"/>
              <w:right w:val="nil"/>
            </w:tcBorders>
            <w:noWrap/>
            <w:vAlign w:val="bottom"/>
            <w:hideMark/>
          </w:tcPr>
          <w:p w14:paraId="4BB9530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7.7</w:t>
            </w:r>
          </w:p>
        </w:tc>
        <w:tc>
          <w:tcPr>
            <w:tcW w:w="1000" w:type="dxa"/>
            <w:tcBorders>
              <w:top w:val="nil"/>
              <w:left w:val="nil"/>
              <w:bottom w:val="nil"/>
              <w:right w:val="nil"/>
            </w:tcBorders>
            <w:noWrap/>
            <w:vAlign w:val="bottom"/>
            <w:hideMark/>
          </w:tcPr>
          <w:p w14:paraId="1FB3E57A"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33.1</w:t>
            </w:r>
          </w:p>
        </w:tc>
        <w:tc>
          <w:tcPr>
            <w:tcW w:w="1000" w:type="dxa"/>
            <w:tcBorders>
              <w:top w:val="nil"/>
              <w:left w:val="nil"/>
              <w:bottom w:val="nil"/>
              <w:right w:val="single" w:sz="4" w:space="0" w:color="auto"/>
            </w:tcBorders>
            <w:noWrap/>
            <w:vAlign w:val="bottom"/>
            <w:hideMark/>
          </w:tcPr>
          <w:p w14:paraId="5377454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19.5</w:t>
            </w:r>
          </w:p>
        </w:tc>
      </w:tr>
      <w:tr w:rsidR="0086185B" w:rsidRPr="003E2AB1" w14:paraId="37C6BF42" w14:textId="77777777" w:rsidTr="00206E87">
        <w:trPr>
          <w:trHeight w:val="312"/>
        </w:trPr>
        <w:tc>
          <w:tcPr>
            <w:tcW w:w="1872" w:type="dxa"/>
            <w:vMerge/>
            <w:tcBorders>
              <w:top w:val="nil"/>
              <w:left w:val="single" w:sz="4" w:space="0" w:color="auto"/>
              <w:bottom w:val="single" w:sz="4" w:space="0" w:color="000000"/>
              <w:right w:val="nil"/>
            </w:tcBorders>
            <w:vAlign w:val="center"/>
            <w:hideMark/>
          </w:tcPr>
          <w:p w14:paraId="1E9E974B" w14:textId="77777777" w:rsidR="0086185B" w:rsidRPr="003E2AB1" w:rsidRDefault="0086185B" w:rsidP="00206E87">
            <w:pPr>
              <w:spacing w:after="0" w:line="240" w:lineRule="auto"/>
              <w:rPr>
                <w:rFonts w:eastAsia="Times New Roman" w:cs="Times New Roman"/>
                <w:color w:val="000000"/>
                <w:kern w:val="0"/>
                <w14:ligatures w14:val="none"/>
              </w:rPr>
            </w:pPr>
          </w:p>
        </w:tc>
        <w:tc>
          <w:tcPr>
            <w:tcW w:w="748" w:type="dxa"/>
            <w:tcBorders>
              <w:top w:val="nil"/>
              <w:left w:val="nil"/>
              <w:bottom w:val="single" w:sz="4" w:space="0" w:color="auto"/>
              <w:right w:val="nil"/>
            </w:tcBorders>
            <w:noWrap/>
            <w:vAlign w:val="bottom"/>
            <w:hideMark/>
          </w:tcPr>
          <w:p w14:paraId="451EEDE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2023</w:t>
            </w:r>
          </w:p>
        </w:tc>
        <w:tc>
          <w:tcPr>
            <w:tcW w:w="1000" w:type="dxa"/>
            <w:tcBorders>
              <w:top w:val="nil"/>
              <w:left w:val="nil"/>
              <w:bottom w:val="single" w:sz="4" w:space="0" w:color="auto"/>
              <w:right w:val="nil"/>
            </w:tcBorders>
            <w:noWrap/>
            <w:vAlign w:val="bottom"/>
            <w:hideMark/>
          </w:tcPr>
          <w:p w14:paraId="4E990EE8"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20.2</w:t>
            </w:r>
          </w:p>
        </w:tc>
        <w:tc>
          <w:tcPr>
            <w:tcW w:w="1448" w:type="dxa"/>
            <w:tcBorders>
              <w:top w:val="nil"/>
              <w:left w:val="nil"/>
              <w:bottom w:val="single" w:sz="4" w:space="0" w:color="auto"/>
              <w:right w:val="nil"/>
            </w:tcBorders>
            <w:noWrap/>
            <w:vAlign w:val="bottom"/>
            <w:hideMark/>
          </w:tcPr>
          <w:p w14:paraId="60DDB445"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7.9</w:t>
            </w:r>
          </w:p>
        </w:tc>
        <w:tc>
          <w:tcPr>
            <w:tcW w:w="1000" w:type="dxa"/>
            <w:tcBorders>
              <w:top w:val="nil"/>
              <w:left w:val="nil"/>
              <w:bottom w:val="single" w:sz="4" w:space="0" w:color="auto"/>
              <w:right w:val="nil"/>
            </w:tcBorders>
            <w:noWrap/>
            <w:vAlign w:val="bottom"/>
            <w:hideMark/>
          </w:tcPr>
          <w:p w14:paraId="34599AAD"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4.7</w:t>
            </w:r>
          </w:p>
        </w:tc>
        <w:tc>
          <w:tcPr>
            <w:tcW w:w="1000" w:type="dxa"/>
            <w:tcBorders>
              <w:top w:val="nil"/>
              <w:left w:val="nil"/>
              <w:bottom w:val="single" w:sz="4" w:space="0" w:color="auto"/>
              <w:right w:val="nil"/>
            </w:tcBorders>
            <w:noWrap/>
            <w:vAlign w:val="bottom"/>
            <w:hideMark/>
          </w:tcPr>
          <w:p w14:paraId="6C8FAFFE"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5.5</w:t>
            </w:r>
          </w:p>
        </w:tc>
        <w:tc>
          <w:tcPr>
            <w:tcW w:w="1000" w:type="dxa"/>
            <w:tcBorders>
              <w:top w:val="nil"/>
              <w:left w:val="nil"/>
              <w:bottom w:val="single" w:sz="4" w:space="0" w:color="auto"/>
              <w:right w:val="nil"/>
            </w:tcBorders>
            <w:noWrap/>
            <w:vAlign w:val="bottom"/>
            <w:hideMark/>
          </w:tcPr>
          <w:p w14:paraId="5F5F989C"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36.1</w:t>
            </w:r>
          </w:p>
        </w:tc>
        <w:tc>
          <w:tcPr>
            <w:tcW w:w="1000" w:type="dxa"/>
            <w:tcBorders>
              <w:top w:val="nil"/>
              <w:left w:val="nil"/>
              <w:bottom w:val="single" w:sz="4" w:space="0" w:color="auto"/>
              <w:right w:val="single" w:sz="4" w:space="0" w:color="auto"/>
            </w:tcBorders>
            <w:noWrap/>
            <w:vAlign w:val="bottom"/>
            <w:hideMark/>
          </w:tcPr>
          <w:p w14:paraId="716E83E4" w14:textId="77777777" w:rsidR="0086185B" w:rsidRPr="003E2AB1" w:rsidRDefault="0086185B" w:rsidP="00206E87">
            <w:pPr>
              <w:spacing w:after="0" w:line="240" w:lineRule="auto"/>
              <w:jc w:val="right"/>
              <w:rPr>
                <w:rFonts w:eastAsia="Times New Roman" w:cs="Times New Roman"/>
                <w:color w:val="000000"/>
                <w:kern w:val="0"/>
                <w14:ligatures w14:val="none"/>
              </w:rPr>
            </w:pPr>
            <w:r w:rsidRPr="003E2AB1">
              <w:rPr>
                <w:rFonts w:eastAsia="Times New Roman" w:cs="Times New Roman"/>
                <w:color w:val="000000"/>
                <w:kern w:val="0"/>
                <w14:ligatures w14:val="none"/>
              </w:rPr>
              <w:t>25.5</w:t>
            </w:r>
          </w:p>
        </w:tc>
      </w:tr>
    </w:tbl>
    <w:p w14:paraId="5EA42383" w14:textId="77777777" w:rsidR="0086185B" w:rsidRDefault="0086185B" w:rsidP="0086185B"/>
    <w:p w14:paraId="38036EFC" w14:textId="5A1D254A" w:rsidR="0086185B" w:rsidRPr="00EF63FB" w:rsidRDefault="001F0A5D" w:rsidP="008D3619">
      <w:pPr>
        <w:spacing w:line="480" w:lineRule="auto"/>
        <w:ind w:firstLine="720"/>
      </w:pPr>
      <w:r>
        <w:fldChar w:fldCharType="begin"/>
      </w:r>
      <w:r>
        <w:instrText xml:space="preserve"> REF _Ref216871009 \h </w:instrText>
      </w:r>
      <w:r w:rsidR="008D3619">
        <w:instrText xml:space="preserve"> \* MERGEFORMAT </w:instrText>
      </w:r>
      <w:r>
        <w:fldChar w:fldCharType="separate"/>
      </w:r>
      <w:r w:rsidR="00CD17CC">
        <w:t xml:space="preserve">Table </w:t>
      </w:r>
      <w:r w:rsidR="00CD17CC">
        <w:rPr>
          <w:noProof/>
        </w:rPr>
        <w:t>5</w:t>
      </w:r>
      <w:r>
        <w:fldChar w:fldCharType="end"/>
      </w:r>
      <w:r>
        <w:t xml:space="preserve"> compares observed operating expenses in 2023 from Form 1 with an equivalent amount derived from the Annual Technology Baseline (ATB) industry benchmark. ATB provides annually-fixed and variable operational cost components for these technology categories. An </w:t>
      </w:r>
      <w:r w:rsidR="00A810D1">
        <w:t>comparable</w:t>
      </w:r>
      <w:r>
        <w:t xml:space="preserve"> annual operating expenditure was constructed from the ATB</w:t>
      </w:r>
      <w:r w:rsidR="00A810D1">
        <w:t xml:space="preserve"> </w:t>
      </w:r>
      <w:r>
        <w:t xml:space="preserve">using </w:t>
      </w:r>
      <w:r w:rsidR="00A810D1">
        <w:t>the average unit size and capacity factor for each technology group observed in Form 1.</w:t>
      </w:r>
      <w:r w:rsidR="00967E54">
        <w:t xml:space="preserve"> The comparison shows that observed operating expenditures for coal and natural gas in 2023 in the FERC dataset are significantly lower than ATB benchmark values for new plants of similar technology. Observed operating expenditures for nuclear plants were slightly higher than the industry benchmark. The ATB benchmark represents forward-looking cost expectations that may include operating-</w:t>
      </w:r>
      <w:r w:rsidR="00967E54">
        <w:lastRenderedPageBreak/>
        <w:t>expense assumptions that are different from the existing plants observed in Form 1.  The exact causes of these differences are left for future research to determine.</w:t>
      </w:r>
    </w:p>
    <w:p w14:paraId="76C5799C" w14:textId="20468F41" w:rsidR="0086185B" w:rsidRDefault="0086185B" w:rsidP="006300E4">
      <w:pPr>
        <w:pStyle w:val="Caption"/>
      </w:pPr>
      <w:bookmarkStart w:id="9" w:name="_Ref216871009"/>
      <w:r>
        <w:t xml:space="preserve">Table </w:t>
      </w:r>
      <w:r w:rsidR="00BF3A2E">
        <w:fldChar w:fldCharType="begin"/>
      </w:r>
      <w:r w:rsidR="00BF3A2E">
        <w:instrText xml:space="preserve"> SEQ Table \* ARABIC </w:instrText>
      </w:r>
      <w:r w:rsidR="00BF3A2E">
        <w:fldChar w:fldCharType="separate"/>
      </w:r>
      <w:r w:rsidR="00CD17CC">
        <w:rPr>
          <w:noProof/>
        </w:rPr>
        <w:t>5</w:t>
      </w:r>
      <w:r w:rsidR="00BF3A2E">
        <w:rPr>
          <w:noProof/>
        </w:rPr>
        <w:fldChar w:fldCharType="end"/>
      </w:r>
      <w:bookmarkEnd w:id="9"/>
      <w:r>
        <w:t xml:space="preserve"> </w:t>
      </w:r>
      <w:proofErr w:type="spellStart"/>
      <w:r>
        <w:t>Opex</w:t>
      </w:r>
      <w:proofErr w:type="spellEnd"/>
      <w:r>
        <w:t xml:space="preserve"> for average plant observed in FERC data </w:t>
      </w:r>
      <w:r w:rsidR="0028404F">
        <w:t xml:space="preserve">and </w:t>
      </w:r>
      <w:r>
        <w:t xml:space="preserve">a new </w:t>
      </w:r>
      <w:r w:rsidR="0028404F">
        <w:t xml:space="preserve">comparable </w:t>
      </w:r>
      <w:r>
        <w:t>plant from Annual Technology Baseline data.</w:t>
      </w:r>
    </w:p>
    <w:tbl>
      <w:tblPr>
        <w:tblStyle w:val="ListTable3"/>
        <w:tblW w:w="5191" w:type="dxa"/>
        <w:jc w:val="center"/>
        <w:tblLook w:val="04A0" w:firstRow="1" w:lastRow="0" w:firstColumn="1" w:lastColumn="0" w:noHBand="0" w:noVBand="1"/>
      </w:tblPr>
      <w:tblGrid>
        <w:gridCol w:w="2065"/>
        <w:gridCol w:w="1615"/>
        <w:gridCol w:w="1511"/>
      </w:tblGrid>
      <w:tr w:rsidR="0086185B" w:rsidRPr="00212F34" w14:paraId="7039E45E" w14:textId="77777777" w:rsidTr="00206E87">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100" w:firstRow="0" w:lastRow="0" w:firstColumn="1" w:lastColumn="0" w:oddVBand="0" w:evenVBand="0" w:oddHBand="0" w:evenHBand="0" w:firstRowFirstColumn="1" w:firstRowLastColumn="0" w:lastRowFirstColumn="0" w:lastRowLastColumn="0"/>
            <w:tcW w:w="2065" w:type="dxa"/>
            <w:vAlign w:val="center"/>
          </w:tcPr>
          <w:p w14:paraId="10D73B21" w14:textId="77777777" w:rsidR="0086185B" w:rsidRDefault="0086185B" w:rsidP="00206E87">
            <w:pPr>
              <w:rPr>
                <w:rFonts w:eastAsia="Times New Roman" w:cs="Times New Roman"/>
                <w:kern w:val="0"/>
                <w14:ligatures w14:val="none"/>
              </w:rPr>
            </w:pPr>
            <w:r>
              <w:rPr>
                <w:rFonts w:eastAsia="Times New Roman" w:cs="Times New Roman"/>
                <w:kern w:val="0"/>
                <w14:ligatures w14:val="none"/>
              </w:rPr>
              <w:t>Technology Group</w:t>
            </w:r>
          </w:p>
        </w:tc>
        <w:tc>
          <w:tcPr>
            <w:tcW w:w="1615" w:type="dxa"/>
            <w:noWrap/>
            <w:vAlign w:val="center"/>
            <w:hideMark/>
          </w:tcPr>
          <w:p w14:paraId="2C04125E" w14:textId="77777777" w:rsidR="0086185B" w:rsidRPr="00212F34" w:rsidRDefault="0086185B" w:rsidP="00AD3164">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 xml:space="preserve">Avg Plant </w:t>
            </w:r>
            <w:proofErr w:type="spellStart"/>
            <w:r>
              <w:rPr>
                <w:rFonts w:eastAsia="Times New Roman" w:cs="Times New Roman"/>
                <w:kern w:val="0"/>
                <w14:ligatures w14:val="none"/>
              </w:rPr>
              <w:t>Opex</w:t>
            </w:r>
            <w:proofErr w:type="spellEnd"/>
            <w:r>
              <w:rPr>
                <w:rFonts w:eastAsia="Times New Roman" w:cs="Times New Roman"/>
                <w:kern w:val="0"/>
                <w14:ligatures w14:val="none"/>
              </w:rPr>
              <w:t>, 2023</w:t>
            </w:r>
          </w:p>
        </w:tc>
        <w:tc>
          <w:tcPr>
            <w:tcW w:w="1511" w:type="dxa"/>
            <w:noWrap/>
            <w:vAlign w:val="center"/>
            <w:hideMark/>
          </w:tcPr>
          <w:p w14:paraId="33416E86" w14:textId="77777777" w:rsidR="0086185B" w:rsidRPr="00212F34" w:rsidRDefault="0086185B" w:rsidP="00AD3164">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Pr>
                <w:rFonts w:eastAsia="Times New Roman" w:cs="Times New Roman"/>
                <w:kern w:val="0"/>
                <w14:ligatures w14:val="none"/>
              </w:rPr>
              <w:t xml:space="preserve">ATB </w:t>
            </w:r>
            <w:proofErr w:type="spellStart"/>
            <w:r>
              <w:rPr>
                <w:rFonts w:eastAsia="Times New Roman" w:cs="Times New Roman"/>
                <w:kern w:val="0"/>
                <w14:ligatures w14:val="none"/>
              </w:rPr>
              <w:t>Opex</w:t>
            </w:r>
            <w:proofErr w:type="spellEnd"/>
            <w:r>
              <w:rPr>
                <w:rFonts w:eastAsia="Times New Roman" w:cs="Times New Roman"/>
                <w:kern w:val="0"/>
                <w14:ligatures w14:val="none"/>
              </w:rPr>
              <w:t>, 2023</w:t>
            </w:r>
          </w:p>
        </w:tc>
      </w:tr>
      <w:tr w:rsidR="0086185B" w:rsidRPr="00212F34" w14:paraId="486A937D" w14:textId="77777777" w:rsidTr="00206E8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77FAD43E" w14:textId="77777777" w:rsidR="0086185B" w:rsidRPr="00212F34" w:rsidRDefault="0086185B" w:rsidP="00206E87">
            <w:pPr>
              <w:rPr>
                <w:rFonts w:eastAsia="Times New Roman" w:cs="Times New Roman"/>
                <w:b w:val="0"/>
                <w:bCs w:val="0"/>
                <w:color w:val="000000"/>
                <w:kern w:val="0"/>
                <w14:ligatures w14:val="none"/>
              </w:rPr>
            </w:pPr>
            <w:r w:rsidRPr="00212F34">
              <w:rPr>
                <w:rFonts w:eastAsia="Times New Roman" w:cs="Times New Roman"/>
                <w:b w:val="0"/>
                <w:bCs w:val="0"/>
                <w:color w:val="000000"/>
                <w:kern w:val="0"/>
                <w14:ligatures w14:val="none"/>
              </w:rPr>
              <w:t>Coal</w:t>
            </w:r>
          </w:p>
        </w:tc>
        <w:tc>
          <w:tcPr>
            <w:tcW w:w="1615" w:type="dxa"/>
            <w:noWrap/>
            <w:vAlign w:val="center"/>
            <w:hideMark/>
          </w:tcPr>
          <w:p w14:paraId="6CAD5684" w14:textId="77777777" w:rsidR="0086185B" w:rsidRPr="00212F34" w:rsidRDefault="0086185B" w:rsidP="00AD316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33,888,448 </w:t>
            </w:r>
          </w:p>
        </w:tc>
        <w:tc>
          <w:tcPr>
            <w:tcW w:w="1511" w:type="dxa"/>
            <w:noWrap/>
            <w:vAlign w:val="center"/>
            <w:hideMark/>
          </w:tcPr>
          <w:p w14:paraId="50DCF9DE" w14:textId="77777777" w:rsidR="0086185B" w:rsidRPr="00212F34" w:rsidRDefault="0086185B" w:rsidP="00AD316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79,098,652 </w:t>
            </w:r>
          </w:p>
        </w:tc>
      </w:tr>
      <w:tr w:rsidR="0086185B" w:rsidRPr="00212F34" w14:paraId="06CE02C1" w14:textId="77777777" w:rsidTr="00206E87">
        <w:trPr>
          <w:trHeight w:val="432"/>
          <w:jc w:val="center"/>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3BA8F415" w14:textId="77777777" w:rsidR="0086185B" w:rsidRPr="00212F34" w:rsidRDefault="0086185B" w:rsidP="00206E87">
            <w:pPr>
              <w:rPr>
                <w:rFonts w:eastAsia="Times New Roman" w:cs="Times New Roman"/>
                <w:b w:val="0"/>
                <w:bCs w:val="0"/>
                <w:color w:val="000000"/>
                <w:kern w:val="0"/>
                <w14:ligatures w14:val="none"/>
              </w:rPr>
            </w:pPr>
            <w:r w:rsidRPr="00212F34">
              <w:rPr>
                <w:rFonts w:eastAsia="Times New Roman" w:cs="Times New Roman"/>
                <w:b w:val="0"/>
                <w:bCs w:val="0"/>
                <w:color w:val="000000"/>
                <w:kern w:val="0"/>
                <w14:ligatures w14:val="none"/>
              </w:rPr>
              <w:t>Natural Gas CC</w:t>
            </w:r>
          </w:p>
        </w:tc>
        <w:tc>
          <w:tcPr>
            <w:tcW w:w="1615" w:type="dxa"/>
            <w:noWrap/>
            <w:vAlign w:val="center"/>
            <w:hideMark/>
          </w:tcPr>
          <w:p w14:paraId="5BA8A304" w14:textId="77777777" w:rsidR="0086185B" w:rsidRPr="00212F34" w:rsidRDefault="0086185B" w:rsidP="00AD316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15,370,010 </w:t>
            </w:r>
          </w:p>
        </w:tc>
        <w:tc>
          <w:tcPr>
            <w:tcW w:w="1511" w:type="dxa"/>
            <w:noWrap/>
            <w:vAlign w:val="center"/>
            <w:hideMark/>
          </w:tcPr>
          <w:p w14:paraId="6F82C50A" w14:textId="77777777" w:rsidR="0086185B" w:rsidRPr="00212F34" w:rsidRDefault="0086185B" w:rsidP="00AD316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26,441,293 </w:t>
            </w:r>
          </w:p>
        </w:tc>
      </w:tr>
      <w:tr w:rsidR="0086185B" w:rsidRPr="00212F34" w14:paraId="52444E3D" w14:textId="77777777" w:rsidTr="00206E87">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284C4BCE" w14:textId="77777777" w:rsidR="0086185B" w:rsidRPr="00212F34" w:rsidRDefault="0086185B" w:rsidP="00206E87">
            <w:pPr>
              <w:rPr>
                <w:rFonts w:eastAsia="Times New Roman" w:cs="Times New Roman"/>
                <w:b w:val="0"/>
                <w:bCs w:val="0"/>
                <w:color w:val="000000"/>
                <w:kern w:val="0"/>
                <w14:ligatures w14:val="none"/>
              </w:rPr>
            </w:pPr>
            <w:r w:rsidRPr="00212F34">
              <w:rPr>
                <w:rFonts w:eastAsia="Times New Roman" w:cs="Times New Roman"/>
                <w:b w:val="0"/>
                <w:bCs w:val="0"/>
                <w:color w:val="000000"/>
                <w:kern w:val="0"/>
                <w14:ligatures w14:val="none"/>
              </w:rPr>
              <w:t>Natural Gas CT</w:t>
            </w:r>
          </w:p>
        </w:tc>
        <w:tc>
          <w:tcPr>
            <w:tcW w:w="1615" w:type="dxa"/>
            <w:noWrap/>
            <w:vAlign w:val="center"/>
            <w:hideMark/>
          </w:tcPr>
          <w:p w14:paraId="1204DF54" w14:textId="77777777" w:rsidR="0086185B" w:rsidRPr="00212F34" w:rsidRDefault="0086185B" w:rsidP="00AD316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2,301,615 </w:t>
            </w:r>
          </w:p>
        </w:tc>
        <w:tc>
          <w:tcPr>
            <w:tcW w:w="1511" w:type="dxa"/>
            <w:noWrap/>
            <w:vAlign w:val="center"/>
            <w:hideMark/>
          </w:tcPr>
          <w:p w14:paraId="5FF8438C" w14:textId="77777777" w:rsidR="0086185B" w:rsidRPr="00212F34" w:rsidRDefault="0086185B" w:rsidP="00AD3164">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8,517,901 </w:t>
            </w:r>
          </w:p>
        </w:tc>
      </w:tr>
      <w:tr w:rsidR="0086185B" w:rsidRPr="00212F34" w14:paraId="3F14D604" w14:textId="77777777" w:rsidTr="00206E87">
        <w:trPr>
          <w:trHeight w:val="432"/>
          <w:jc w:val="center"/>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217A6815" w14:textId="77777777" w:rsidR="0086185B" w:rsidRPr="00212F34" w:rsidRDefault="0086185B" w:rsidP="00206E87">
            <w:pPr>
              <w:rPr>
                <w:rFonts w:eastAsia="Times New Roman" w:cs="Times New Roman"/>
                <w:b w:val="0"/>
                <w:bCs w:val="0"/>
                <w:color w:val="000000"/>
                <w:kern w:val="0"/>
                <w14:ligatures w14:val="none"/>
              </w:rPr>
            </w:pPr>
            <w:r w:rsidRPr="00212F34">
              <w:rPr>
                <w:rFonts w:eastAsia="Times New Roman" w:cs="Times New Roman"/>
                <w:b w:val="0"/>
                <w:bCs w:val="0"/>
                <w:color w:val="000000"/>
                <w:kern w:val="0"/>
                <w14:ligatures w14:val="none"/>
              </w:rPr>
              <w:t>Nuclear</w:t>
            </w:r>
          </w:p>
        </w:tc>
        <w:tc>
          <w:tcPr>
            <w:tcW w:w="1615" w:type="dxa"/>
            <w:noWrap/>
            <w:vAlign w:val="center"/>
            <w:hideMark/>
          </w:tcPr>
          <w:p w14:paraId="6FF7B303" w14:textId="77777777" w:rsidR="0086185B" w:rsidRPr="00212F34" w:rsidRDefault="0086185B" w:rsidP="00AD316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231,306,149 </w:t>
            </w:r>
          </w:p>
        </w:tc>
        <w:tc>
          <w:tcPr>
            <w:tcW w:w="1511" w:type="dxa"/>
            <w:noWrap/>
            <w:vAlign w:val="center"/>
            <w:hideMark/>
          </w:tcPr>
          <w:p w14:paraId="0C9B5B93" w14:textId="77777777" w:rsidR="0086185B" w:rsidRPr="00212F34" w:rsidRDefault="0086185B" w:rsidP="00AD316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14:ligatures w14:val="none"/>
              </w:rPr>
            </w:pPr>
            <w:r w:rsidRPr="00212F34">
              <w:rPr>
                <w:rFonts w:eastAsia="Times New Roman" w:cs="Times New Roman"/>
                <w:color w:val="000000"/>
                <w:kern w:val="0"/>
                <w14:ligatures w14:val="none"/>
              </w:rPr>
              <w:t xml:space="preserve">219,825,697 </w:t>
            </w:r>
          </w:p>
        </w:tc>
      </w:tr>
    </w:tbl>
    <w:p w14:paraId="73152479" w14:textId="77777777" w:rsidR="008D3619" w:rsidRDefault="008D3619" w:rsidP="006300E4">
      <w:pPr>
        <w:pStyle w:val="Caption"/>
      </w:pPr>
    </w:p>
    <w:p w14:paraId="2B6A61EC" w14:textId="0CB17DCA" w:rsidR="006300E4" w:rsidRPr="006300E4" w:rsidRDefault="00735F40" w:rsidP="006300E4">
      <w:pPr>
        <w:spacing w:line="480" w:lineRule="auto"/>
        <w:ind w:firstLine="720"/>
      </w:pPr>
      <w:r w:rsidRPr="00735F40">
        <w:t>FERC also c</w:t>
      </w:r>
      <w:r>
        <w:t xml:space="preserve">ollects employment data in Form 1, which is summarized by technology in </w:t>
      </w:r>
      <w:r>
        <w:fldChar w:fldCharType="begin"/>
      </w:r>
      <w:r>
        <w:instrText xml:space="preserve"> REF _Ref218593555 \h </w:instrText>
      </w:r>
      <w:r w:rsidR="007A3754">
        <w:instrText xml:space="preserve"> \* MERGEFORMAT </w:instrText>
      </w:r>
      <w:r>
        <w:fldChar w:fldCharType="separate"/>
      </w:r>
      <w:r w:rsidR="00CD17CC">
        <w:t xml:space="preserve">Table </w:t>
      </w:r>
      <w:r w:rsidR="00CD17CC">
        <w:rPr>
          <w:noProof/>
        </w:rPr>
        <w:t>6</w:t>
      </w:r>
      <w:r>
        <w:fldChar w:fldCharType="end"/>
      </w:r>
      <w:r w:rsidR="00677A11">
        <w:t>.</w:t>
      </w:r>
      <w:r w:rsidR="00EE54C5">
        <w:t xml:space="preserve"> </w:t>
      </w:r>
      <w:r w:rsidR="00DE403A">
        <w:t xml:space="preserve">The data </w:t>
      </w:r>
      <w:r w:rsidR="007A3754">
        <w:t xml:space="preserve">shows nuclear plants being </w:t>
      </w:r>
      <w:r w:rsidR="00EE54C5">
        <w:t>significantly more labor intensive on a capacity-normalized basis than other plant types. Nuclear plants’ more complex systems with additional safety redundancies requires more extensive operational expense for monitoring, testing, and maintenance</w:t>
      </w:r>
      <w:r w:rsidR="007A3754">
        <w:t xml:space="preserve">. Nuclear plants have strict regulatory and compliance requirements that include minimum staffing levels for licensed operators, continuous on-site security, emergency preparedness organizations, and more </w:t>
      </w:r>
      <w:r w:rsidR="00176C1B" w:rsidRPr="00176C1B">
        <w:rPr>
          <w:i/>
          <w:iCs/>
        </w:rPr>
        <w:fldChar w:fldCharType="begin"/>
      </w:r>
      <w:r w:rsidR="00864649">
        <w:instrText xml:space="preserve"> ADDIN ZOTERO_ITEM CSL_CITATION {"citationID":"U2BZWcP8","properties":{"unsorted":true,"formattedCitation":"(Nuclear Energy Agency and International Atomic Energy Agency, 2018; World Nuclear Association, 2024)","plainCitation":"(Nuclear Energy Agency and International Atomic Energy Agency, 2018; World Nuclear Association, 2024)","noteIndex":0},"citationItems":[{"id":463,"uris":["http://zotero.org/users/14790435/items/IR96S96Z"],"itemData":{"id":463,"type":"report","language":"en","note":"DOI: 10.1787/9789264305960-en","publisher":"OECD","source":"DOI.org (Crossref)","title":"Measuring Employment Generated by the Nuclear Power Sector","URL":"https://www.oecd-nea.org/jcms/pl_14912","author":[{"literal":"Nuclear Energy Agency"},{"literal":"International Atomic Energy Agency"}],"accessed":{"date-parts":[["2026",1,7]]},"issued":{"date-parts":[["2018",10,31]]}}},{"id":459,"uris":["http://zotero.org/users/14790435/items/SKHVTSUN"],"itemData":{"id":459,"type":"report","title":"Nuclear Power Economics and Structuring","author":[{"family":"World Nuclear Association","given":""}],"issued":{"date-parts":[["2024",4]]}}}],"schema":"https://github.com/citation-style-language/schema/raw/master/csl-citation.json"} </w:instrText>
      </w:r>
      <w:r w:rsidR="00176C1B" w:rsidRPr="00176C1B">
        <w:rPr>
          <w:i/>
          <w:iCs/>
        </w:rPr>
        <w:fldChar w:fldCharType="separate"/>
      </w:r>
      <w:r w:rsidR="00864649" w:rsidRPr="00864649">
        <w:t>(Nuclear Energy Agency and International Atomic Energy Agency, 2018; World Nuclear Association, 2024)</w:t>
      </w:r>
      <w:r w:rsidR="00176C1B" w:rsidRPr="00176C1B">
        <w:rPr>
          <w:i/>
          <w:iCs/>
        </w:rPr>
        <w:fldChar w:fldCharType="end"/>
      </w:r>
      <w:r w:rsidR="00176C1B">
        <w:t xml:space="preserve">. </w:t>
      </w:r>
    </w:p>
    <w:p w14:paraId="746156C0" w14:textId="2AAA4CB2" w:rsidR="00466E88" w:rsidRDefault="00466E88" w:rsidP="006300E4">
      <w:pPr>
        <w:pStyle w:val="Caption"/>
      </w:pPr>
      <w:bookmarkStart w:id="10" w:name="_Ref218593555"/>
      <w:r>
        <w:t xml:space="preserve">Table </w:t>
      </w:r>
      <w:r w:rsidR="00BF3A2E">
        <w:fldChar w:fldCharType="begin"/>
      </w:r>
      <w:r w:rsidR="00BF3A2E">
        <w:instrText xml:space="preserve"> SEQ Table \* ARABIC </w:instrText>
      </w:r>
      <w:r w:rsidR="00BF3A2E">
        <w:fldChar w:fldCharType="separate"/>
      </w:r>
      <w:r w:rsidR="00CD17CC">
        <w:rPr>
          <w:noProof/>
        </w:rPr>
        <w:t>6</w:t>
      </w:r>
      <w:r w:rsidR="00BF3A2E">
        <w:rPr>
          <w:noProof/>
        </w:rPr>
        <w:fldChar w:fldCharType="end"/>
      </w:r>
      <w:bookmarkEnd w:id="10"/>
      <w:r>
        <w:t xml:space="preserve"> Average employee counts by technology, 2023.</w:t>
      </w:r>
    </w:p>
    <w:tbl>
      <w:tblPr>
        <w:tblStyle w:val="ListTable3"/>
        <w:tblW w:w="0" w:type="auto"/>
        <w:jc w:val="center"/>
        <w:tblLook w:val="04A0" w:firstRow="1" w:lastRow="0" w:firstColumn="1" w:lastColumn="0" w:noHBand="0" w:noVBand="1"/>
      </w:tblPr>
      <w:tblGrid>
        <w:gridCol w:w="1872"/>
        <w:gridCol w:w="1872"/>
      </w:tblGrid>
      <w:tr w:rsidR="00466E88" w14:paraId="7B79965B" w14:textId="77777777" w:rsidTr="00367FD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72" w:type="dxa"/>
          </w:tcPr>
          <w:p w14:paraId="554A0A18" w14:textId="77777777" w:rsidR="00466E88" w:rsidRPr="00AD3164" w:rsidRDefault="00466E88" w:rsidP="00367FDA">
            <w:pPr>
              <w:spacing w:before="100" w:beforeAutospacing="1" w:after="100" w:afterAutospacing="1"/>
              <w:rPr>
                <w:rFonts w:ascii="Times New Roman" w:eastAsia="Times New Roman" w:hAnsi="Times New Roman" w:cs="Times New Roman"/>
                <w:kern w:val="0"/>
                <w14:ligatures w14:val="none"/>
              </w:rPr>
            </w:pPr>
            <w:r w:rsidRPr="00AD3164">
              <w:rPr>
                <w:rFonts w:ascii="Times New Roman" w:eastAsia="Times New Roman" w:hAnsi="Times New Roman" w:cs="Times New Roman"/>
                <w:kern w:val="0"/>
                <w14:ligatures w14:val="none"/>
              </w:rPr>
              <w:t>Technology</w:t>
            </w:r>
          </w:p>
        </w:tc>
        <w:tc>
          <w:tcPr>
            <w:tcW w:w="1872" w:type="dxa"/>
          </w:tcPr>
          <w:p w14:paraId="14722EC9" w14:textId="77777777" w:rsidR="00466E88" w:rsidRPr="00AD3164" w:rsidRDefault="00466E88" w:rsidP="00367FDA">
            <w:pPr>
              <w:spacing w:before="100" w:beforeAutospacing="1" w:after="100" w:afterAutospacing="1"/>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D3164">
              <w:rPr>
                <w:rFonts w:ascii="Times New Roman" w:eastAsia="Times New Roman" w:hAnsi="Times New Roman" w:cs="Times New Roman"/>
                <w:kern w:val="0"/>
                <w14:ligatures w14:val="none"/>
              </w:rPr>
              <w:t>Avg Employees per 100 MW</w:t>
            </w:r>
          </w:p>
        </w:tc>
      </w:tr>
      <w:tr w:rsidR="00466E88" w14:paraId="0905F378" w14:textId="77777777" w:rsidTr="00367F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28A09E3" w14:textId="77777777" w:rsidR="00466E88" w:rsidRPr="00AD3164" w:rsidRDefault="00466E88" w:rsidP="00367FDA">
            <w:pPr>
              <w:spacing w:before="100" w:beforeAutospacing="1" w:after="100" w:afterAutospacing="1"/>
              <w:rPr>
                <w:rFonts w:ascii="Times New Roman" w:eastAsia="Times New Roman" w:hAnsi="Times New Roman" w:cs="Times New Roman"/>
                <w:b w:val="0"/>
                <w:bCs w:val="0"/>
                <w:kern w:val="0"/>
                <w14:ligatures w14:val="none"/>
              </w:rPr>
            </w:pPr>
            <w:r w:rsidRPr="00AD3164">
              <w:rPr>
                <w:rFonts w:ascii="Times New Roman" w:eastAsia="Times New Roman" w:hAnsi="Times New Roman" w:cs="Times New Roman"/>
                <w:b w:val="0"/>
                <w:bCs w:val="0"/>
                <w:kern w:val="0"/>
                <w14:ligatures w14:val="none"/>
              </w:rPr>
              <w:t>Nuclear</w:t>
            </w:r>
          </w:p>
        </w:tc>
        <w:tc>
          <w:tcPr>
            <w:tcW w:w="1872" w:type="dxa"/>
          </w:tcPr>
          <w:p w14:paraId="04AA0171" w14:textId="77777777" w:rsidR="00466E88" w:rsidRDefault="00466E88" w:rsidP="00367FDA">
            <w:pPr>
              <w:spacing w:before="100" w:beforeAutospacing="1" w:after="100" w:afterAutospacing="1"/>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59.1</w:t>
            </w:r>
          </w:p>
        </w:tc>
      </w:tr>
      <w:tr w:rsidR="00466E88" w14:paraId="40DB6FCC" w14:textId="77777777" w:rsidTr="00367FDA">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4459FB88" w14:textId="77777777" w:rsidR="00466E88" w:rsidRPr="00AD3164" w:rsidRDefault="00466E88" w:rsidP="00367FDA">
            <w:pPr>
              <w:spacing w:before="100" w:beforeAutospacing="1" w:after="100" w:afterAutospacing="1"/>
              <w:rPr>
                <w:rFonts w:ascii="Times New Roman" w:eastAsia="Times New Roman" w:hAnsi="Times New Roman" w:cs="Times New Roman"/>
                <w:b w:val="0"/>
                <w:bCs w:val="0"/>
                <w:kern w:val="0"/>
                <w14:ligatures w14:val="none"/>
              </w:rPr>
            </w:pPr>
            <w:r w:rsidRPr="00AD3164">
              <w:rPr>
                <w:rFonts w:ascii="Times New Roman" w:eastAsia="Times New Roman" w:hAnsi="Times New Roman" w:cs="Times New Roman"/>
                <w:b w:val="0"/>
                <w:bCs w:val="0"/>
                <w:kern w:val="0"/>
                <w14:ligatures w14:val="none"/>
              </w:rPr>
              <w:t>Coal</w:t>
            </w:r>
          </w:p>
        </w:tc>
        <w:tc>
          <w:tcPr>
            <w:tcW w:w="1872" w:type="dxa"/>
          </w:tcPr>
          <w:p w14:paraId="4B135CC9" w14:textId="77777777" w:rsidR="00466E88" w:rsidRDefault="00466E88" w:rsidP="00367FDA">
            <w:pPr>
              <w:spacing w:before="100" w:beforeAutospacing="1" w:after="100" w:afterAutospacing="1"/>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13.7</w:t>
            </w:r>
          </w:p>
        </w:tc>
      </w:tr>
      <w:tr w:rsidR="00466E88" w14:paraId="541BD180" w14:textId="77777777" w:rsidTr="00367F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D5CCAB6" w14:textId="77777777" w:rsidR="00466E88" w:rsidRPr="00AD3164" w:rsidRDefault="00466E88" w:rsidP="00367FDA">
            <w:pPr>
              <w:spacing w:before="100" w:beforeAutospacing="1" w:after="100" w:afterAutospacing="1"/>
              <w:rPr>
                <w:rFonts w:ascii="Times New Roman" w:eastAsia="Times New Roman" w:hAnsi="Times New Roman" w:cs="Times New Roman"/>
                <w:b w:val="0"/>
                <w:bCs w:val="0"/>
                <w:kern w:val="0"/>
                <w14:ligatures w14:val="none"/>
              </w:rPr>
            </w:pPr>
            <w:r w:rsidRPr="00AD3164">
              <w:rPr>
                <w:rFonts w:ascii="Times New Roman" w:eastAsia="Times New Roman" w:hAnsi="Times New Roman" w:cs="Times New Roman"/>
                <w:b w:val="0"/>
                <w:bCs w:val="0"/>
                <w:kern w:val="0"/>
                <w14:ligatures w14:val="none"/>
              </w:rPr>
              <w:t>Natural Gas CT</w:t>
            </w:r>
          </w:p>
        </w:tc>
        <w:tc>
          <w:tcPr>
            <w:tcW w:w="1872" w:type="dxa"/>
          </w:tcPr>
          <w:p w14:paraId="2BD98DA6" w14:textId="77777777" w:rsidR="00466E88" w:rsidRDefault="00466E88" w:rsidP="00367FDA">
            <w:pPr>
              <w:spacing w:before="100" w:beforeAutospacing="1" w:after="100" w:afterAutospacing="1"/>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5.6</w:t>
            </w:r>
          </w:p>
        </w:tc>
      </w:tr>
      <w:tr w:rsidR="00466E88" w14:paraId="2B543848" w14:textId="77777777" w:rsidTr="00367FDA">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4A40FE2E" w14:textId="77777777" w:rsidR="00466E88" w:rsidRPr="00AD3164" w:rsidRDefault="00466E88" w:rsidP="00367FDA">
            <w:pPr>
              <w:spacing w:before="100" w:beforeAutospacing="1" w:after="100" w:afterAutospacing="1"/>
              <w:rPr>
                <w:rFonts w:ascii="Times New Roman" w:eastAsia="Times New Roman" w:hAnsi="Times New Roman" w:cs="Times New Roman"/>
                <w:b w:val="0"/>
                <w:bCs w:val="0"/>
                <w:kern w:val="0"/>
                <w14:ligatures w14:val="none"/>
              </w:rPr>
            </w:pPr>
            <w:r w:rsidRPr="00AD3164">
              <w:rPr>
                <w:rFonts w:ascii="Times New Roman" w:eastAsia="Times New Roman" w:hAnsi="Times New Roman" w:cs="Times New Roman"/>
                <w:b w:val="0"/>
                <w:bCs w:val="0"/>
                <w:kern w:val="0"/>
                <w14:ligatures w14:val="none"/>
              </w:rPr>
              <w:t>Natural Gas CC</w:t>
            </w:r>
          </w:p>
        </w:tc>
        <w:tc>
          <w:tcPr>
            <w:tcW w:w="1872" w:type="dxa"/>
          </w:tcPr>
          <w:p w14:paraId="3A640D04" w14:textId="77777777" w:rsidR="00466E88" w:rsidRDefault="00466E88" w:rsidP="00367FDA">
            <w:pPr>
              <w:spacing w:before="100" w:beforeAutospacing="1" w:after="100" w:afterAutospacing="1"/>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4.1</w:t>
            </w:r>
          </w:p>
        </w:tc>
      </w:tr>
    </w:tbl>
    <w:p w14:paraId="51A6503F" w14:textId="77777777" w:rsidR="00466E88" w:rsidRPr="00466E88" w:rsidRDefault="00466E88" w:rsidP="00466E88"/>
    <w:p w14:paraId="00A9F5BD" w14:textId="59038690" w:rsidR="00F43CAE" w:rsidRPr="006300E4" w:rsidRDefault="000E2DA4" w:rsidP="006300E4">
      <w:pPr>
        <w:spacing w:line="480" w:lineRule="auto"/>
        <w:ind w:firstLine="720"/>
      </w:pPr>
      <w:r>
        <w:t>In contrast, c</w:t>
      </w:r>
      <w:r w:rsidR="007A3754">
        <w:t xml:space="preserve">oal and natural gas </w:t>
      </w:r>
      <w:r>
        <w:t xml:space="preserve">plants face lower staffing requirements, relatively lower </w:t>
      </w:r>
      <w:r w:rsidR="002247E4">
        <w:t>regulatory</w:t>
      </w:r>
      <w:r>
        <w:t xml:space="preserve"> burden, benefiting from simpler designs and greater automation.</w:t>
      </w:r>
      <w:r w:rsidR="002247E4">
        <w:t xml:space="preserve"> Coal plants have </w:t>
      </w:r>
      <w:r w:rsidR="002247E4">
        <w:lastRenderedPageBreak/>
        <w:t>higher labor intensity than gas due in part to increased operation and maintenance needs for fuel handling, boilers, and emissions control systems.</w:t>
      </w:r>
      <w:r w:rsidR="00466E88">
        <w:t xml:space="preserve"> Natural gas plants have more integrated controls systems with more automated operation, lea</w:t>
      </w:r>
      <w:r w:rsidR="00176C1B">
        <w:t>d</w:t>
      </w:r>
      <w:r w:rsidR="00466E88">
        <w:t>ing to less staffing needs</w:t>
      </w:r>
      <w:r w:rsidR="00176C1B">
        <w:t xml:space="preserve"> </w:t>
      </w:r>
      <w:r w:rsidR="00176C1B">
        <w:fldChar w:fldCharType="begin"/>
      </w:r>
      <w:r w:rsidR="00864649">
        <w:instrText xml:space="preserve"> ADDIN ZOTERO_ITEM CSL_CITATION {"citationID":"Hx99zVEo","properties":{"formattedCitation":"(Wagman, 2017)","plainCitation":"(Wagman, 2017)","noteIndex":0},"citationItems":[{"id":460,"uris":["http://zotero.org/users/14790435/items/DTYIKY6E"],"itemData":{"id":460,"type":"report","abstract":"New gas-fired power plants are so automated that they require a relative handful of staff to operate them, leading to a fundamental shift in the power industry","genre":"IEEE Spectrum","language":"en","title":"Automation Is Engineering the Jobs Out of Power Plants","URL":"https://spectrum.ieee.org/automation-is-engineering-the-jobs-out-of-power-plants","author":[{"family":"Wagman","given":"David"}],"accessed":{"date-parts":[["2026",1,7]]},"issued":{"date-parts":[["2017",8,3]]}}}],"schema":"https://github.com/citation-style-language/schema/raw/master/csl-citation.json"} </w:instrText>
      </w:r>
      <w:r w:rsidR="00176C1B">
        <w:fldChar w:fldCharType="separate"/>
      </w:r>
      <w:r w:rsidR="00864649" w:rsidRPr="00864649">
        <w:t>(Wagman, 2017)</w:t>
      </w:r>
      <w:r w:rsidR="00176C1B">
        <w:fldChar w:fldCharType="end"/>
      </w:r>
      <w:r w:rsidR="00176C1B">
        <w:t>.</w:t>
      </w:r>
      <w:r w:rsidR="00466E88">
        <w:t xml:space="preserve"> </w:t>
      </w:r>
    </w:p>
    <w:p w14:paraId="51D907D8" w14:textId="39B80AD7" w:rsidR="00882443" w:rsidRDefault="00882443" w:rsidP="00DC40BB">
      <w:pPr>
        <w:pStyle w:val="Heading2"/>
      </w:pPr>
      <w:bookmarkStart w:id="11" w:name="_Ref218928942"/>
      <w:r>
        <w:t>Capital Cost</w:t>
      </w:r>
      <w:r w:rsidR="00C905E5">
        <w:t>s</w:t>
      </w:r>
      <w:bookmarkEnd w:id="11"/>
    </w:p>
    <w:p w14:paraId="0E0ED85E" w14:textId="595AE554" w:rsidR="00882443" w:rsidRDefault="00882443" w:rsidP="000A1812">
      <w:pPr>
        <w:spacing w:after="0" w:line="480" w:lineRule="auto"/>
        <w:ind w:firstLine="720"/>
      </w:pPr>
      <w:r>
        <w:t xml:space="preserve">The capital costs data in FERC Form 1 consists of running book cost accounts, which is the original, nominal cost of assets invested in the plant, unadjusted for depreciation </w:t>
      </w:r>
      <w:r>
        <w:fldChar w:fldCharType="begin"/>
      </w:r>
      <w:r w:rsidR="00864649">
        <w:instrText xml:space="preserve"> ADDIN ZOTERO_ITEM CSL_CITATION {"citationID":"S2tMilBF","properties":{"formattedCitation":"({\\i{}Uniform System of Accounts Prescribed for Public Utilities and Licensees Subject to the Provisions of the Federal Power Act}, 1947)","plainCitation":"(Uniform System of Accounts Prescribed for Public Utilities and Licensees Subject to the Provisions of the Federal Power Act, 1947)","noteIndex":0},"citationItems":[{"id":79,"uris":["http://zotero.org/users/14790435/items/XXI2EVHT"],"itemData":{"id":79,"type":"legislation","container-title":"U.S. Code of Federal Regulations","title":"Uniform System of Accounts Prescribed for Public Utilities and Licensees Subject to the Provisions of the Federal Power Act","volume":"Title 18, part 101","issued":{"date-parts":[["1947",12,19]]}}}],"schema":"https://github.com/citation-style-language/schema/raw/master/csl-citation.json"}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Uniform System of Accounts Prescribed for Public Utilities and Licensees Subject to the Provisions of the Federal Power Act</w:t>
      </w:r>
      <w:r w:rsidR="00864649" w:rsidRPr="00864649">
        <w:rPr>
          <w:rFonts w:cs="Times New Roman"/>
          <w:kern w:val="0"/>
        </w:rPr>
        <w:t>, 1947)</w:t>
      </w:r>
      <w:r>
        <w:fldChar w:fldCharType="end"/>
      </w:r>
      <w:r>
        <w:t xml:space="preserve">. For any plant constructed prior to 1994, the earliest reporting year in the sample, the data does not show the history of capital transactions and how its capital balance evolved as capital was added for upgrades and retired as equipment was replaced between its construction date and 1994.  This limitation prevents inflation adjustments to the capital costs, because the capital balances in 1994 are a composite of investments made throughout prior years in an unknown manner. </w:t>
      </w:r>
    </w:p>
    <w:p w14:paraId="6A8F3B07" w14:textId="6E7D2669" w:rsidR="00882443" w:rsidRDefault="00882443" w:rsidP="000A1812">
      <w:pPr>
        <w:spacing w:line="480" w:lineRule="auto"/>
        <w:ind w:firstLine="720"/>
      </w:pPr>
      <w:r>
        <w:t xml:space="preserve">Some insight can be gained by examining the relative rates of change in capital account balances across technology categories, summarized in </w:t>
      </w:r>
      <w:r>
        <w:fldChar w:fldCharType="begin"/>
      </w:r>
      <w:r>
        <w:instrText xml:space="preserve"> REF _Ref208565204 \h </w:instrText>
      </w:r>
      <w:r w:rsidR="000A1812">
        <w:instrText xml:space="preserve"> \* MERGEFORMAT </w:instrText>
      </w:r>
      <w:r>
        <w:fldChar w:fldCharType="separate"/>
      </w:r>
      <w:r w:rsidR="00CD17CC">
        <w:t xml:space="preserve">Table </w:t>
      </w:r>
      <w:r w:rsidR="00CD17CC">
        <w:rPr>
          <w:noProof/>
        </w:rPr>
        <w:t>7</w:t>
      </w:r>
      <w:r>
        <w:fldChar w:fldCharType="end"/>
      </w:r>
      <w:r>
        <w:t>, which shows that coal plant nominal capital account balances increased at a higher rate on average (3.58% per year) than other technologies during the sample period.</w:t>
      </w:r>
    </w:p>
    <w:p w14:paraId="13D8742E" w14:textId="362D4934" w:rsidR="00882443" w:rsidRDefault="00882443" w:rsidP="006300E4">
      <w:pPr>
        <w:pStyle w:val="Caption"/>
      </w:pPr>
      <w:bookmarkStart w:id="12" w:name="_Ref208565204"/>
      <w:r>
        <w:t xml:space="preserve">Table </w:t>
      </w:r>
      <w:r w:rsidR="00BF3A2E">
        <w:fldChar w:fldCharType="begin"/>
      </w:r>
      <w:r w:rsidR="00BF3A2E">
        <w:instrText xml:space="preserve"> SEQ Table \* ARABIC </w:instrText>
      </w:r>
      <w:r w:rsidR="00BF3A2E">
        <w:fldChar w:fldCharType="separate"/>
      </w:r>
      <w:r w:rsidR="00CD17CC">
        <w:rPr>
          <w:noProof/>
        </w:rPr>
        <w:t>7</w:t>
      </w:r>
      <w:r w:rsidR="00BF3A2E">
        <w:rPr>
          <w:noProof/>
        </w:rPr>
        <w:fldChar w:fldCharType="end"/>
      </w:r>
      <w:bookmarkEnd w:id="12"/>
      <w:r>
        <w:t>: Summary of c</w:t>
      </w:r>
      <w:r w:rsidRPr="0045443E">
        <w:t>hange</w:t>
      </w:r>
      <w:r>
        <w:t>s</w:t>
      </w:r>
      <w:r w:rsidRPr="0045443E">
        <w:t xml:space="preserve"> in </w:t>
      </w:r>
      <w:r>
        <w:t>a</w:t>
      </w:r>
      <w:r w:rsidRPr="0045443E">
        <w:t xml:space="preserve">verage </w:t>
      </w:r>
      <w:r>
        <w:t>n</w:t>
      </w:r>
      <w:r w:rsidRPr="0045443E">
        <w:t xml:space="preserve">ominal </w:t>
      </w:r>
      <w:r>
        <w:t>c</w:t>
      </w:r>
      <w:r w:rsidRPr="0045443E">
        <w:t xml:space="preserve">apital </w:t>
      </w:r>
      <w:r>
        <w:t>b</w:t>
      </w:r>
      <w:r w:rsidRPr="0045443E">
        <w:t>alances ($/MW) by Technology, 1995-2023.</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448"/>
        <w:gridCol w:w="2448"/>
        <w:gridCol w:w="2448"/>
      </w:tblGrid>
      <w:tr w:rsidR="00882443" w:rsidRPr="00FB604D" w14:paraId="4220636E" w14:textId="77777777" w:rsidTr="00337EA1">
        <w:trPr>
          <w:trHeight w:val="288"/>
          <w:jc w:val="center"/>
        </w:trPr>
        <w:tc>
          <w:tcPr>
            <w:tcW w:w="1872" w:type="dxa"/>
            <w:shd w:val="clear" w:color="auto" w:fill="000000" w:themeFill="text1"/>
            <w:noWrap/>
            <w:vAlign w:val="center"/>
            <w:hideMark/>
          </w:tcPr>
          <w:p w14:paraId="71EDCD1E" w14:textId="77777777" w:rsidR="00882443" w:rsidRPr="00FB604D" w:rsidRDefault="00882443" w:rsidP="00337EA1">
            <w:pPr>
              <w:spacing w:after="0" w:line="276" w:lineRule="auto"/>
              <w:rPr>
                <w:rFonts w:eastAsia="Times New Roman" w:cs="Times New Roman"/>
                <w:b/>
                <w:bCs/>
                <w:color w:val="FFFFFF" w:themeColor="background1"/>
                <w:kern w:val="0"/>
                <w14:ligatures w14:val="none"/>
              </w:rPr>
            </w:pPr>
            <w:r w:rsidRPr="00FB604D">
              <w:rPr>
                <w:rFonts w:eastAsia="Times New Roman" w:cs="Times New Roman"/>
                <w:b/>
                <w:bCs/>
                <w:color w:val="FFFFFF" w:themeColor="background1"/>
                <w:kern w:val="0"/>
                <w14:ligatures w14:val="none"/>
              </w:rPr>
              <w:t>Technology</w:t>
            </w:r>
          </w:p>
        </w:tc>
        <w:tc>
          <w:tcPr>
            <w:tcW w:w="2448" w:type="dxa"/>
            <w:shd w:val="clear" w:color="auto" w:fill="000000" w:themeFill="text1"/>
            <w:noWrap/>
            <w:vAlign w:val="center"/>
            <w:hideMark/>
          </w:tcPr>
          <w:p w14:paraId="4AE2F1E2" w14:textId="77777777" w:rsidR="00882443" w:rsidRPr="00FB604D" w:rsidRDefault="00882443" w:rsidP="00337EA1">
            <w:pPr>
              <w:spacing w:after="0" w:line="276" w:lineRule="auto"/>
              <w:jc w:val="right"/>
              <w:rPr>
                <w:rFonts w:eastAsia="Times New Roman" w:cs="Times New Roman"/>
                <w:b/>
                <w:bCs/>
                <w:color w:val="FFFFFF" w:themeColor="background1"/>
                <w:kern w:val="0"/>
                <w14:ligatures w14:val="none"/>
              </w:rPr>
            </w:pPr>
            <w:r w:rsidRPr="00FB604D">
              <w:rPr>
                <w:rFonts w:eastAsia="Times New Roman" w:cs="Times New Roman"/>
                <w:b/>
                <w:bCs/>
                <w:color w:val="FFFFFF" w:themeColor="background1"/>
                <w:kern w:val="0"/>
                <w14:ligatures w14:val="none"/>
              </w:rPr>
              <w:t>Avg. Capital Balance in 1995 ($/MW)</w:t>
            </w:r>
          </w:p>
        </w:tc>
        <w:tc>
          <w:tcPr>
            <w:tcW w:w="2448" w:type="dxa"/>
            <w:shd w:val="clear" w:color="auto" w:fill="000000" w:themeFill="text1"/>
            <w:noWrap/>
            <w:vAlign w:val="center"/>
            <w:hideMark/>
          </w:tcPr>
          <w:p w14:paraId="7F6639D9" w14:textId="77777777" w:rsidR="00882443" w:rsidRPr="00FB604D" w:rsidRDefault="00882443" w:rsidP="00337EA1">
            <w:pPr>
              <w:spacing w:after="0" w:line="276" w:lineRule="auto"/>
              <w:jc w:val="right"/>
              <w:rPr>
                <w:rFonts w:eastAsia="Times New Roman" w:cs="Times New Roman"/>
                <w:b/>
                <w:bCs/>
                <w:color w:val="FFFFFF" w:themeColor="background1"/>
                <w:kern w:val="0"/>
                <w14:ligatures w14:val="none"/>
              </w:rPr>
            </w:pPr>
            <w:r w:rsidRPr="00FB604D">
              <w:rPr>
                <w:rFonts w:eastAsia="Times New Roman" w:cs="Times New Roman"/>
                <w:b/>
                <w:bCs/>
                <w:color w:val="FFFFFF" w:themeColor="background1"/>
                <w:kern w:val="0"/>
                <w14:ligatures w14:val="none"/>
              </w:rPr>
              <w:t>Avg. Capital Balance in 2023 ($/MW)</w:t>
            </w:r>
          </w:p>
        </w:tc>
        <w:tc>
          <w:tcPr>
            <w:tcW w:w="2448" w:type="dxa"/>
            <w:shd w:val="clear" w:color="auto" w:fill="000000" w:themeFill="text1"/>
            <w:noWrap/>
            <w:vAlign w:val="center"/>
            <w:hideMark/>
          </w:tcPr>
          <w:p w14:paraId="0FC6365E" w14:textId="77777777" w:rsidR="00882443" w:rsidRPr="00FB604D" w:rsidRDefault="00882443" w:rsidP="00337EA1">
            <w:pPr>
              <w:spacing w:after="0" w:line="276" w:lineRule="auto"/>
              <w:jc w:val="right"/>
              <w:rPr>
                <w:rFonts w:eastAsia="Times New Roman" w:cs="Times New Roman"/>
                <w:b/>
                <w:bCs/>
                <w:color w:val="FFFFFF" w:themeColor="background1"/>
                <w:kern w:val="0"/>
                <w14:ligatures w14:val="none"/>
              </w:rPr>
            </w:pPr>
            <w:r w:rsidRPr="00FB604D">
              <w:rPr>
                <w:rFonts w:eastAsia="Times New Roman" w:cs="Times New Roman"/>
                <w:b/>
                <w:bCs/>
                <w:color w:val="FFFFFF" w:themeColor="background1"/>
                <w:kern w:val="0"/>
                <w14:ligatures w14:val="none"/>
              </w:rPr>
              <w:t>Average Annual Rate of Change (%)</w:t>
            </w:r>
          </w:p>
        </w:tc>
      </w:tr>
      <w:tr w:rsidR="00882443" w:rsidRPr="00FB604D" w14:paraId="08200B22" w14:textId="77777777" w:rsidTr="00337EA1">
        <w:trPr>
          <w:trHeight w:val="288"/>
          <w:jc w:val="center"/>
        </w:trPr>
        <w:tc>
          <w:tcPr>
            <w:tcW w:w="1872" w:type="dxa"/>
            <w:noWrap/>
            <w:vAlign w:val="center"/>
            <w:hideMark/>
          </w:tcPr>
          <w:p w14:paraId="6F933E09" w14:textId="77777777" w:rsidR="00882443" w:rsidRPr="00FB604D" w:rsidRDefault="00882443" w:rsidP="00337EA1">
            <w:pPr>
              <w:spacing w:after="0" w:line="276" w:lineRule="auto"/>
              <w:rPr>
                <w:rFonts w:eastAsia="Times New Roman" w:cs="Times New Roman"/>
                <w:color w:val="000000"/>
                <w:kern w:val="0"/>
                <w14:ligatures w14:val="none"/>
              </w:rPr>
            </w:pPr>
            <w:r w:rsidRPr="00FB604D">
              <w:rPr>
                <w:rFonts w:eastAsia="Times New Roman" w:cs="Times New Roman"/>
                <w:color w:val="000000"/>
                <w:kern w:val="0"/>
                <w14:ligatures w14:val="none"/>
              </w:rPr>
              <w:t>Coal</w:t>
            </w:r>
          </w:p>
        </w:tc>
        <w:tc>
          <w:tcPr>
            <w:tcW w:w="2448" w:type="dxa"/>
            <w:noWrap/>
            <w:vAlign w:val="center"/>
            <w:hideMark/>
          </w:tcPr>
          <w:p w14:paraId="7EBFDF9E"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466,084 </w:t>
            </w:r>
          </w:p>
        </w:tc>
        <w:tc>
          <w:tcPr>
            <w:tcW w:w="2448" w:type="dxa"/>
            <w:noWrap/>
            <w:vAlign w:val="center"/>
            <w:hideMark/>
          </w:tcPr>
          <w:p w14:paraId="21F2B673"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1,248,150 </w:t>
            </w:r>
          </w:p>
        </w:tc>
        <w:tc>
          <w:tcPr>
            <w:tcW w:w="2448" w:type="dxa"/>
            <w:noWrap/>
            <w:vAlign w:val="center"/>
            <w:hideMark/>
          </w:tcPr>
          <w:p w14:paraId="774E0B9A"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3.58</w:t>
            </w:r>
          </w:p>
        </w:tc>
      </w:tr>
      <w:tr w:rsidR="00882443" w:rsidRPr="00FB604D" w14:paraId="5833A032" w14:textId="77777777" w:rsidTr="00337EA1">
        <w:trPr>
          <w:trHeight w:val="288"/>
          <w:jc w:val="center"/>
        </w:trPr>
        <w:tc>
          <w:tcPr>
            <w:tcW w:w="1872" w:type="dxa"/>
            <w:noWrap/>
            <w:vAlign w:val="center"/>
            <w:hideMark/>
          </w:tcPr>
          <w:p w14:paraId="5057D850" w14:textId="77777777" w:rsidR="00882443" w:rsidRPr="00FB604D" w:rsidRDefault="00882443" w:rsidP="00337EA1">
            <w:pPr>
              <w:spacing w:after="0" w:line="276" w:lineRule="auto"/>
              <w:rPr>
                <w:rFonts w:eastAsia="Times New Roman" w:cs="Times New Roman"/>
                <w:color w:val="000000"/>
                <w:kern w:val="0"/>
                <w14:ligatures w14:val="none"/>
              </w:rPr>
            </w:pPr>
            <w:r w:rsidRPr="00FB604D">
              <w:rPr>
                <w:rFonts w:eastAsia="Times New Roman" w:cs="Times New Roman"/>
                <w:color w:val="000000"/>
                <w:kern w:val="0"/>
                <w14:ligatures w14:val="none"/>
              </w:rPr>
              <w:t>Nuclear</w:t>
            </w:r>
          </w:p>
        </w:tc>
        <w:tc>
          <w:tcPr>
            <w:tcW w:w="2448" w:type="dxa"/>
            <w:noWrap/>
            <w:vAlign w:val="center"/>
            <w:hideMark/>
          </w:tcPr>
          <w:p w14:paraId="55126168"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1,112,552 </w:t>
            </w:r>
          </w:p>
        </w:tc>
        <w:tc>
          <w:tcPr>
            <w:tcW w:w="2448" w:type="dxa"/>
            <w:noWrap/>
            <w:vAlign w:val="center"/>
            <w:hideMark/>
          </w:tcPr>
          <w:p w14:paraId="3D2FC5A6"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2,442,926 </w:t>
            </w:r>
          </w:p>
        </w:tc>
        <w:tc>
          <w:tcPr>
            <w:tcW w:w="2448" w:type="dxa"/>
            <w:noWrap/>
            <w:vAlign w:val="center"/>
            <w:hideMark/>
          </w:tcPr>
          <w:p w14:paraId="6CBE363C"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2.85</w:t>
            </w:r>
          </w:p>
        </w:tc>
      </w:tr>
      <w:tr w:rsidR="00882443" w:rsidRPr="00FB604D" w14:paraId="50B2DB22" w14:textId="77777777" w:rsidTr="00337EA1">
        <w:trPr>
          <w:trHeight w:val="288"/>
          <w:jc w:val="center"/>
        </w:trPr>
        <w:tc>
          <w:tcPr>
            <w:tcW w:w="1872" w:type="dxa"/>
            <w:noWrap/>
            <w:vAlign w:val="center"/>
            <w:hideMark/>
          </w:tcPr>
          <w:p w14:paraId="4F957681" w14:textId="77777777" w:rsidR="00882443" w:rsidRPr="00FB604D" w:rsidRDefault="00882443" w:rsidP="00337EA1">
            <w:pPr>
              <w:spacing w:after="0" w:line="276" w:lineRule="auto"/>
              <w:rPr>
                <w:rFonts w:eastAsia="Times New Roman" w:cs="Times New Roman"/>
                <w:color w:val="000000"/>
                <w:kern w:val="0"/>
                <w14:ligatures w14:val="none"/>
              </w:rPr>
            </w:pPr>
            <w:r w:rsidRPr="00FB604D">
              <w:rPr>
                <w:rFonts w:eastAsia="Times New Roman" w:cs="Times New Roman"/>
                <w:color w:val="000000"/>
                <w:kern w:val="0"/>
                <w14:ligatures w14:val="none"/>
              </w:rPr>
              <w:t>Natural Gas CT</w:t>
            </w:r>
          </w:p>
        </w:tc>
        <w:tc>
          <w:tcPr>
            <w:tcW w:w="2448" w:type="dxa"/>
            <w:noWrap/>
            <w:vAlign w:val="center"/>
            <w:hideMark/>
          </w:tcPr>
          <w:p w14:paraId="33F0129F"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212,377 </w:t>
            </w:r>
          </w:p>
        </w:tc>
        <w:tc>
          <w:tcPr>
            <w:tcW w:w="2448" w:type="dxa"/>
            <w:noWrap/>
            <w:vAlign w:val="center"/>
            <w:hideMark/>
          </w:tcPr>
          <w:p w14:paraId="1C073CD9"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420,238 </w:t>
            </w:r>
          </w:p>
        </w:tc>
        <w:tc>
          <w:tcPr>
            <w:tcW w:w="2448" w:type="dxa"/>
            <w:noWrap/>
            <w:vAlign w:val="center"/>
            <w:hideMark/>
          </w:tcPr>
          <w:p w14:paraId="5CB61790"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2.47</w:t>
            </w:r>
          </w:p>
        </w:tc>
      </w:tr>
      <w:tr w:rsidR="00882443" w:rsidRPr="00FB604D" w14:paraId="4C3FF58C" w14:textId="77777777" w:rsidTr="00337EA1">
        <w:trPr>
          <w:trHeight w:val="288"/>
          <w:jc w:val="center"/>
        </w:trPr>
        <w:tc>
          <w:tcPr>
            <w:tcW w:w="1872" w:type="dxa"/>
            <w:noWrap/>
            <w:vAlign w:val="center"/>
            <w:hideMark/>
          </w:tcPr>
          <w:p w14:paraId="788D8FCC" w14:textId="77777777" w:rsidR="00882443" w:rsidRPr="00FB604D" w:rsidRDefault="00882443" w:rsidP="00337EA1">
            <w:pPr>
              <w:spacing w:after="0" w:line="276" w:lineRule="auto"/>
              <w:rPr>
                <w:rFonts w:eastAsia="Times New Roman" w:cs="Times New Roman"/>
                <w:color w:val="000000"/>
                <w:kern w:val="0"/>
                <w14:ligatures w14:val="none"/>
              </w:rPr>
            </w:pPr>
            <w:r w:rsidRPr="00FB604D">
              <w:rPr>
                <w:rFonts w:eastAsia="Times New Roman" w:cs="Times New Roman"/>
                <w:color w:val="000000"/>
                <w:kern w:val="0"/>
                <w14:ligatures w14:val="none"/>
              </w:rPr>
              <w:t>Natural Gas CC</w:t>
            </w:r>
          </w:p>
        </w:tc>
        <w:tc>
          <w:tcPr>
            <w:tcW w:w="2448" w:type="dxa"/>
            <w:noWrap/>
            <w:vAlign w:val="center"/>
            <w:hideMark/>
          </w:tcPr>
          <w:p w14:paraId="69D28D40"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379,055 </w:t>
            </w:r>
          </w:p>
        </w:tc>
        <w:tc>
          <w:tcPr>
            <w:tcW w:w="2448" w:type="dxa"/>
            <w:noWrap/>
            <w:vAlign w:val="center"/>
            <w:hideMark/>
          </w:tcPr>
          <w:p w14:paraId="4D81D21A"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 xml:space="preserve">           686,018 </w:t>
            </w:r>
          </w:p>
        </w:tc>
        <w:tc>
          <w:tcPr>
            <w:tcW w:w="2448" w:type="dxa"/>
            <w:noWrap/>
            <w:vAlign w:val="center"/>
            <w:hideMark/>
          </w:tcPr>
          <w:p w14:paraId="086600F9" w14:textId="77777777" w:rsidR="00882443" w:rsidRPr="00FB604D" w:rsidRDefault="00882443" w:rsidP="00337EA1">
            <w:pPr>
              <w:spacing w:after="0" w:line="276" w:lineRule="auto"/>
              <w:jc w:val="right"/>
              <w:rPr>
                <w:rFonts w:eastAsia="Times New Roman" w:cs="Times New Roman"/>
                <w:color w:val="000000"/>
                <w:kern w:val="0"/>
                <w14:ligatures w14:val="none"/>
              </w:rPr>
            </w:pPr>
            <w:r w:rsidRPr="00FB604D">
              <w:rPr>
                <w:rFonts w:eastAsia="Times New Roman" w:cs="Times New Roman"/>
                <w:color w:val="000000"/>
                <w:kern w:val="0"/>
                <w14:ligatures w14:val="none"/>
              </w:rPr>
              <w:t>2.14</w:t>
            </w:r>
          </w:p>
        </w:tc>
      </w:tr>
    </w:tbl>
    <w:p w14:paraId="4CEF1E01" w14:textId="77777777" w:rsidR="00DA7D6D" w:rsidRDefault="00DA7D6D" w:rsidP="00882443"/>
    <w:p w14:paraId="5C80AB84" w14:textId="537DA869" w:rsidR="00882443" w:rsidRDefault="00882443" w:rsidP="000A1812">
      <w:pPr>
        <w:spacing w:line="480" w:lineRule="auto"/>
        <w:ind w:firstLine="720"/>
      </w:pPr>
      <w:r>
        <w:t xml:space="preserve">The relative changes in nominal capital cost balances across the sample are further visualized in </w:t>
      </w:r>
      <w:r>
        <w:fldChar w:fldCharType="begin"/>
      </w:r>
      <w:r>
        <w:instrText xml:space="preserve"> REF _Ref208565472 \h </w:instrText>
      </w:r>
      <w:r w:rsidR="000A1812">
        <w:instrText xml:space="preserve"> \* MERGEFORMAT </w:instrText>
      </w:r>
      <w:r>
        <w:fldChar w:fldCharType="separate"/>
      </w:r>
      <w:r w:rsidR="00CD17CC">
        <w:t xml:space="preserve">Figure </w:t>
      </w:r>
      <w:r w:rsidR="00CD17CC">
        <w:rPr>
          <w:noProof/>
        </w:rPr>
        <w:t>4</w:t>
      </w:r>
      <w:r>
        <w:fldChar w:fldCharType="end"/>
      </w:r>
      <w:r>
        <w:t>, which shows modest and comparable capital cost increases from 1995 through 2007. In 2008, coal plants capital accounts increased faster on average than other technologies. The notable increase in coal plant capital accounts beginning in the late 2000’s and continuing through the 2010’s is consistent with the timing of U.S. Environmental Protection Agency (EPA) air quality regulations that caused new capital investments in pollution control equipment</w:t>
      </w:r>
      <w:r w:rsidR="00DA7D6D">
        <w:t>, analyzed further in section</w:t>
      </w:r>
      <w:r w:rsidR="00916817">
        <w:t xml:space="preserve"> </w:t>
      </w:r>
      <w:r w:rsidR="00916817">
        <w:fldChar w:fldCharType="begin"/>
      </w:r>
      <w:r w:rsidR="00916817">
        <w:instrText xml:space="preserve"> REF _Ref214449565 \r \h </w:instrText>
      </w:r>
      <w:r w:rsidR="00916817">
        <w:fldChar w:fldCharType="separate"/>
      </w:r>
      <w:r w:rsidR="00CD17CC">
        <w:t>10</w:t>
      </w:r>
      <w:r w:rsidR="00916817">
        <w:fldChar w:fldCharType="end"/>
      </w:r>
      <w:r w:rsidR="00DA7D6D">
        <w:t>.</w:t>
      </w:r>
    </w:p>
    <w:p w14:paraId="4F40E056" w14:textId="77777777" w:rsidR="00882443" w:rsidRDefault="00882443" w:rsidP="00882443">
      <w:r>
        <w:rPr>
          <w:noProof/>
        </w:rPr>
        <w:drawing>
          <wp:inline distT="0" distB="0" distL="0" distR="0" wp14:anchorId="5FEEE5C8" wp14:editId="1AA06C16">
            <wp:extent cx="5943600" cy="2398395"/>
            <wp:effectExtent l="0" t="0" r="0" b="1905"/>
            <wp:docPr id="1319591668" name="Picture 5"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1668" name="Picture 5" descr="Chart, line cha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98395"/>
                    </a:xfrm>
                    <a:prstGeom prst="rect">
                      <a:avLst/>
                    </a:prstGeom>
                    <a:noFill/>
                    <a:ln>
                      <a:noFill/>
                    </a:ln>
                  </pic:spPr>
                </pic:pic>
              </a:graphicData>
            </a:graphic>
          </wp:inline>
        </w:drawing>
      </w:r>
    </w:p>
    <w:p w14:paraId="21481FA4" w14:textId="4BD472BB" w:rsidR="000B63F4" w:rsidRPr="008E32A9" w:rsidRDefault="00882443" w:rsidP="006300E4">
      <w:pPr>
        <w:pStyle w:val="Caption"/>
      </w:pPr>
      <w:bookmarkStart w:id="13" w:name="_Ref208565472"/>
      <w:commentRangeStart w:id="14"/>
      <w:r>
        <w:t>Figure</w:t>
      </w:r>
      <w:commentRangeEnd w:id="14"/>
      <w:r>
        <w:rPr>
          <w:rStyle w:val="CommentReference"/>
          <w:i w:val="0"/>
          <w:iCs w:val="0"/>
        </w:rPr>
        <w:commentReference w:id="14"/>
      </w:r>
      <w:r>
        <w:t xml:space="preserve"> </w:t>
      </w:r>
      <w:r w:rsidR="00BF3A2E">
        <w:fldChar w:fldCharType="begin"/>
      </w:r>
      <w:r w:rsidR="00BF3A2E">
        <w:instrText xml:space="preserve"> SEQ Figure \* ARABIC </w:instrText>
      </w:r>
      <w:r w:rsidR="00BF3A2E">
        <w:fldChar w:fldCharType="separate"/>
      </w:r>
      <w:r w:rsidR="00CD17CC">
        <w:rPr>
          <w:noProof/>
        </w:rPr>
        <w:t>4</w:t>
      </w:r>
      <w:r w:rsidR="00BF3A2E">
        <w:rPr>
          <w:noProof/>
        </w:rPr>
        <w:fldChar w:fldCharType="end"/>
      </w:r>
      <w:bookmarkEnd w:id="13"/>
      <w:r>
        <w:t xml:space="preserve"> Change in capital accounts during sample period, aggregated by technology type and normalized at 1995=1.</w:t>
      </w:r>
    </w:p>
    <w:p w14:paraId="26B07AEA" w14:textId="032EAB4D" w:rsidR="00882443" w:rsidRDefault="00943046" w:rsidP="00BF3A2E">
      <w:pPr>
        <w:spacing w:line="480" w:lineRule="auto"/>
        <w:ind w:firstLine="720"/>
      </w:pPr>
      <w:r>
        <w:rPr>
          <w:highlight w:val="yellow"/>
        </w:rPr>
        <w:fldChar w:fldCharType="begin"/>
      </w:r>
      <w:r>
        <w:instrText xml:space="preserve"> REF _Ref214445359 \h </w:instrText>
      </w:r>
      <w:r w:rsidR="00BF3A2E">
        <w:rPr>
          <w:highlight w:val="yellow"/>
        </w:rPr>
        <w:instrText xml:space="preserve"> \* MERGEFORMAT </w:instrText>
      </w:r>
      <w:r>
        <w:rPr>
          <w:highlight w:val="yellow"/>
        </w:rPr>
      </w:r>
      <w:r>
        <w:rPr>
          <w:highlight w:val="yellow"/>
        </w:rPr>
        <w:fldChar w:fldCharType="separate"/>
      </w:r>
      <w:r w:rsidR="00CD17CC">
        <w:t xml:space="preserve">Table </w:t>
      </w:r>
      <w:r w:rsidR="00CD17CC">
        <w:rPr>
          <w:noProof/>
        </w:rPr>
        <w:t>8</w:t>
      </w:r>
      <w:r>
        <w:rPr>
          <w:highlight w:val="yellow"/>
        </w:rPr>
        <w:fldChar w:fldCharType="end"/>
      </w:r>
      <w:r>
        <w:t xml:space="preserve"> presents a breakout of </w:t>
      </w:r>
      <w:r w:rsidR="007F5392">
        <w:t>capital</w:t>
      </w:r>
      <w:r>
        <w:t xml:space="preserve"> accounts by equipment, structures, and land categories across the major technology types in the sample for both 1995 and 2023. Across all technologies, equipment consistently represents the dominant share of total capital costs, ranging from 73% to 90% in 2023. The equipment share of plant capital increased for all technology types between 1995-2023, while structures capital share declined. The capacity-weighted average across all technologies in </w:t>
      </w:r>
      <w:r>
        <w:fldChar w:fldCharType="begin"/>
      </w:r>
      <w:r>
        <w:instrText xml:space="preserve"> REF _Ref214445359 \h </w:instrText>
      </w:r>
      <w:r w:rsidR="00BF3A2E">
        <w:instrText xml:space="preserve"> \* MERGEFORMAT </w:instrText>
      </w:r>
      <w:r>
        <w:fldChar w:fldCharType="separate"/>
      </w:r>
      <w:r w:rsidR="00CD17CC">
        <w:t xml:space="preserve">Table </w:t>
      </w:r>
      <w:r w:rsidR="00CD17CC">
        <w:rPr>
          <w:noProof/>
        </w:rPr>
        <w:t>8</w:t>
      </w:r>
      <w:r>
        <w:fldChar w:fldCharType="end"/>
      </w:r>
      <w:r>
        <w:t xml:space="preserve"> equipment’s share of plant capital increasing from 80% to 86%, while structures </w:t>
      </w:r>
      <w:r w:rsidR="007F5392">
        <w:t>declined</w:t>
      </w:r>
      <w:r>
        <w:t xml:space="preserve"> from 20% to 14%. </w:t>
      </w:r>
      <w:r w:rsidR="007F5392">
        <w:t xml:space="preserve">Land represents a </w:t>
      </w:r>
      <w:r w:rsidR="007F5392">
        <w:lastRenderedPageBreak/>
        <w:t xml:space="preserve">minor share of total capital across plants, consistently below 1% over time and technology </w:t>
      </w:r>
      <w:r w:rsidR="001C7BB1">
        <w:t>groups</w:t>
      </w:r>
      <w:r w:rsidR="007F5392">
        <w:t>.</w:t>
      </w:r>
    </w:p>
    <w:p w14:paraId="5B683A86" w14:textId="26469E18" w:rsidR="00882443" w:rsidRDefault="00882443" w:rsidP="006300E4">
      <w:pPr>
        <w:pStyle w:val="Caption"/>
      </w:pPr>
      <w:bookmarkStart w:id="15" w:name="_Ref214445359"/>
      <w:r>
        <w:t xml:space="preserve">Table </w:t>
      </w:r>
      <w:r w:rsidR="00BF3A2E">
        <w:fldChar w:fldCharType="begin"/>
      </w:r>
      <w:r w:rsidR="00BF3A2E">
        <w:instrText xml:space="preserve"> SEQ Table \* ARABIC </w:instrText>
      </w:r>
      <w:r w:rsidR="00BF3A2E">
        <w:fldChar w:fldCharType="separate"/>
      </w:r>
      <w:r w:rsidR="00CD17CC">
        <w:rPr>
          <w:noProof/>
        </w:rPr>
        <w:t>8</w:t>
      </w:r>
      <w:r w:rsidR="00BF3A2E">
        <w:rPr>
          <w:noProof/>
        </w:rPr>
        <w:fldChar w:fldCharType="end"/>
      </w:r>
      <w:bookmarkEnd w:id="15"/>
      <w:r>
        <w:t xml:space="preserve"> Percentages of total capital account by category and technology, 1995 and 2023.</w:t>
      </w:r>
    </w:p>
    <w:tbl>
      <w:tblPr>
        <w:tblW w:w="4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1"/>
        <w:gridCol w:w="1331"/>
        <w:gridCol w:w="1277"/>
        <w:gridCol w:w="960"/>
      </w:tblGrid>
      <w:tr w:rsidR="00882443" w:rsidRPr="0002631B" w14:paraId="39A78BCD" w14:textId="77777777" w:rsidTr="00487A67">
        <w:trPr>
          <w:trHeight w:val="288"/>
          <w:jc w:val="center"/>
        </w:trPr>
        <w:tc>
          <w:tcPr>
            <w:tcW w:w="1124" w:type="dxa"/>
            <w:tcBorders>
              <w:bottom w:val="single" w:sz="4" w:space="0" w:color="auto"/>
            </w:tcBorders>
            <w:shd w:val="clear" w:color="auto" w:fill="000000" w:themeFill="text1"/>
            <w:noWrap/>
            <w:vAlign w:val="center"/>
            <w:hideMark/>
          </w:tcPr>
          <w:p w14:paraId="489A0683" w14:textId="77777777" w:rsidR="00882443" w:rsidRPr="0002631B" w:rsidRDefault="00882443" w:rsidP="00337EA1">
            <w:pPr>
              <w:spacing w:after="0" w:line="240" w:lineRule="auto"/>
              <w:rPr>
                <w:rFonts w:eastAsia="Times New Roman" w:cs="Times New Roman"/>
                <w:b/>
                <w:bCs/>
                <w:color w:val="FFFFFF" w:themeColor="background1"/>
                <w:kern w:val="0"/>
                <w:sz w:val="22"/>
                <w:szCs w:val="22"/>
                <w14:ligatures w14:val="none"/>
              </w:rPr>
            </w:pPr>
            <w:r w:rsidRPr="0002631B">
              <w:rPr>
                <w:rFonts w:eastAsia="Times New Roman" w:cs="Times New Roman"/>
                <w:b/>
                <w:bCs/>
                <w:color w:val="FFFFFF" w:themeColor="background1"/>
                <w:kern w:val="0"/>
                <w:sz w:val="22"/>
                <w:szCs w:val="22"/>
                <w14:ligatures w14:val="none"/>
              </w:rPr>
              <w:t>Technology and Year</w:t>
            </w:r>
          </w:p>
        </w:tc>
        <w:tc>
          <w:tcPr>
            <w:tcW w:w="1044" w:type="dxa"/>
            <w:tcBorders>
              <w:bottom w:val="single" w:sz="4" w:space="0" w:color="auto"/>
            </w:tcBorders>
            <w:shd w:val="clear" w:color="auto" w:fill="000000" w:themeFill="text1"/>
            <w:noWrap/>
            <w:vAlign w:val="center"/>
            <w:hideMark/>
          </w:tcPr>
          <w:p w14:paraId="57F8B5A4" w14:textId="77777777" w:rsidR="00882443" w:rsidRPr="0002631B" w:rsidRDefault="00882443" w:rsidP="00337EA1">
            <w:pPr>
              <w:spacing w:after="0" w:line="240" w:lineRule="auto"/>
              <w:jc w:val="right"/>
              <w:rPr>
                <w:rFonts w:eastAsia="Times New Roman" w:cs="Times New Roman"/>
                <w:b/>
                <w:bCs/>
                <w:color w:val="FFFFFF" w:themeColor="background1"/>
                <w:kern w:val="0"/>
                <w:sz w:val="22"/>
                <w:szCs w:val="22"/>
                <w14:ligatures w14:val="none"/>
              </w:rPr>
            </w:pPr>
            <w:r w:rsidRPr="0002631B">
              <w:rPr>
                <w:rFonts w:eastAsia="Times New Roman" w:cs="Times New Roman"/>
                <w:b/>
                <w:bCs/>
                <w:color w:val="FFFFFF" w:themeColor="background1"/>
                <w:kern w:val="0"/>
                <w:sz w:val="22"/>
                <w:szCs w:val="22"/>
                <w14:ligatures w14:val="none"/>
              </w:rPr>
              <w:t>Equipment</w:t>
            </w:r>
          </w:p>
        </w:tc>
        <w:tc>
          <w:tcPr>
            <w:tcW w:w="963" w:type="dxa"/>
            <w:tcBorders>
              <w:bottom w:val="single" w:sz="4" w:space="0" w:color="auto"/>
            </w:tcBorders>
            <w:shd w:val="clear" w:color="auto" w:fill="000000" w:themeFill="text1"/>
            <w:noWrap/>
            <w:vAlign w:val="center"/>
            <w:hideMark/>
          </w:tcPr>
          <w:p w14:paraId="7B5D3D8D" w14:textId="77777777" w:rsidR="00882443" w:rsidRPr="0002631B" w:rsidRDefault="00882443" w:rsidP="00337EA1">
            <w:pPr>
              <w:spacing w:after="0" w:line="240" w:lineRule="auto"/>
              <w:jc w:val="right"/>
              <w:rPr>
                <w:rFonts w:eastAsia="Times New Roman" w:cs="Times New Roman"/>
                <w:b/>
                <w:bCs/>
                <w:color w:val="FFFFFF" w:themeColor="background1"/>
                <w:kern w:val="0"/>
                <w:sz w:val="22"/>
                <w:szCs w:val="22"/>
                <w14:ligatures w14:val="none"/>
              </w:rPr>
            </w:pPr>
            <w:r w:rsidRPr="0002631B">
              <w:rPr>
                <w:rFonts w:eastAsia="Times New Roman" w:cs="Times New Roman"/>
                <w:b/>
                <w:bCs/>
                <w:color w:val="FFFFFF" w:themeColor="background1"/>
                <w:kern w:val="0"/>
                <w:sz w:val="22"/>
                <w:szCs w:val="22"/>
                <w14:ligatures w14:val="none"/>
              </w:rPr>
              <w:t>Structures</w:t>
            </w:r>
          </w:p>
        </w:tc>
        <w:tc>
          <w:tcPr>
            <w:tcW w:w="960" w:type="dxa"/>
            <w:tcBorders>
              <w:bottom w:val="single" w:sz="4" w:space="0" w:color="auto"/>
            </w:tcBorders>
            <w:shd w:val="clear" w:color="auto" w:fill="000000" w:themeFill="text1"/>
            <w:noWrap/>
            <w:vAlign w:val="center"/>
            <w:hideMark/>
          </w:tcPr>
          <w:p w14:paraId="430F366B" w14:textId="77777777" w:rsidR="00882443" w:rsidRPr="0002631B" w:rsidRDefault="00882443" w:rsidP="00337EA1">
            <w:pPr>
              <w:spacing w:after="0" w:line="240" w:lineRule="auto"/>
              <w:jc w:val="right"/>
              <w:rPr>
                <w:rFonts w:eastAsia="Times New Roman" w:cs="Times New Roman"/>
                <w:b/>
                <w:bCs/>
                <w:color w:val="FFFFFF" w:themeColor="background1"/>
                <w:kern w:val="0"/>
                <w:sz w:val="22"/>
                <w:szCs w:val="22"/>
                <w14:ligatures w14:val="none"/>
              </w:rPr>
            </w:pPr>
            <w:r w:rsidRPr="0002631B">
              <w:rPr>
                <w:rFonts w:eastAsia="Times New Roman" w:cs="Times New Roman"/>
                <w:b/>
                <w:bCs/>
                <w:color w:val="FFFFFF" w:themeColor="background1"/>
                <w:kern w:val="0"/>
                <w:sz w:val="22"/>
                <w:szCs w:val="22"/>
                <w14:ligatures w14:val="none"/>
              </w:rPr>
              <w:t>Land</w:t>
            </w:r>
          </w:p>
        </w:tc>
      </w:tr>
      <w:tr w:rsidR="00882443" w:rsidRPr="0002631B" w14:paraId="3B0CDD8B" w14:textId="77777777" w:rsidTr="00487A67">
        <w:trPr>
          <w:trHeight w:val="288"/>
          <w:jc w:val="center"/>
        </w:trPr>
        <w:tc>
          <w:tcPr>
            <w:tcW w:w="1124" w:type="dxa"/>
            <w:tcBorders>
              <w:right w:val="nil"/>
            </w:tcBorders>
            <w:noWrap/>
            <w:vAlign w:val="bottom"/>
            <w:hideMark/>
          </w:tcPr>
          <w:p w14:paraId="6BAB04A5" w14:textId="77777777" w:rsidR="00882443" w:rsidRPr="0002631B" w:rsidRDefault="00882443" w:rsidP="00337EA1">
            <w:pPr>
              <w:spacing w:after="0" w:line="240" w:lineRule="auto"/>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Coal</w:t>
            </w:r>
          </w:p>
        </w:tc>
        <w:tc>
          <w:tcPr>
            <w:tcW w:w="1044" w:type="dxa"/>
            <w:tcBorders>
              <w:left w:val="nil"/>
              <w:right w:val="nil"/>
            </w:tcBorders>
            <w:noWrap/>
            <w:vAlign w:val="bottom"/>
            <w:hideMark/>
          </w:tcPr>
          <w:p w14:paraId="1ADE3198" w14:textId="77777777" w:rsidR="00882443" w:rsidRPr="0002631B" w:rsidRDefault="00882443" w:rsidP="00337EA1">
            <w:pPr>
              <w:spacing w:after="0" w:line="240" w:lineRule="auto"/>
              <w:rPr>
                <w:rFonts w:eastAsia="Times New Roman" w:cs="Times New Roman"/>
                <w:color w:val="000000"/>
                <w:kern w:val="0"/>
                <w:sz w:val="22"/>
                <w:szCs w:val="22"/>
                <w14:ligatures w14:val="none"/>
              </w:rPr>
            </w:pPr>
          </w:p>
        </w:tc>
        <w:tc>
          <w:tcPr>
            <w:tcW w:w="963" w:type="dxa"/>
            <w:tcBorders>
              <w:left w:val="nil"/>
              <w:right w:val="nil"/>
            </w:tcBorders>
            <w:noWrap/>
            <w:vAlign w:val="bottom"/>
            <w:hideMark/>
          </w:tcPr>
          <w:p w14:paraId="59214D3D" w14:textId="77777777" w:rsidR="00882443" w:rsidRPr="0002631B" w:rsidRDefault="00882443" w:rsidP="00337EA1">
            <w:pPr>
              <w:spacing w:after="0" w:line="240" w:lineRule="auto"/>
              <w:rPr>
                <w:rFonts w:eastAsia="Times New Roman" w:cs="Times New Roman"/>
                <w:kern w:val="0"/>
                <w:sz w:val="20"/>
                <w:szCs w:val="20"/>
                <w14:ligatures w14:val="none"/>
              </w:rPr>
            </w:pPr>
          </w:p>
        </w:tc>
        <w:tc>
          <w:tcPr>
            <w:tcW w:w="960" w:type="dxa"/>
            <w:tcBorders>
              <w:left w:val="nil"/>
            </w:tcBorders>
            <w:noWrap/>
            <w:vAlign w:val="bottom"/>
            <w:hideMark/>
          </w:tcPr>
          <w:p w14:paraId="6D9CFFC3" w14:textId="77777777" w:rsidR="00882443" w:rsidRPr="0002631B" w:rsidRDefault="00882443" w:rsidP="00337EA1">
            <w:pPr>
              <w:spacing w:after="0" w:line="240" w:lineRule="auto"/>
              <w:rPr>
                <w:rFonts w:eastAsia="Times New Roman" w:cs="Times New Roman"/>
                <w:kern w:val="0"/>
                <w:sz w:val="20"/>
                <w:szCs w:val="20"/>
                <w14:ligatures w14:val="none"/>
              </w:rPr>
            </w:pPr>
          </w:p>
        </w:tc>
      </w:tr>
      <w:tr w:rsidR="00882443" w:rsidRPr="0002631B" w14:paraId="5F80A477" w14:textId="77777777" w:rsidTr="00487A67">
        <w:trPr>
          <w:trHeight w:val="288"/>
          <w:jc w:val="center"/>
        </w:trPr>
        <w:tc>
          <w:tcPr>
            <w:tcW w:w="1124" w:type="dxa"/>
            <w:noWrap/>
            <w:vAlign w:val="bottom"/>
            <w:hideMark/>
          </w:tcPr>
          <w:p w14:paraId="779BE127"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1995</w:t>
            </w:r>
          </w:p>
        </w:tc>
        <w:tc>
          <w:tcPr>
            <w:tcW w:w="1044" w:type="dxa"/>
            <w:noWrap/>
            <w:vAlign w:val="bottom"/>
            <w:hideMark/>
          </w:tcPr>
          <w:p w14:paraId="32199632"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81.8</w:t>
            </w:r>
          </w:p>
        </w:tc>
        <w:tc>
          <w:tcPr>
            <w:tcW w:w="963" w:type="dxa"/>
            <w:noWrap/>
            <w:vAlign w:val="bottom"/>
            <w:hideMark/>
          </w:tcPr>
          <w:p w14:paraId="1AA3CDEA"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17.8</w:t>
            </w:r>
          </w:p>
        </w:tc>
        <w:tc>
          <w:tcPr>
            <w:tcW w:w="960" w:type="dxa"/>
            <w:noWrap/>
            <w:vAlign w:val="bottom"/>
            <w:hideMark/>
          </w:tcPr>
          <w:p w14:paraId="191F4401"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0.47</w:t>
            </w:r>
          </w:p>
        </w:tc>
      </w:tr>
      <w:tr w:rsidR="00882443" w:rsidRPr="0002631B" w14:paraId="174E16CC" w14:textId="77777777" w:rsidTr="00487A67">
        <w:trPr>
          <w:trHeight w:val="288"/>
          <w:jc w:val="center"/>
        </w:trPr>
        <w:tc>
          <w:tcPr>
            <w:tcW w:w="1124" w:type="dxa"/>
            <w:tcBorders>
              <w:bottom w:val="single" w:sz="4" w:space="0" w:color="auto"/>
            </w:tcBorders>
            <w:noWrap/>
            <w:vAlign w:val="bottom"/>
            <w:hideMark/>
          </w:tcPr>
          <w:p w14:paraId="65325BB8"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2023</w:t>
            </w:r>
          </w:p>
        </w:tc>
        <w:tc>
          <w:tcPr>
            <w:tcW w:w="1044" w:type="dxa"/>
            <w:tcBorders>
              <w:bottom w:val="single" w:sz="4" w:space="0" w:color="auto"/>
            </w:tcBorders>
            <w:noWrap/>
            <w:vAlign w:val="bottom"/>
            <w:hideMark/>
          </w:tcPr>
          <w:p w14:paraId="57F590A9"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85.5</w:t>
            </w:r>
          </w:p>
        </w:tc>
        <w:tc>
          <w:tcPr>
            <w:tcW w:w="963" w:type="dxa"/>
            <w:tcBorders>
              <w:bottom w:val="single" w:sz="4" w:space="0" w:color="auto"/>
            </w:tcBorders>
            <w:noWrap/>
            <w:vAlign w:val="bottom"/>
            <w:hideMark/>
          </w:tcPr>
          <w:p w14:paraId="02BB960A"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13.8</w:t>
            </w:r>
          </w:p>
        </w:tc>
        <w:tc>
          <w:tcPr>
            <w:tcW w:w="960" w:type="dxa"/>
            <w:tcBorders>
              <w:bottom w:val="single" w:sz="4" w:space="0" w:color="auto"/>
            </w:tcBorders>
            <w:noWrap/>
            <w:vAlign w:val="bottom"/>
            <w:hideMark/>
          </w:tcPr>
          <w:p w14:paraId="7177ADA9"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0.67</w:t>
            </w:r>
          </w:p>
        </w:tc>
      </w:tr>
      <w:tr w:rsidR="00882443" w:rsidRPr="0002631B" w14:paraId="2FBEAA87" w14:textId="77777777" w:rsidTr="00487A67">
        <w:trPr>
          <w:trHeight w:val="288"/>
          <w:jc w:val="center"/>
        </w:trPr>
        <w:tc>
          <w:tcPr>
            <w:tcW w:w="1124" w:type="dxa"/>
            <w:tcBorders>
              <w:right w:val="nil"/>
            </w:tcBorders>
            <w:noWrap/>
            <w:vAlign w:val="bottom"/>
            <w:hideMark/>
          </w:tcPr>
          <w:p w14:paraId="29CD57F8" w14:textId="77777777" w:rsidR="00882443" w:rsidRPr="0002631B" w:rsidRDefault="00882443" w:rsidP="00337EA1">
            <w:pPr>
              <w:spacing w:after="0" w:line="240" w:lineRule="auto"/>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Nuclear</w:t>
            </w:r>
          </w:p>
        </w:tc>
        <w:tc>
          <w:tcPr>
            <w:tcW w:w="1044" w:type="dxa"/>
            <w:tcBorders>
              <w:left w:val="nil"/>
              <w:right w:val="nil"/>
            </w:tcBorders>
            <w:noWrap/>
            <w:vAlign w:val="bottom"/>
            <w:hideMark/>
          </w:tcPr>
          <w:p w14:paraId="45B47FFD" w14:textId="77777777" w:rsidR="00882443" w:rsidRPr="0002631B" w:rsidRDefault="00882443" w:rsidP="00337EA1">
            <w:pPr>
              <w:spacing w:after="0" w:line="240" w:lineRule="auto"/>
              <w:rPr>
                <w:rFonts w:eastAsia="Times New Roman" w:cs="Times New Roman"/>
                <w:color w:val="000000"/>
                <w:kern w:val="0"/>
                <w:sz w:val="22"/>
                <w:szCs w:val="22"/>
                <w14:ligatures w14:val="none"/>
              </w:rPr>
            </w:pPr>
          </w:p>
        </w:tc>
        <w:tc>
          <w:tcPr>
            <w:tcW w:w="963" w:type="dxa"/>
            <w:tcBorders>
              <w:left w:val="nil"/>
              <w:right w:val="nil"/>
            </w:tcBorders>
            <w:noWrap/>
            <w:vAlign w:val="bottom"/>
            <w:hideMark/>
          </w:tcPr>
          <w:p w14:paraId="389EDDE9" w14:textId="77777777" w:rsidR="00882443" w:rsidRPr="0002631B" w:rsidRDefault="00882443" w:rsidP="00337EA1">
            <w:pPr>
              <w:spacing w:after="0" w:line="240" w:lineRule="auto"/>
              <w:rPr>
                <w:rFonts w:eastAsia="Times New Roman" w:cs="Times New Roman"/>
                <w:kern w:val="0"/>
                <w:sz w:val="20"/>
                <w:szCs w:val="20"/>
                <w14:ligatures w14:val="none"/>
              </w:rPr>
            </w:pPr>
          </w:p>
        </w:tc>
        <w:tc>
          <w:tcPr>
            <w:tcW w:w="960" w:type="dxa"/>
            <w:tcBorders>
              <w:left w:val="nil"/>
            </w:tcBorders>
            <w:noWrap/>
            <w:vAlign w:val="bottom"/>
            <w:hideMark/>
          </w:tcPr>
          <w:p w14:paraId="41B3F4AF" w14:textId="77777777" w:rsidR="00882443" w:rsidRPr="0002631B" w:rsidRDefault="00882443" w:rsidP="00337EA1">
            <w:pPr>
              <w:spacing w:after="0" w:line="240" w:lineRule="auto"/>
              <w:rPr>
                <w:rFonts w:eastAsia="Times New Roman" w:cs="Times New Roman"/>
                <w:kern w:val="0"/>
                <w:sz w:val="20"/>
                <w:szCs w:val="20"/>
                <w14:ligatures w14:val="none"/>
              </w:rPr>
            </w:pPr>
          </w:p>
        </w:tc>
      </w:tr>
      <w:tr w:rsidR="00882443" w:rsidRPr="0002631B" w14:paraId="0EF4A63C" w14:textId="77777777" w:rsidTr="00487A67">
        <w:trPr>
          <w:trHeight w:val="288"/>
          <w:jc w:val="center"/>
        </w:trPr>
        <w:tc>
          <w:tcPr>
            <w:tcW w:w="1124" w:type="dxa"/>
            <w:noWrap/>
            <w:vAlign w:val="bottom"/>
            <w:hideMark/>
          </w:tcPr>
          <w:p w14:paraId="40A0C56D"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1995</w:t>
            </w:r>
          </w:p>
        </w:tc>
        <w:tc>
          <w:tcPr>
            <w:tcW w:w="1044" w:type="dxa"/>
            <w:noWrap/>
            <w:vAlign w:val="bottom"/>
            <w:hideMark/>
          </w:tcPr>
          <w:p w14:paraId="72C2ABE7"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72.7</w:t>
            </w:r>
          </w:p>
        </w:tc>
        <w:tc>
          <w:tcPr>
            <w:tcW w:w="963" w:type="dxa"/>
            <w:noWrap/>
            <w:vAlign w:val="bottom"/>
            <w:hideMark/>
          </w:tcPr>
          <w:p w14:paraId="3149BDCC"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26.9</w:t>
            </w:r>
          </w:p>
        </w:tc>
        <w:tc>
          <w:tcPr>
            <w:tcW w:w="960" w:type="dxa"/>
            <w:noWrap/>
            <w:vAlign w:val="bottom"/>
            <w:hideMark/>
          </w:tcPr>
          <w:p w14:paraId="7502FEC4"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0.43</w:t>
            </w:r>
          </w:p>
        </w:tc>
      </w:tr>
      <w:tr w:rsidR="00882443" w:rsidRPr="0002631B" w14:paraId="5DA804FE" w14:textId="77777777" w:rsidTr="00487A67">
        <w:trPr>
          <w:trHeight w:val="288"/>
          <w:jc w:val="center"/>
        </w:trPr>
        <w:tc>
          <w:tcPr>
            <w:tcW w:w="1124" w:type="dxa"/>
            <w:tcBorders>
              <w:bottom w:val="single" w:sz="4" w:space="0" w:color="auto"/>
            </w:tcBorders>
            <w:noWrap/>
            <w:vAlign w:val="bottom"/>
            <w:hideMark/>
          </w:tcPr>
          <w:p w14:paraId="5A99F72E"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2023</w:t>
            </w:r>
          </w:p>
        </w:tc>
        <w:tc>
          <w:tcPr>
            <w:tcW w:w="1044" w:type="dxa"/>
            <w:tcBorders>
              <w:bottom w:val="single" w:sz="4" w:space="0" w:color="auto"/>
            </w:tcBorders>
            <w:noWrap/>
            <w:vAlign w:val="bottom"/>
            <w:hideMark/>
          </w:tcPr>
          <w:p w14:paraId="5FAC8011"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76.2</w:t>
            </w:r>
          </w:p>
        </w:tc>
        <w:tc>
          <w:tcPr>
            <w:tcW w:w="963" w:type="dxa"/>
            <w:tcBorders>
              <w:bottom w:val="single" w:sz="4" w:space="0" w:color="auto"/>
            </w:tcBorders>
            <w:noWrap/>
            <w:vAlign w:val="bottom"/>
            <w:hideMark/>
          </w:tcPr>
          <w:p w14:paraId="77B9FCA4"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23.6</w:t>
            </w:r>
          </w:p>
        </w:tc>
        <w:tc>
          <w:tcPr>
            <w:tcW w:w="960" w:type="dxa"/>
            <w:tcBorders>
              <w:bottom w:val="single" w:sz="4" w:space="0" w:color="auto"/>
            </w:tcBorders>
            <w:noWrap/>
            <w:vAlign w:val="bottom"/>
            <w:hideMark/>
          </w:tcPr>
          <w:p w14:paraId="351E1212"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0.21</w:t>
            </w:r>
          </w:p>
        </w:tc>
      </w:tr>
      <w:tr w:rsidR="00882443" w:rsidRPr="0002631B" w14:paraId="4A6C6D48" w14:textId="77777777" w:rsidTr="00487A67">
        <w:trPr>
          <w:trHeight w:val="288"/>
          <w:jc w:val="center"/>
        </w:trPr>
        <w:tc>
          <w:tcPr>
            <w:tcW w:w="2168" w:type="dxa"/>
            <w:gridSpan w:val="2"/>
            <w:tcBorders>
              <w:right w:val="nil"/>
            </w:tcBorders>
            <w:noWrap/>
            <w:vAlign w:val="bottom"/>
            <w:hideMark/>
          </w:tcPr>
          <w:p w14:paraId="11D476EB" w14:textId="77777777" w:rsidR="00882443" w:rsidRPr="0002631B" w:rsidRDefault="00882443" w:rsidP="00337EA1">
            <w:pPr>
              <w:spacing w:after="0" w:line="240" w:lineRule="auto"/>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Natural Gas CC</w:t>
            </w:r>
          </w:p>
        </w:tc>
        <w:tc>
          <w:tcPr>
            <w:tcW w:w="963" w:type="dxa"/>
            <w:tcBorders>
              <w:left w:val="nil"/>
              <w:right w:val="nil"/>
            </w:tcBorders>
            <w:noWrap/>
            <w:vAlign w:val="bottom"/>
            <w:hideMark/>
          </w:tcPr>
          <w:p w14:paraId="1EE2C567" w14:textId="77777777" w:rsidR="00882443" w:rsidRPr="0002631B" w:rsidRDefault="00882443" w:rsidP="00337EA1">
            <w:pPr>
              <w:spacing w:after="0" w:line="240" w:lineRule="auto"/>
              <w:rPr>
                <w:rFonts w:eastAsia="Times New Roman" w:cs="Times New Roman"/>
                <w:color w:val="000000"/>
                <w:kern w:val="0"/>
                <w:sz w:val="22"/>
                <w:szCs w:val="22"/>
                <w14:ligatures w14:val="none"/>
              </w:rPr>
            </w:pPr>
          </w:p>
        </w:tc>
        <w:tc>
          <w:tcPr>
            <w:tcW w:w="960" w:type="dxa"/>
            <w:tcBorders>
              <w:left w:val="nil"/>
            </w:tcBorders>
            <w:noWrap/>
            <w:vAlign w:val="bottom"/>
            <w:hideMark/>
          </w:tcPr>
          <w:p w14:paraId="7CBBC473" w14:textId="77777777" w:rsidR="00882443" w:rsidRPr="0002631B" w:rsidRDefault="00882443" w:rsidP="00337EA1">
            <w:pPr>
              <w:spacing w:after="0" w:line="240" w:lineRule="auto"/>
              <w:rPr>
                <w:rFonts w:eastAsia="Times New Roman" w:cs="Times New Roman"/>
                <w:kern w:val="0"/>
                <w:sz w:val="20"/>
                <w:szCs w:val="20"/>
                <w14:ligatures w14:val="none"/>
              </w:rPr>
            </w:pPr>
          </w:p>
        </w:tc>
      </w:tr>
      <w:tr w:rsidR="00882443" w:rsidRPr="0002631B" w14:paraId="15D5631E" w14:textId="77777777" w:rsidTr="00487A67">
        <w:trPr>
          <w:trHeight w:val="288"/>
          <w:jc w:val="center"/>
        </w:trPr>
        <w:tc>
          <w:tcPr>
            <w:tcW w:w="1124" w:type="dxa"/>
            <w:noWrap/>
            <w:vAlign w:val="bottom"/>
            <w:hideMark/>
          </w:tcPr>
          <w:p w14:paraId="3CA94696"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1995</w:t>
            </w:r>
          </w:p>
        </w:tc>
        <w:tc>
          <w:tcPr>
            <w:tcW w:w="1044" w:type="dxa"/>
            <w:noWrap/>
            <w:vAlign w:val="bottom"/>
            <w:hideMark/>
          </w:tcPr>
          <w:p w14:paraId="4505C3C1"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78.2</w:t>
            </w:r>
          </w:p>
        </w:tc>
        <w:tc>
          <w:tcPr>
            <w:tcW w:w="963" w:type="dxa"/>
            <w:noWrap/>
            <w:vAlign w:val="bottom"/>
            <w:hideMark/>
          </w:tcPr>
          <w:p w14:paraId="0933A619"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21.1</w:t>
            </w:r>
          </w:p>
        </w:tc>
        <w:tc>
          <w:tcPr>
            <w:tcW w:w="960" w:type="dxa"/>
            <w:noWrap/>
            <w:vAlign w:val="bottom"/>
            <w:hideMark/>
          </w:tcPr>
          <w:p w14:paraId="1D77BE8A"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0.72</w:t>
            </w:r>
          </w:p>
        </w:tc>
      </w:tr>
      <w:tr w:rsidR="00882443" w:rsidRPr="0002631B" w14:paraId="5C13C21D" w14:textId="77777777" w:rsidTr="00487A67">
        <w:trPr>
          <w:trHeight w:val="288"/>
          <w:jc w:val="center"/>
        </w:trPr>
        <w:tc>
          <w:tcPr>
            <w:tcW w:w="1124" w:type="dxa"/>
            <w:tcBorders>
              <w:bottom w:val="single" w:sz="4" w:space="0" w:color="auto"/>
            </w:tcBorders>
            <w:noWrap/>
            <w:vAlign w:val="bottom"/>
            <w:hideMark/>
          </w:tcPr>
          <w:p w14:paraId="3648251B"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2023</w:t>
            </w:r>
          </w:p>
        </w:tc>
        <w:tc>
          <w:tcPr>
            <w:tcW w:w="1044" w:type="dxa"/>
            <w:tcBorders>
              <w:bottom w:val="single" w:sz="4" w:space="0" w:color="auto"/>
            </w:tcBorders>
            <w:noWrap/>
            <w:vAlign w:val="bottom"/>
            <w:hideMark/>
          </w:tcPr>
          <w:p w14:paraId="08C440EC"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86.8</w:t>
            </w:r>
          </w:p>
        </w:tc>
        <w:tc>
          <w:tcPr>
            <w:tcW w:w="963" w:type="dxa"/>
            <w:tcBorders>
              <w:bottom w:val="single" w:sz="4" w:space="0" w:color="auto"/>
            </w:tcBorders>
            <w:noWrap/>
            <w:vAlign w:val="bottom"/>
            <w:hideMark/>
          </w:tcPr>
          <w:p w14:paraId="6BFB557B"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12.6</w:t>
            </w:r>
          </w:p>
        </w:tc>
        <w:tc>
          <w:tcPr>
            <w:tcW w:w="960" w:type="dxa"/>
            <w:tcBorders>
              <w:bottom w:val="single" w:sz="4" w:space="0" w:color="auto"/>
            </w:tcBorders>
            <w:noWrap/>
            <w:vAlign w:val="bottom"/>
            <w:hideMark/>
          </w:tcPr>
          <w:p w14:paraId="240B2EEB"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0.68</w:t>
            </w:r>
          </w:p>
        </w:tc>
      </w:tr>
      <w:tr w:rsidR="00882443" w:rsidRPr="0002631B" w14:paraId="10AA5691" w14:textId="77777777" w:rsidTr="00487A67">
        <w:trPr>
          <w:trHeight w:val="288"/>
          <w:jc w:val="center"/>
        </w:trPr>
        <w:tc>
          <w:tcPr>
            <w:tcW w:w="2168" w:type="dxa"/>
            <w:gridSpan w:val="2"/>
            <w:tcBorders>
              <w:right w:val="nil"/>
            </w:tcBorders>
            <w:noWrap/>
            <w:vAlign w:val="bottom"/>
            <w:hideMark/>
          </w:tcPr>
          <w:p w14:paraId="7D0ABD14" w14:textId="77777777" w:rsidR="00882443" w:rsidRPr="0002631B" w:rsidRDefault="00882443" w:rsidP="00337EA1">
            <w:pPr>
              <w:spacing w:after="0" w:line="240" w:lineRule="auto"/>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Natural Gas CT</w:t>
            </w:r>
          </w:p>
        </w:tc>
        <w:tc>
          <w:tcPr>
            <w:tcW w:w="963" w:type="dxa"/>
            <w:tcBorders>
              <w:left w:val="nil"/>
              <w:right w:val="nil"/>
            </w:tcBorders>
            <w:noWrap/>
            <w:vAlign w:val="bottom"/>
            <w:hideMark/>
          </w:tcPr>
          <w:p w14:paraId="2004B3B6" w14:textId="77777777" w:rsidR="00882443" w:rsidRPr="0002631B" w:rsidRDefault="00882443" w:rsidP="00337EA1">
            <w:pPr>
              <w:spacing w:after="0" w:line="240" w:lineRule="auto"/>
              <w:rPr>
                <w:rFonts w:eastAsia="Times New Roman" w:cs="Times New Roman"/>
                <w:color w:val="000000"/>
                <w:kern w:val="0"/>
                <w:sz w:val="22"/>
                <w:szCs w:val="22"/>
                <w14:ligatures w14:val="none"/>
              </w:rPr>
            </w:pPr>
          </w:p>
        </w:tc>
        <w:tc>
          <w:tcPr>
            <w:tcW w:w="960" w:type="dxa"/>
            <w:tcBorders>
              <w:left w:val="nil"/>
            </w:tcBorders>
            <w:noWrap/>
            <w:vAlign w:val="bottom"/>
            <w:hideMark/>
          </w:tcPr>
          <w:p w14:paraId="6F6F01F0" w14:textId="77777777" w:rsidR="00882443" w:rsidRPr="0002631B" w:rsidRDefault="00882443" w:rsidP="00337EA1">
            <w:pPr>
              <w:spacing w:after="0" w:line="240" w:lineRule="auto"/>
              <w:rPr>
                <w:rFonts w:eastAsia="Times New Roman" w:cs="Times New Roman"/>
                <w:kern w:val="0"/>
                <w:sz w:val="20"/>
                <w:szCs w:val="20"/>
                <w14:ligatures w14:val="none"/>
              </w:rPr>
            </w:pPr>
          </w:p>
        </w:tc>
      </w:tr>
      <w:tr w:rsidR="00882443" w:rsidRPr="0002631B" w14:paraId="311FEDA7" w14:textId="77777777" w:rsidTr="00487A67">
        <w:trPr>
          <w:trHeight w:val="288"/>
          <w:jc w:val="center"/>
        </w:trPr>
        <w:tc>
          <w:tcPr>
            <w:tcW w:w="1124" w:type="dxa"/>
            <w:noWrap/>
            <w:vAlign w:val="bottom"/>
            <w:hideMark/>
          </w:tcPr>
          <w:p w14:paraId="71C7AE3F"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1995</w:t>
            </w:r>
          </w:p>
        </w:tc>
        <w:tc>
          <w:tcPr>
            <w:tcW w:w="1044" w:type="dxa"/>
            <w:noWrap/>
            <w:vAlign w:val="bottom"/>
            <w:hideMark/>
          </w:tcPr>
          <w:p w14:paraId="1474A239"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84.4</w:t>
            </w:r>
          </w:p>
        </w:tc>
        <w:tc>
          <w:tcPr>
            <w:tcW w:w="963" w:type="dxa"/>
            <w:noWrap/>
            <w:vAlign w:val="bottom"/>
            <w:hideMark/>
          </w:tcPr>
          <w:p w14:paraId="59801795"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15.1</w:t>
            </w:r>
          </w:p>
        </w:tc>
        <w:tc>
          <w:tcPr>
            <w:tcW w:w="960" w:type="dxa"/>
            <w:noWrap/>
            <w:vAlign w:val="bottom"/>
            <w:hideMark/>
          </w:tcPr>
          <w:p w14:paraId="221595C8"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0.46</w:t>
            </w:r>
          </w:p>
        </w:tc>
      </w:tr>
      <w:tr w:rsidR="00882443" w:rsidRPr="0002631B" w14:paraId="7EEB42DF" w14:textId="77777777" w:rsidTr="00487A67">
        <w:trPr>
          <w:trHeight w:val="288"/>
          <w:jc w:val="center"/>
        </w:trPr>
        <w:tc>
          <w:tcPr>
            <w:tcW w:w="1124" w:type="dxa"/>
            <w:tcBorders>
              <w:bottom w:val="single" w:sz="4" w:space="0" w:color="auto"/>
            </w:tcBorders>
            <w:noWrap/>
            <w:vAlign w:val="bottom"/>
            <w:hideMark/>
          </w:tcPr>
          <w:p w14:paraId="30ECEAE6"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2023</w:t>
            </w:r>
          </w:p>
        </w:tc>
        <w:tc>
          <w:tcPr>
            <w:tcW w:w="1044" w:type="dxa"/>
            <w:tcBorders>
              <w:bottom w:val="single" w:sz="4" w:space="0" w:color="auto"/>
            </w:tcBorders>
            <w:noWrap/>
            <w:vAlign w:val="bottom"/>
            <w:hideMark/>
          </w:tcPr>
          <w:p w14:paraId="0BFC3B1F"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90.3</w:t>
            </w:r>
          </w:p>
        </w:tc>
        <w:tc>
          <w:tcPr>
            <w:tcW w:w="963" w:type="dxa"/>
            <w:tcBorders>
              <w:bottom w:val="single" w:sz="4" w:space="0" w:color="auto"/>
            </w:tcBorders>
            <w:noWrap/>
            <w:vAlign w:val="bottom"/>
            <w:hideMark/>
          </w:tcPr>
          <w:p w14:paraId="6674C543"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9.2</w:t>
            </w:r>
          </w:p>
        </w:tc>
        <w:tc>
          <w:tcPr>
            <w:tcW w:w="960" w:type="dxa"/>
            <w:tcBorders>
              <w:bottom w:val="single" w:sz="4" w:space="0" w:color="auto"/>
            </w:tcBorders>
            <w:noWrap/>
            <w:vAlign w:val="bottom"/>
            <w:hideMark/>
          </w:tcPr>
          <w:p w14:paraId="28C0939A" w14:textId="77777777" w:rsidR="00882443" w:rsidRPr="0002631B" w:rsidRDefault="00882443" w:rsidP="00337EA1">
            <w:pPr>
              <w:spacing w:after="0" w:line="240" w:lineRule="auto"/>
              <w:jc w:val="right"/>
              <w:rPr>
                <w:rFonts w:eastAsia="Times New Roman" w:cs="Times New Roman"/>
                <w:color w:val="000000"/>
                <w:kern w:val="0"/>
                <w:sz w:val="22"/>
                <w:szCs w:val="22"/>
                <w14:ligatures w14:val="none"/>
              </w:rPr>
            </w:pPr>
            <w:r w:rsidRPr="0002631B">
              <w:rPr>
                <w:rFonts w:eastAsia="Times New Roman" w:cs="Times New Roman"/>
                <w:color w:val="000000"/>
                <w:kern w:val="0"/>
                <w:sz w:val="22"/>
                <w:szCs w:val="22"/>
                <w14:ligatures w14:val="none"/>
              </w:rPr>
              <w:t>0.52</w:t>
            </w:r>
          </w:p>
        </w:tc>
      </w:tr>
      <w:tr w:rsidR="00882443" w:rsidRPr="0002631B" w14:paraId="6471EAEF" w14:textId="77777777" w:rsidTr="00487A67">
        <w:trPr>
          <w:trHeight w:val="288"/>
          <w:jc w:val="center"/>
        </w:trPr>
        <w:tc>
          <w:tcPr>
            <w:tcW w:w="3131" w:type="dxa"/>
            <w:gridSpan w:val="3"/>
            <w:tcBorders>
              <w:right w:val="nil"/>
            </w:tcBorders>
            <w:noWrap/>
            <w:vAlign w:val="bottom"/>
            <w:hideMark/>
          </w:tcPr>
          <w:p w14:paraId="2271739A" w14:textId="77777777" w:rsidR="00882443" w:rsidRPr="0002631B" w:rsidRDefault="00882443" w:rsidP="00337EA1">
            <w:pPr>
              <w:spacing w:after="0" w:line="240" w:lineRule="auto"/>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Total (Capacity Weighted Average)</w:t>
            </w:r>
          </w:p>
        </w:tc>
        <w:tc>
          <w:tcPr>
            <w:tcW w:w="960" w:type="dxa"/>
            <w:tcBorders>
              <w:left w:val="nil"/>
            </w:tcBorders>
            <w:noWrap/>
            <w:vAlign w:val="bottom"/>
            <w:hideMark/>
          </w:tcPr>
          <w:p w14:paraId="756CA7E5" w14:textId="77777777" w:rsidR="00882443" w:rsidRPr="0002631B" w:rsidRDefault="00882443" w:rsidP="00337EA1">
            <w:pPr>
              <w:spacing w:after="0" w:line="240" w:lineRule="auto"/>
              <w:rPr>
                <w:rFonts w:eastAsia="Times New Roman" w:cs="Times New Roman"/>
                <w:b/>
                <w:bCs/>
                <w:color w:val="000000"/>
                <w:kern w:val="0"/>
                <w:sz w:val="22"/>
                <w:szCs w:val="22"/>
                <w14:ligatures w14:val="none"/>
              </w:rPr>
            </w:pPr>
          </w:p>
        </w:tc>
      </w:tr>
      <w:tr w:rsidR="00882443" w:rsidRPr="0002631B" w14:paraId="6BC96055" w14:textId="77777777" w:rsidTr="00487A67">
        <w:trPr>
          <w:trHeight w:val="288"/>
          <w:jc w:val="center"/>
        </w:trPr>
        <w:tc>
          <w:tcPr>
            <w:tcW w:w="1124" w:type="dxa"/>
            <w:noWrap/>
            <w:vAlign w:val="bottom"/>
            <w:hideMark/>
          </w:tcPr>
          <w:p w14:paraId="014EBEA6"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1995</w:t>
            </w:r>
          </w:p>
        </w:tc>
        <w:tc>
          <w:tcPr>
            <w:tcW w:w="1044" w:type="dxa"/>
            <w:noWrap/>
            <w:vAlign w:val="bottom"/>
            <w:hideMark/>
          </w:tcPr>
          <w:p w14:paraId="44F4A864"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79.6</w:t>
            </w:r>
          </w:p>
        </w:tc>
        <w:tc>
          <w:tcPr>
            <w:tcW w:w="963" w:type="dxa"/>
            <w:noWrap/>
            <w:vAlign w:val="bottom"/>
            <w:hideMark/>
          </w:tcPr>
          <w:p w14:paraId="78ECE61C"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19.9</w:t>
            </w:r>
          </w:p>
        </w:tc>
        <w:tc>
          <w:tcPr>
            <w:tcW w:w="960" w:type="dxa"/>
            <w:noWrap/>
            <w:vAlign w:val="bottom"/>
            <w:hideMark/>
          </w:tcPr>
          <w:p w14:paraId="3344A70D"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0.49</w:t>
            </w:r>
          </w:p>
        </w:tc>
      </w:tr>
      <w:tr w:rsidR="00882443" w:rsidRPr="0002631B" w14:paraId="42B86052" w14:textId="77777777" w:rsidTr="00487A67">
        <w:trPr>
          <w:trHeight w:val="288"/>
          <w:jc w:val="center"/>
        </w:trPr>
        <w:tc>
          <w:tcPr>
            <w:tcW w:w="1124" w:type="dxa"/>
            <w:noWrap/>
            <w:vAlign w:val="bottom"/>
            <w:hideMark/>
          </w:tcPr>
          <w:p w14:paraId="27818914"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2023</w:t>
            </w:r>
          </w:p>
        </w:tc>
        <w:tc>
          <w:tcPr>
            <w:tcW w:w="1044" w:type="dxa"/>
            <w:noWrap/>
            <w:vAlign w:val="bottom"/>
            <w:hideMark/>
          </w:tcPr>
          <w:p w14:paraId="2F7482D5"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85.5</w:t>
            </w:r>
          </w:p>
        </w:tc>
        <w:tc>
          <w:tcPr>
            <w:tcW w:w="963" w:type="dxa"/>
            <w:noWrap/>
            <w:vAlign w:val="bottom"/>
            <w:hideMark/>
          </w:tcPr>
          <w:p w14:paraId="23CBF28F"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13.9</w:t>
            </w:r>
          </w:p>
        </w:tc>
        <w:tc>
          <w:tcPr>
            <w:tcW w:w="960" w:type="dxa"/>
            <w:noWrap/>
            <w:vAlign w:val="bottom"/>
            <w:hideMark/>
          </w:tcPr>
          <w:p w14:paraId="62250EDF" w14:textId="77777777" w:rsidR="00882443" w:rsidRPr="0002631B" w:rsidRDefault="00882443" w:rsidP="00337EA1">
            <w:pPr>
              <w:spacing w:after="0" w:line="240" w:lineRule="auto"/>
              <w:jc w:val="right"/>
              <w:rPr>
                <w:rFonts w:eastAsia="Times New Roman" w:cs="Times New Roman"/>
                <w:b/>
                <w:bCs/>
                <w:color w:val="000000"/>
                <w:kern w:val="0"/>
                <w:sz w:val="22"/>
                <w:szCs w:val="22"/>
                <w14:ligatures w14:val="none"/>
              </w:rPr>
            </w:pPr>
            <w:r w:rsidRPr="0002631B">
              <w:rPr>
                <w:rFonts w:eastAsia="Times New Roman" w:cs="Times New Roman"/>
                <w:b/>
                <w:bCs/>
                <w:color w:val="000000"/>
                <w:kern w:val="0"/>
                <w:sz w:val="22"/>
                <w:szCs w:val="22"/>
                <w14:ligatures w14:val="none"/>
              </w:rPr>
              <w:t>0.58</w:t>
            </w:r>
          </w:p>
        </w:tc>
      </w:tr>
    </w:tbl>
    <w:p w14:paraId="3654056D" w14:textId="77777777" w:rsidR="00882443" w:rsidRPr="000823E2" w:rsidRDefault="00882443" w:rsidP="00882443"/>
    <w:p w14:paraId="1E481569" w14:textId="1F33A028" w:rsidR="003E6A9C" w:rsidRDefault="001C7BB1" w:rsidP="00CE3395">
      <w:pPr>
        <w:spacing w:after="0" w:line="480" w:lineRule="auto"/>
        <w:ind w:firstLine="720"/>
      </w:pPr>
      <w:r>
        <w:t xml:space="preserve">The </w:t>
      </w:r>
      <w:r w:rsidR="003E6A9C">
        <w:t>observed increase in equipment’s share of total capital is consistent with new plants new units being more equipment intensive</w:t>
      </w:r>
      <w:r w:rsidR="00D03A8F">
        <w:t xml:space="preserve"> over time</w:t>
      </w:r>
      <w:r w:rsidR="003E6A9C">
        <w:t xml:space="preserve">, along with existing plants experiencing equipment reinvestment while structural components remain largely unchanged. Coal units added environmental investments during this period with relatively limited structural modification, discussed further in section </w:t>
      </w:r>
      <w:r w:rsidR="003E6A9C">
        <w:fldChar w:fldCharType="begin"/>
      </w:r>
      <w:r w:rsidR="003E6A9C">
        <w:instrText xml:space="preserve"> REF _Ref214449565 \r \h </w:instrText>
      </w:r>
      <w:r w:rsidR="00CE3395">
        <w:instrText xml:space="preserve"> \* MERGEFORMAT </w:instrText>
      </w:r>
      <w:r w:rsidR="003E6A9C">
        <w:fldChar w:fldCharType="separate"/>
      </w:r>
      <w:r w:rsidR="00CD17CC">
        <w:t>10</w:t>
      </w:r>
      <w:r w:rsidR="003E6A9C">
        <w:fldChar w:fldCharType="end"/>
      </w:r>
      <w:r w:rsidR="003E6A9C">
        <w:t>.</w:t>
      </w:r>
      <w:r w:rsidR="003734CF" w:rsidRPr="003734CF">
        <w:t xml:space="preserve"> </w:t>
      </w:r>
      <w:r w:rsidR="003734CF">
        <w:t xml:space="preserve">New natural gas plants during this period incorporated more advanced, higher efficiency turbine equipment, while existing gas plants experienced recurring turbine, generator, and heat recovery module </w:t>
      </w:r>
      <w:r w:rsidR="00871C3E">
        <w:t>upgrades</w:t>
      </w:r>
      <w:r w:rsidR="00BE1010">
        <w:t xml:space="preserve"> </w:t>
      </w:r>
      <w:r w:rsidR="00BE1010">
        <w:fldChar w:fldCharType="begin"/>
      </w:r>
      <w:r w:rsidR="00864649">
        <w:instrText xml:space="preserve"> ADDIN ZOTERO_ITEM CSL_CITATION {"citationID":"eCxx9Wcs","properties":{"formattedCitation":"(Andover Technology Partners, 2018; U.S. Energy Information Administration, 2023)","plainCitation":"(Andover Technology Partners, 2018; U.S. Energy Information Administration, 2023)","noteIndex":0},"citationItems":[{"id":447,"uris":["http://zotero.org/users/14790435/items/QBY4YQTR"],"itemData":{"id":447,"type":"report","abstract":"Energy Information Administration - EIA - Official Energy Statistics from the U.S. Government","title":"Natural gas combined-cycle power plants increased utilization with improved technology - U.S. Energy Information Administration (EIA)","URL":"https://www.eia.gov/todayinenergy/detail.php?id=60984","author":[{"family":"U.S. Energy Information Administration","given":""}],"accessed":{"date-parts":[["2025",11,19]]},"issued":{"date-parts":[["2023",11,20]]}}},{"id":450,"uris":["http://zotero.org/users/14790435/items/73SAI3BG"],"itemData":{"id":450,"type":"report","title":"Improving Heat Rate on Combined Cycle Power Plants","URL":"https://www.andovertechnology.com/wp-content/uploads/2021/03/C_18_EDF_FINAL.pdf","author":[{"family":"Andover Technology Partners","given":""}],"issued":{"date-parts":[["2018",10,3]]}}}],"schema":"https://github.com/citation-style-language/schema/raw/master/csl-citation.json"} </w:instrText>
      </w:r>
      <w:r w:rsidR="00BE1010">
        <w:fldChar w:fldCharType="separate"/>
      </w:r>
      <w:r w:rsidR="00864649" w:rsidRPr="00864649">
        <w:t>(Andover Technology Partners, 2018; U.S. Energy Information Administration, 2023)</w:t>
      </w:r>
      <w:r w:rsidR="00BE1010">
        <w:fldChar w:fldCharType="end"/>
      </w:r>
      <w:r w:rsidR="003734CF">
        <w:t>. Nuclear plants experienced equipment replacements as well as safety and security upgrades during this period</w:t>
      </w:r>
      <w:r w:rsidR="002A0DC7">
        <w:t xml:space="preserve"> </w:t>
      </w:r>
      <w:r w:rsidR="002A0DC7">
        <w:fldChar w:fldCharType="begin"/>
      </w:r>
      <w:r w:rsidR="00864649">
        <w:instrText xml:space="preserve"> ADDIN ZOTERO_ITEM CSL_CITATION {"citationID":"ZwTjCAjk","properties":{"formattedCitation":"(Hultman et al., 2007; Kessides, 2010)","plainCitation":"(Hultman et al., 2007; Kessides, 2010)","noteIndex":0},"citationItems":[{"id":453,"uris":["http://zotero.org/users/14790435/items/PVCEZDIL"],"itemData":{"id":453,"type":"article-journal","abstract":"This paper identifies the fundamental elements and critical research tasks of a comprehensive analysis of the costs and benefits of nuclear power relative to investments in alternative baseload technologies. The proposed framework seeks to: (i) identify the set of expected parameter values under which nuclear power becomes cost competitive relative to alternative generating technologies; (ii) identify the main risk drivers and quantify their impacts on the costs of nuclear power; (iii) estimate the nuclear power option value; (iv) assess the nexus between electricity market structure and the commercial attractiveness of nuclear power; (v) evaluate the economics of smaller sized nuclear reactors; (vi) identify options for strengthening the institutional underpinnings of the international safeguards regime; and (vii) evaluate the proliferation resistance of new generation reactors and fuel cycles.","container-title":"Energy Policy","DOI":"10.1016/j.enpol.2010.03.005","ISSN":"0301-4215","issue":"8","journalAbbreviation":"Energy Policy","page":"3849-3864","source":"ScienceDirect","title":"Nuclear power: Understanding the economic risks and uncertainties","title-short":"Nuclear power","volume":"38","author":[{"family":"Kessides","given":"Ioannis N."}],"issued":{"date-parts":[["2010",8,1]]}}},{"id":451,"uris":["http://zotero.org/users/14790435/items/XR4R6EE7"],"itemData":{"id":451,"type":"article-journal","container-title":"Environmental Science &amp; Technology","DOI":"10.1021/es0725089","ISSN":"0013-936X, 1520-5851","issue":"7","journalAbbreviation":"Environ. Sci. Technol.","language":"en","page":"2087-2094","source":"DOI.org (Crossref)","title":"What History Can Teach Us About the Future Costs of U.S. Nuclear Power","volume":"41","author":[{"family":"Hultman","given":"Nathan E."},{"family":"Koomey","given":"Jonathan G."},{"family":"Kammen","given":"Daniel M."}],"issued":{"date-parts":[["2007",4,1]]}}}],"schema":"https://github.com/citation-style-language/schema/raw/master/csl-citation.json"} </w:instrText>
      </w:r>
      <w:r w:rsidR="002A0DC7">
        <w:fldChar w:fldCharType="separate"/>
      </w:r>
      <w:r w:rsidR="00864649" w:rsidRPr="00864649">
        <w:t xml:space="preserve">(Hultman et al., 2007; </w:t>
      </w:r>
      <w:proofErr w:type="spellStart"/>
      <w:r w:rsidR="00864649" w:rsidRPr="00864649">
        <w:t>Kessides</w:t>
      </w:r>
      <w:proofErr w:type="spellEnd"/>
      <w:r w:rsidR="00864649" w:rsidRPr="00864649">
        <w:t>, 2010)</w:t>
      </w:r>
      <w:r w:rsidR="002A0DC7">
        <w:fldChar w:fldCharType="end"/>
      </w:r>
      <w:r w:rsidR="003734CF">
        <w:t>.</w:t>
      </w:r>
    </w:p>
    <w:p w14:paraId="5734881D" w14:textId="182BB1D5" w:rsidR="003E6A9C" w:rsidRDefault="008E32A9" w:rsidP="00CE3395">
      <w:pPr>
        <w:spacing w:line="480" w:lineRule="auto"/>
        <w:ind w:firstLine="720"/>
      </w:pPr>
      <w:r>
        <w:lastRenderedPageBreak/>
        <w:t>Given that the capital account data represents running book balances, the original capital expended at installation cannot be observed for plants that were installed prior to the sample period (1994). The data does provide an opportunity to observe initial capital expenditures associated with new plant construction for plants built after 1994.</w:t>
      </w:r>
      <w:r w:rsidR="00012C13">
        <w:t xml:space="preserve"> </w:t>
      </w:r>
      <w:r w:rsidR="00012C13">
        <w:fldChar w:fldCharType="begin"/>
      </w:r>
      <w:r w:rsidR="00012C13">
        <w:instrText xml:space="preserve"> REF _Ref215834322 \h </w:instrText>
      </w:r>
      <w:r w:rsidR="00CE3395">
        <w:instrText xml:space="preserve"> \* MERGEFORMAT </w:instrText>
      </w:r>
      <w:r w:rsidR="00012C13">
        <w:fldChar w:fldCharType="separate"/>
      </w:r>
      <w:r w:rsidR="00CD17CC" w:rsidRPr="006300E4">
        <w:t xml:space="preserve">Figure </w:t>
      </w:r>
      <w:r w:rsidR="00CD17CC">
        <w:rPr>
          <w:noProof/>
        </w:rPr>
        <w:t>5</w:t>
      </w:r>
      <w:r w:rsidR="00012C13">
        <w:fldChar w:fldCharType="end"/>
      </w:r>
      <w:r w:rsidR="00012C13">
        <w:t xml:space="preserve"> displays capital costs in $/kW for coal and natural gas plants installed between 1995 and 2015</w:t>
      </w:r>
      <w:r w:rsidR="001E7284">
        <w:t>. It includes 14 coal units, 64 combined cycle, and 91 combustion turbine units installed during the sample period.</w:t>
      </w:r>
    </w:p>
    <w:p w14:paraId="68D02465" w14:textId="142B1300" w:rsidR="008E32A9" w:rsidRDefault="009A0480" w:rsidP="00916817">
      <w:pPr>
        <w:keepNext/>
        <w:jc w:val="center"/>
      </w:pPr>
      <w:r w:rsidRPr="009A0480">
        <w:rPr>
          <w:noProof/>
        </w:rPr>
        <w:drawing>
          <wp:inline distT="0" distB="0" distL="0" distR="0" wp14:anchorId="0B827FFA" wp14:editId="138CE40B">
            <wp:extent cx="4975860" cy="2866436"/>
            <wp:effectExtent l="0" t="0" r="0" b="0"/>
            <wp:docPr id="2091945144" name="Picture 2"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5144" name="Picture 2" descr="Chart, scatter 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9162" cy="2868338"/>
                    </a:xfrm>
                    <a:prstGeom prst="rect">
                      <a:avLst/>
                    </a:prstGeom>
                    <a:noFill/>
                    <a:ln>
                      <a:noFill/>
                    </a:ln>
                  </pic:spPr>
                </pic:pic>
              </a:graphicData>
            </a:graphic>
          </wp:inline>
        </w:drawing>
      </w:r>
    </w:p>
    <w:p w14:paraId="353230A9" w14:textId="26314731" w:rsidR="00882443" w:rsidRPr="006300E4" w:rsidRDefault="008E32A9" w:rsidP="006300E4">
      <w:pPr>
        <w:pStyle w:val="Caption"/>
      </w:pPr>
      <w:bookmarkStart w:id="16" w:name="_Ref215834322"/>
      <w:r w:rsidRPr="006300E4">
        <w:t xml:space="preserve">Figure </w:t>
      </w:r>
      <w:r w:rsidR="00BF3A2E">
        <w:fldChar w:fldCharType="begin"/>
      </w:r>
      <w:r w:rsidR="00BF3A2E">
        <w:instrText xml:space="preserve"> SEQ Figure \* ARABIC </w:instrText>
      </w:r>
      <w:r w:rsidR="00BF3A2E">
        <w:fldChar w:fldCharType="separate"/>
      </w:r>
      <w:r w:rsidR="00CD17CC">
        <w:rPr>
          <w:noProof/>
        </w:rPr>
        <w:t>5</w:t>
      </w:r>
      <w:r w:rsidR="00BF3A2E">
        <w:fldChar w:fldCharType="end"/>
      </w:r>
      <w:bookmarkEnd w:id="16"/>
      <w:r w:rsidR="00E64E7D" w:rsidRPr="006300E4">
        <w:t xml:space="preserve"> </w:t>
      </w:r>
      <w:r w:rsidR="00B937E3" w:rsidRPr="006300E4">
        <w:t>Nominal c</w:t>
      </w:r>
      <w:r w:rsidR="00E64E7D" w:rsidRPr="006300E4">
        <w:t xml:space="preserve">apital </w:t>
      </w:r>
      <w:r w:rsidR="00B937E3" w:rsidRPr="006300E4">
        <w:t xml:space="preserve">book values at installation </w:t>
      </w:r>
      <w:r w:rsidR="00E64E7D" w:rsidRPr="006300E4">
        <w:t>for power plants installed during the sample period, by technology type</w:t>
      </w:r>
      <w:r w:rsidR="00D0729E" w:rsidRPr="006300E4">
        <w:t>.</w:t>
      </w:r>
    </w:p>
    <w:p w14:paraId="46A82C56" w14:textId="708CA4D7" w:rsidR="00970D3E" w:rsidRDefault="00C90CA3" w:rsidP="00CE3395">
      <w:pPr>
        <w:spacing w:after="0" w:line="480" w:lineRule="auto"/>
        <w:ind w:firstLine="720"/>
      </w:pPr>
      <w:r>
        <w:t>Coal plants installed during this period required higher capital costs per kilowatt than the natural gas technologies, with 3 earlier plants</w:t>
      </w:r>
      <w:r w:rsidR="008157C4">
        <w:t xml:space="preserve"> installed around 1996</w:t>
      </w:r>
      <w:r>
        <w:t xml:space="preserve"> </w:t>
      </w:r>
      <w:r w:rsidR="008157C4">
        <w:t xml:space="preserve">experiencing costs </w:t>
      </w:r>
      <w:r>
        <w:t xml:space="preserve">around $1,400/kW, and newer coal plants installed around 2010 ranging </w:t>
      </w:r>
      <w:r w:rsidR="009A0480">
        <w:t xml:space="preserve">between </w:t>
      </w:r>
      <w:r>
        <w:t>$900-3100/kW</w:t>
      </w:r>
      <w:r w:rsidR="008157C4">
        <w:t xml:space="preserve">. </w:t>
      </w:r>
      <w:r w:rsidR="009A0480">
        <w:t>In contrast, natural gas power plants show lower installation capital costs, with</w:t>
      </w:r>
      <w:r w:rsidR="00171A6C">
        <w:t xml:space="preserve"> installations in the first half of the period generally ranging between $100-700/kW, and in the latter half of the period ranging between $300</w:t>
      </w:r>
      <w:r w:rsidR="00D42D67">
        <w:t>-</w:t>
      </w:r>
      <w:r w:rsidR="00171A6C">
        <w:t>1500/kW.</w:t>
      </w:r>
    </w:p>
    <w:p w14:paraId="1754CA41" w14:textId="0B47C12D" w:rsidR="0086185B" w:rsidRDefault="00B70128" w:rsidP="00A84547">
      <w:pPr>
        <w:spacing w:line="480" w:lineRule="auto"/>
        <w:ind w:firstLine="720"/>
      </w:pPr>
      <w:r>
        <w:lastRenderedPageBreak/>
        <w:t>For additional context, the National Renewable Energy Laboratory’s Annual Technology Baseline (ATB) provides benchmark estimates for new generation technologies. NREL’s 2015</w:t>
      </w:r>
      <w:r w:rsidR="007C192F">
        <w:t xml:space="preserve"> ATB</w:t>
      </w:r>
      <w:r>
        <w:t xml:space="preserve"> reported the total capital expenditures at $867/kW for a new combustion turbine, $1,021/kW for a new combined cycle plant, and $3,446/kW for a new coal plant</w:t>
      </w:r>
      <w:r w:rsidR="00A84BBC">
        <w:t xml:space="preserve"> </w:t>
      </w:r>
      <w:r w:rsidR="00A84BBC">
        <w:fldChar w:fldCharType="begin"/>
      </w:r>
      <w:r w:rsidR="00864649">
        <w:instrText xml:space="preserve"> ADDIN ZOTERO_ITEM CSL_CITATION {"citationID":"mC7dlIQq","properties":{"formattedCitation":"(National Renewable Energy Laboratory (NREL), 2015)","plainCitation":"(National Renewable Energy Laboratory (NREL), 2015)","noteIndex":0},"citationItems":[{"id":455,"uris":["http://zotero.org/users/14790435/items/TGJVJHXN"],"itemData":{"id":455,"type":"report","title":"Annual Technology Baseline","author":[{"family":"National Renewable Energy Laboratory (NREL)","given":""}],"issued":{"date-parts":[["2015"]]}}}],"schema":"https://github.com/citation-style-language/schema/raw/master/csl-citation.json"} </w:instrText>
      </w:r>
      <w:r w:rsidR="00A84BBC">
        <w:fldChar w:fldCharType="separate"/>
      </w:r>
      <w:r w:rsidR="00864649" w:rsidRPr="00864649">
        <w:t>(National Renewable Energy Laboratory (NREL), 2015)</w:t>
      </w:r>
      <w:r w:rsidR="00A84BBC">
        <w:fldChar w:fldCharType="end"/>
      </w:r>
      <w:r>
        <w:t>. These values are consistent with, albeit on the higher end, the ranges observed near the end of the sample period</w:t>
      </w:r>
      <w:r w:rsidR="006C43CA">
        <w:t>.</w:t>
      </w:r>
    </w:p>
    <w:p w14:paraId="59240960" w14:textId="4CB75DD9" w:rsidR="00136425" w:rsidRDefault="00832E09" w:rsidP="00136425">
      <w:pPr>
        <w:pStyle w:val="Heading1"/>
      </w:pPr>
      <w:bookmarkStart w:id="17" w:name="_Ref214449565"/>
      <w:r>
        <w:t>Coal Plant Investment and Environmental Regulation</w:t>
      </w:r>
      <w:bookmarkEnd w:id="17"/>
    </w:p>
    <w:p w14:paraId="69D152CD" w14:textId="68DCD3AC" w:rsidR="007258CF" w:rsidRPr="007258CF" w:rsidRDefault="00D96343" w:rsidP="007258CF">
      <w:pPr>
        <w:spacing w:after="0" w:line="480" w:lineRule="auto"/>
        <w:ind w:firstLine="720"/>
      </w:pPr>
      <w:r>
        <w:t xml:space="preserve">The descriptive analysis in section </w:t>
      </w:r>
      <w:r>
        <w:fldChar w:fldCharType="begin"/>
      </w:r>
      <w:r>
        <w:instrText xml:space="preserve"> REF _Ref218928942 \r \h </w:instrText>
      </w:r>
      <w:r>
        <w:fldChar w:fldCharType="separate"/>
      </w:r>
      <w:r w:rsidR="00CD17CC">
        <w:t>9.5</w:t>
      </w:r>
      <w:r>
        <w:fldChar w:fldCharType="end"/>
      </w:r>
      <w:r>
        <w:t xml:space="preserve"> showed a significant difference in coal capital investment over time compared to other technologies. This section examines in depth the role of environmental regulation in shaping coal plant investment patterns </w:t>
      </w:r>
      <w:r w:rsidR="002923D4">
        <w:t>during the 2000-2020 time frame.</w:t>
      </w:r>
    </w:p>
    <w:p w14:paraId="47E7988B" w14:textId="2AB66988" w:rsidR="000212E6" w:rsidRPr="000212E6" w:rsidRDefault="000212E6" w:rsidP="00DC40BB">
      <w:pPr>
        <w:pStyle w:val="Heading2"/>
      </w:pPr>
      <w:r>
        <w:t>Overview of EPA Environmental Regulations (2000s-2010s)</w:t>
      </w:r>
    </w:p>
    <w:p w14:paraId="58D2E4E5" w14:textId="138BF522" w:rsidR="00136425" w:rsidRDefault="000212E6" w:rsidP="00671FF4">
      <w:pPr>
        <w:spacing w:after="0" w:line="480" w:lineRule="auto"/>
        <w:ind w:firstLine="720"/>
      </w:pPr>
      <w:r>
        <w:t>The</w:t>
      </w:r>
      <w:r w:rsidR="00136425">
        <w:t xml:space="preserve"> EPA’s Clean Air Interstate Rule (CAIR), which built on the acid rain program, mandated additional nitrogen oxides (</w:t>
      </w:r>
      <w:r w:rsidR="00136425" w:rsidRPr="00B72046">
        <w:t>NO</w:t>
      </w:r>
      <w:r w:rsidR="00136425" w:rsidRPr="00B72046">
        <w:rPr>
          <w:vertAlign w:val="subscript"/>
        </w:rPr>
        <w:t>x</w:t>
      </w:r>
      <w:r w:rsidR="00136425">
        <w:t>) reductions starting in 2009 and sulfur dioxide (SO</w:t>
      </w:r>
      <w:r w:rsidR="00136425" w:rsidRPr="00B72046">
        <w:rPr>
          <w:vertAlign w:val="subscript"/>
        </w:rPr>
        <w:t>2</w:t>
      </w:r>
      <w:r w:rsidR="00136425">
        <w:t xml:space="preserve">) reductions beginning in 2010 </w:t>
      </w:r>
      <w:r w:rsidR="00136425">
        <w:fldChar w:fldCharType="begin"/>
      </w:r>
      <w:r w:rsidR="00864649">
        <w:instrText xml:space="preserve"> ADDIN ZOTERO_ITEM CSL_CITATION {"citationID":"BIf0lhgg","properties":{"formattedCitation":"(U.S. Environmental Protection Agency, 2005a)","plainCitation":"(U.S. Environmental Protection Agency, 2005a)","noteIndex":0},"citationItems":[{"id":77,"uris":["http://zotero.org/users/14790435/items/LRLVJ9TN"],"itemData":{"id":77,"type":"legislation","title":"Rule to Reduce Interstate Transport of Fine Particulate Matter and Ozone (Clean Air Interstate Rule)","URL":"https://www.federalregister.gov/documents/2005/05/12/05-5723/rule-to-reduce-interstate-transport-of-fine-particulate-matter-and-ozone-clean-air-interstate-rule","author":[{"family":"U.S. Environmental Protection Agency","given":""}],"issued":{"date-parts":[["2005",5,12]]}}}],"schema":"https://github.com/citation-style-language/schema/raw/master/csl-citation.json"} </w:instrText>
      </w:r>
      <w:r w:rsidR="00136425">
        <w:fldChar w:fldCharType="separate"/>
      </w:r>
      <w:r w:rsidR="00864649" w:rsidRPr="00864649">
        <w:t>(U.S. Environmental Protection Agency, 2005a)</w:t>
      </w:r>
      <w:r w:rsidR="00136425">
        <w:fldChar w:fldCharType="end"/>
      </w:r>
      <w:r w:rsidR="00136425">
        <w:t>. CAIR required 28 eastern states and the District of Columbia to reduce SO</w:t>
      </w:r>
      <w:r w:rsidR="00136425">
        <w:rPr>
          <w:vertAlign w:val="subscript"/>
        </w:rPr>
        <w:t>2</w:t>
      </w:r>
      <w:r w:rsidR="00136425">
        <w:t xml:space="preserve"> and/or NO</w:t>
      </w:r>
      <w:r w:rsidR="00136425">
        <w:rPr>
          <w:vertAlign w:val="subscript"/>
        </w:rPr>
        <w:t>x</w:t>
      </w:r>
      <w:r w:rsidR="00136425">
        <w:t xml:space="preserve"> emissions </w:t>
      </w:r>
      <w:r w:rsidR="00136425">
        <w:fldChar w:fldCharType="begin"/>
      </w:r>
      <w:r w:rsidR="00864649">
        <w:instrText xml:space="preserve"> ADDIN ZOTERO_ITEM CSL_CITATION {"citationID":"cewXAGtS","properties":{"formattedCitation":"(U.S. Environmental Protection Agency, 2005b)","plainCitation":"(U.S. Environmental Protection Agency, 2005b)","noteIndex":0},"citationItems":[{"id":430,"uris":["http://zotero.org/users/14790435/items/LY8XIATY"],"itemData":{"id":430,"type":"legislation","container-title":"Federal Register","page":"25162","title":"Rule to Reduce Interstate Transport of Fine Particulate Matter and Ozone (Clean Air Interstate Rule); Revisions to Acid Rain Program; Revisions to the NOₓ SIP Call","title-short":"Clean Air Interstate Rule","URL":"https://www.federalregister.gov/documents/2005/05/12/05-5723/rule-to-reduce-interstate-transport-of-fine-particulate-matter-and-ozone-clean-air-interstate-rule","volume":"70","author":[{"family":"U.S. Environmental Protection Agency","given":""}],"issued":{"date-parts":[["2005",5,12]]}}}],"schema":"https://github.com/citation-style-language/schema/raw/master/csl-citation.json"} </w:instrText>
      </w:r>
      <w:r w:rsidR="00136425">
        <w:fldChar w:fldCharType="separate"/>
      </w:r>
      <w:r w:rsidR="00864649" w:rsidRPr="00864649">
        <w:t>(U.S. Environmental Protection Agency, 2005b)</w:t>
      </w:r>
      <w:r w:rsidR="00136425">
        <w:fldChar w:fldCharType="end"/>
      </w:r>
      <w:r w:rsidR="00136425">
        <w:t xml:space="preserve">. In 2011, in response to legal challenges, the EPA finalized the Cross-State Air Pollution Rule (CSAPR) to replace CAIR, covering the same set of eastern states. After ongoing court challenges and delays, the CSAPR phased deadlines were ultimately set at 2015 and 2017 </w:t>
      </w:r>
      <w:r w:rsidR="00136425">
        <w:fldChar w:fldCharType="begin"/>
      </w:r>
      <w:r w:rsidR="00864649">
        <w:instrText xml:space="preserve"> ADDIN ZOTERO_ITEM CSL_CITATION {"citationID":"ml6cnFQQ","properties":{"formattedCitation":"(U.S. Environmental Protection Agency, 2016)","plainCitation":"(U.S. Environmental Protection Agency, 2016)","noteIndex":0},"citationItems":[{"id":71,"uris":["http://zotero.org/users/14790435/items/EI5XLXFX"],"itemData":{"id":71,"type":"legislation","container-title":"40 CFR Parts 51, 52, 97","title":"Rulemaking To Affirm Interim Amendments to Dates in Federal Implementation Plans Addressing Interstate Transport of Ozone and Fine Particulate Matter","URL":"https://www.federalregister.gov/documents/2016/03/14/2016-04889/rulemaking-to-affirm-interim-amendments-to-dates-in-federal-implementation-plans-addressing","author":[{"family":"U.S. Environmental Protection Agency","given":""}],"issued":{"date-parts":[["2016",3,14]]}}}],"schema":"https://github.com/citation-style-language/schema/raw/master/csl-citation.json"} </w:instrText>
      </w:r>
      <w:r w:rsidR="00136425">
        <w:fldChar w:fldCharType="separate"/>
      </w:r>
      <w:r w:rsidR="00864649" w:rsidRPr="00864649">
        <w:t>(U.S. Environmental Protection Agency, 2016)</w:t>
      </w:r>
      <w:r w:rsidR="00136425">
        <w:fldChar w:fldCharType="end"/>
      </w:r>
      <w:r w:rsidR="00136425">
        <w:t xml:space="preserve">. To comply with these successive regulations, the EPA expected in its regulatory impact analyses that coal plants would make capital investments primarily in selective catalytic reduction (SCR) systems to </w:t>
      </w:r>
      <w:r w:rsidR="00136425">
        <w:lastRenderedPageBreak/>
        <w:t>control NO</w:t>
      </w:r>
      <w:r w:rsidR="00136425" w:rsidRPr="00875F7E">
        <w:rPr>
          <w:vertAlign w:val="subscript"/>
        </w:rPr>
        <w:t>x</w:t>
      </w:r>
      <w:r w:rsidR="00136425">
        <w:t xml:space="preserve"> and flue-gas desulfurization (FGD) systems, or “scrubbers”, for SO</w:t>
      </w:r>
      <w:r w:rsidR="00136425" w:rsidRPr="00875F7E">
        <w:rPr>
          <w:vertAlign w:val="subscript"/>
        </w:rPr>
        <w:t>2</w:t>
      </w:r>
      <w:r w:rsidR="00136425">
        <w:t xml:space="preserve"> </w:t>
      </w:r>
      <w:r w:rsidR="00136425">
        <w:fldChar w:fldCharType="begin"/>
      </w:r>
      <w:r w:rsidR="00864649">
        <w:instrText xml:space="preserve"> ADDIN ZOTERO_ITEM CSL_CITATION {"citationID":"S9IROLmM","properties":{"formattedCitation":"(U.S. Environmental Protection Agency, 2015, 2005c)","plainCitation":"(U.S. Environmental Protection Agency, 2015, 2005c)","noteIndex":0},"citationItems":[{"id":70,"uris":["http://zotero.org/users/14790435/items/8A93FA76"],"itemData":{"id":70,"type":"report","number":"EPA-452/R-05-002","page":"7-17","title":"Regulatory Impact Analysis for the Final Clean Air Interstate Rule","URL":"https://www.epa.gov/sites/default/files/2020-07/documents/transport_ria_final-clean-air-interstate-rule_2005-03.pdf","author":[{"family":"U.S. Environmental Protection Agency","given":""}],"issued":{"date-parts":[["2005",3]]}}},{"id":69,"uris":["http://zotero.org/users/14790435/items/NYXPWBV8"],"itemData":{"id":69,"type":"report","number":"EPA-452/R-15-009","title":"Regulatory Impact Analysis for the Proposed Cross-State Air Pollution Rule (CSAPR) Update for the 2008 National Ambient Air Quality Standards (NAAQS)","URL":"https://www.epa.gov/sites/default/files/2015-11/documents/csapr_update_ria.pdf","author":[{"family":"U.S. Environmental Protection Agency","given":""}],"issued":{"date-parts":[["2015",11]]}}}],"schema":"https://github.com/citation-style-language/schema/raw/master/csl-citation.json"} </w:instrText>
      </w:r>
      <w:r w:rsidR="00136425">
        <w:fldChar w:fldCharType="separate"/>
      </w:r>
      <w:r w:rsidR="00864649" w:rsidRPr="00864649">
        <w:t>(U.S. Environmental Protection Agency, 2015, 2005c)</w:t>
      </w:r>
      <w:r w:rsidR="00136425">
        <w:fldChar w:fldCharType="end"/>
      </w:r>
      <w:r w:rsidR="00136425">
        <w:t>.</w:t>
      </w:r>
    </w:p>
    <w:p w14:paraId="2DA411B0" w14:textId="3A72C391" w:rsidR="00136425" w:rsidRDefault="00136425" w:rsidP="00671FF4">
      <w:pPr>
        <w:spacing w:after="0" w:line="480" w:lineRule="auto"/>
        <w:ind w:firstLine="720"/>
      </w:pPr>
      <w:r>
        <w:t xml:space="preserve">EPA’s Regional Haze Rule (RHR) was finalized in 1999, focused on protecting visibility in national parks and wilderness areas </w:t>
      </w:r>
      <w:r>
        <w:fldChar w:fldCharType="begin"/>
      </w:r>
      <w:r w:rsidR="00864649">
        <w:instrText xml:space="preserve"> ADDIN ZOTERO_ITEM CSL_CITATION {"citationID":"AkCQtlCj","properties":{"formattedCitation":"(U.S. Environmental Protection Agency, 1999)","plainCitation":"(U.S. Environmental Protection Agency, 1999)","noteIndex":0},"citationItems":[{"id":433,"uris":["http://zotero.org/users/14790435/items/4S3DQR7H"],"itemData":{"id":433,"type":"legislation","container-title":"Federal Register","page":"35714","title":"Regional Haze Regulations: Final Rule","URL":"https://www.federalregister.gov/documents/1999/07/01/99-13941/regional-haze-regulations","volume":"64","author":[{"family":"U.S. Environmental Protection Agency","given":""}],"issued":{"date-parts":[["1999",7,1]]}}}],"schema":"https://github.com/citation-style-language/schema/raw/master/csl-citation.json"} </w:instrText>
      </w:r>
      <w:r>
        <w:fldChar w:fldCharType="separate"/>
      </w:r>
      <w:r w:rsidR="00864649" w:rsidRPr="00864649">
        <w:t>(U.S. Environmental Protection Agency, 1999)</w:t>
      </w:r>
      <w:r>
        <w:fldChar w:fldCharType="end"/>
      </w:r>
      <w:r>
        <w:t>. It included a Best Available Retrofit Technology (BART) requirement mandating that states determine and install controls for older large industrial facilities built between 1962-1977 that emit haze-causing pollutants including SO</w:t>
      </w:r>
      <w:r w:rsidRPr="005D1301">
        <w:rPr>
          <w:vertAlign w:val="subscript"/>
        </w:rPr>
        <w:t>2</w:t>
      </w:r>
      <w:r>
        <w:t>, NO</w:t>
      </w:r>
      <w:r w:rsidRPr="005D1301">
        <w:rPr>
          <w:vertAlign w:val="subscript"/>
        </w:rPr>
        <w:t>x</w:t>
      </w:r>
      <w:r>
        <w:t xml:space="preserve">, and particulate matter. For power plants in the eastern U.S., the EPA allowed compliance with CAIR and CSAPR as a “BART-alternative” </w:t>
      </w:r>
      <w:r>
        <w:fldChar w:fldCharType="begin"/>
      </w:r>
      <w:r w:rsidR="00864649">
        <w:instrText xml:space="preserve"> ADDIN ZOTERO_ITEM CSL_CITATION {"citationID":"D6tW4cB7","properties":{"formattedCitation":"(U.S. Environmental Protection Agency, 2012)","plainCitation":"(U.S. Environmental Protection Agency, 2012)","noteIndex":0},"citationItems":[{"id":434,"uris":["http://zotero.org/users/14790435/items/IDGI49LX"],"itemData":{"id":434,"type":"legislation","container-title":"Federal Register","page":"33642-33659","title":"Regional Haze: Revisions to Provisions Governing Alternatives to Source-Specific Best Available Retrofit Technology (BART) Determinations, Limited SIP Disapprovals, and Federal Implementation Plans","URL":"https://www.govinfo.gov/app/details/FR-2012-06-07/2012-13693","volume":"77","author":[{"family":"U.S. Environmental Protection Agency","given":""}],"issued":{"date-parts":[["2012",6,7]]}}}],"schema":"https://github.com/citation-style-language/schema/raw/master/csl-citation.json"} </w:instrText>
      </w:r>
      <w:r>
        <w:fldChar w:fldCharType="separate"/>
      </w:r>
      <w:r w:rsidR="00864649" w:rsidRPr="00864649">
        <w:t>(U.S. Environmental Protection Agency, 2012)</w:t>
      </w:r>
      <w:r>
        <w:fldChar w:fldCharType="end"/>
      </w:r>
      <w:r>
        <w:t>. However, for plants in states not covered by CAIR/CSAPR, the RHR remained a regulatory driver for environmental controls on coal plants.</w:t>
      </w:r>
    </w:p>
    <w:p w14:paraId="0A476761" w14:textId="618826F1" w:rsidR="00136425" w:rsidRDefault="00136425" w:rsidP="00671FF4">
      <w:pPr>
        <w:spacing w:after="0" w:line="480" w:lineRule="auto"/>
        <w:ind w:firstLine="720"/>
      </w:pPr>
      <w:r>
        <w:t xml:space="preserve">The Clean Air Mercury Rule (CAMR) was finalized by EPA in March 2005 through a cap-and-trade approach on mercury emissions from regulated electric generation units </w:t>
      </w:r>
      <w:r>
        <w:fldChar w:fldCharType="begin"/>
      </w:r>
      <w:r w:rsidR="00864649">
        <w:instrText xml:space="preserve"> ADDIN ZOTERO_ITEM CSL_CITATION {"citationID":"RZnbvBT6","properties":{"formattedCitation":"(United States Environmental Protection Agency, 2005)","plainCitation":"(United States Environmental Protection Agency, 2005)","noteIndex":0},"citationItems":[{"id":431,"uris":["http://zotero.org/users/14790435/items/XRPKXTEY"],"itemData":{"id":431,"type":"legislation","container-title":"Federal Register","license":"Public Domain (U.S. Government)","note":"Docket ID No. OAR-2002-0056; FRL-7917-2","page":"28606–28661","references":"Final Rule","title":"Standards of Performance for New and Existing Stationary Sources: Electric Utility Steam Generating Units","title-short":"Clean Air Mercury Rule (CAMR)","URL":"https://www.federalregister.gov/documents/2005/05/18/05-8447/standards-of-performance-for-new-and-existing-stationary-sources-electric-utility-steam-generating","volume":"70 FR 28606","author":[{"family":"United States Environmental Protection Agency","given":""}],"issued":{"date-parts":[["2005",5,18]]}}}],"schema":"https://github.com/citation-style-language/schema/raw/master/csl-citation.json"} </w:instrText>
      </w:r>
      <w:r>
        <w:fldChar w:fldCharType="separate"/>
      </w:r>
      <w:r w:rsidR="00864649" w:rsidRPr="00864649">
        <w:t>(United States Environmental Protection Agency, 2005)</w:t>
      </w:r>
      <w:r>
        <w:fldChar w:fldCharType="end"/>
      </w:r>
      <w:r>
        <w:t xml:space="preserve">. The D.C. Circuit vacated CAMR in 2008 </w:t>
      </w:r>
      <w:r>
        <w:fldChar w:fldCharType="begin"/>
      </w:r>
      <w:r w:rsidR="00864649">
        <w:instrText xml:space="preserve"> ADDIN ZOTERO_ITEM CSL_CITATION {"citationID":"qr9kGhC7","properties":{"formattedCitation":"({\\i{}New Jersey v. EPA}, 2008)","plainCitation":"(New Jersey v. EPA, 2008)","noteIndex":0},"citationItems":[{"id":432,"uris":["http://zotero.org/users/14790435/items/YR7ZXR9E"],"itemData":{"id":432,"type":"legal_case","authority":"United States Court of Appeals for the District of Columbia Circuit","container-title":"Federal Reporter, Third Series","language":"English","note":"517 F.3d 574 (D.C. Cir. 2008)","number":"No. 05-1097 (and consolidated cases)","page":"574","references":"Vacating EPA’s Clean Air Mercury Rule (CAMR) and associated delisting of EGUs under Clean Air Act §112","title":"New Jersey v. Environmental Protection Agency","title-short":"New Jersey v. EPA","URL":"https://climate.law.columbia.edu/content/new-jersey-v-epa","volume":"517","issued":{"date-parts":[["2008",2,8]]}}}],"schema":"https://github.com/citation-style-language/schema/raw/master/csl-citation.json"}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New Jersey v. EPA</w:t>
      </w:r>
      <w:r w:rsidR="00864649" w:rsidRPr="00864649">
        <w:rPr>
          <w:rFonts w:cs="Times New Roman"/>
          <w:kern w:val="0"/>
        </w:rPr>
        <w:t>, 2008)</w:t>
      </w:r>
      <w:r>
        <w:fldChar w:fldCharType="end"/>
      </w:r>
      <w:r>
        <w:t xml:space="preserve">.  Concurrently, numerous states established their own mercury regulations for coal-fired power plants, with 18 states enacting or promulgating limits by early 2007 that required 80-90% reductions </w:t>
      </w:r>
      <w:r>
        <w:fldChar w:fldCharType="begin"/>
      </w:r>
      <w:r w:rsidR="00864649">
        <w:instrText xml:space="preserve"> ADDIN ZOTERO_ITEM CSL_CITATION {"citationID":"RDWcvWRT","properties":{"formattedCitation":"({\\i{}Mercury Emissions from Electric Power Plants: States Are Setting Stricter Limits}, 2007)","plainCitation":"(Mercury Emissions from Electric Power Plants: States Are Setting Stricter Limits, 2007)","noteIndex":0},"citationItems":[{"id":446,"uris":["http://zotero.org/users/14790435/items/SRMBYJRS"],"itemData":{"id":446,"type":"report","event-place":"Washington, DC","genre":"CRS Report for Congress","language":"English","number":"RL33535","page":"13","publisher":"Congressional Research Service","publisher-place":"Washington, DC","title":"Mercury Emissions from Electric Power Plants: States Are Setting Stricter Limits","URL":"https://www.everycrsreport.com/files/20070222_RL33535_9490786af904352a3618fa139135a3471dab06fb.pdf","accessed":{"date-parts":[["2025",11,17]]},"issued":{"date-parts":[["2007",2,22]]}}}],"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Mercury Emissions from Electric Power Plants: States Are Setting Stricter Limits</w:t>
      </w:r>
      <w:r w:rsidR="00864649" w:rsidRPr="00864649">
        <w:rPr>
          <w:rFonts w:cs="Times New Roman"/>
          <w:kern w:val="0"/>
        </w:rPr>
        <w:t>, 2007)</w:t>
      </w:r>
      <w:r>
        <w:fldChar w:fldCharType="end"/>
      </w:r>
      <w:r>
        <w:t xml:space="preserve">. Subsequently, the EPA finalized the Mercury and Air Toxics Standards (MATS) in 2012, which set national limits on emissions of mercury and other air pollutants from coal plants. Compliance with MATS was expected by EPA to require another wave of capital projects, including the installation of activated carbon injection (ACI) for mercury control, as well as fabric filters, (baghouses), new or upgraded scrubbers, dry sorbent injection (DSI) systems, and electrostatic precipitator upgrades </w:t>
      </w:r>
      <w:r>
        <w:fldChar w:fldCharType="begin"/>
      </w:r>
      <w:r w:rsidR="00864649">
        <w:instrText xml:space="preserve"> ADDIN ZOTERO_ITEM CSL_CITATION {"citationID":"rRTz41D4","properties":{"formattedCitation":"(U.S. Environmental Protection Agency, 2011)","plainCitation":"(U.S. Environmental Protection Agency, 2011)","noteIndex":0},"citationItems":[{"id":68,"uris":["http://zotero.org/users/14790435/items/Y5G5YUNV"],"itemData":{"id":68,"type":"report","note":"Table 3-5, p. 3-14.","number":"EPA-452/R-11-011","title":"Regulatory Impact Analysis for the Final Mercury and Air Toxics Standards","URL":"https://www3.epa.gov/ttnecas1/regdata/RIAs/matsriafinal.pdf","author":[{"family":"U.S. Environmental Protection Agency","given":""}],"issued":{"date-parts":[["2011",12]]}}}],"schema":"https://github.com/citation-style-language/schema/raw/master/csl-citation.json"} </w:instrText>
      </w:r>
      <w:r>
        <w:fldChar w:fldCharType="separate"/>
      </w:r>
      <w:r w:rsidR="00864649" w:rsidRPr="00864649">
        <w:t>(U.S. Environmental Protection Agency, 2011)</w:t>
      </w:r>
      <w:r>
        <w:fldChar w:fldCharType="end"/>
      </w:r>
      <w:r>
        <w:t>. The compliance deadline for MATS was in 2015, with a possible one-year extension to 2016.</w:t>
      </w:r>
    </w:p>
    <w:p w14:paraId="7055B0ED" w14:textId="77A1DE1E" w:rsidR="00136425" w:rsidRDefault="00136425" w:rsidP="00671FF4">
      <w:pPr>
        <w:spacing w:after="0" w:line="480" w:lineRule="auto"/>
        <w:ind w:firstLine="720"/>
      </w:pPr>
      <w:r>
        <w:lastRenderedPageBreak/>
        <w:t xml:space="preserve">The Coal Combustion Residuals (CCR) Rule was finalized by EPA in 2015 and originally required coal ash ponds to begin closing in 2018 </w:t>
      </w:r>
      <w:r>
        <w:fldChar w:fldCharType="begin"/>
      </w:r>
      <w:r w:rsidR="00864649">
        <w:instrText xml:space="preserve"> ADDIN ZOTERO_ITEM CSL_CITATION {"citationID":"MfqFVfeM","properties":{"formattedCitation":"(United States Environmental Protection Agency, 2015)","plainCitation":"(United States Environmental Protection Agency, 2015)","noteIndex":0},"citationItems":[{"id":435,"uris":["http://zotero.org/users/14790435/items/29WYI96G"],"itemData":{"id":435,"type":"legislation","container-title":"40 C.F.R. Parts 257 and 261","language":"English","license":"Public domain (U.S. Government publication)","references":"Final rule establishing national minimum criteria for CCR landfills and surface impoundments under RCRA Subtitle D.","title":"Hazardous and Solid Waste Management System; Disposal of Coal Combustion Residuals from Electric Utilities (Final Rule)","title-short":"2015 CCR Rule","URL":"https://www.federalregister.gov/documents/2015/04/17/2015-00257/hazardous-and-solid-waste-management-system-disposal-of-coal-combustion-residuals-from-electric","volume":"80 Fed. Reg. 21,302","author":[{"family":"United States Environmental Protection Agency","given":""}],"issued":{"date-parts":[["2015",4,17]]}}}],"schema":"https://github.com/citation-style-language/schema/raw/master/csl-citation.json"} </w:instrText>
      </w:r>
      <w:r>
        <w:fldChar w:fldCharType="separate"/>
      </w:r>
      <w:r w:rsidR="00864649" w:rsidRPr="00864649">
        <w:t>(United States Environmental Protection Agency, 2015)</w:t>
      </w:r>
      <w:r>
        <w:fldChar w:fldCharType="end"/>
      </w:r>
      <w:r>
        <w:t xml:space="preserve">, a deadline later extended to 2020 and 2021 </w:t>
      </w:r>
      <w:r>
        <w:fldChar w:fldCharType="begin"/>
      </w:r>
      <w:r w:rsidR="00864649">
        <w:instrText xml:space="preserve"> ADDIN ZOTERO_ITEM CSL_CITATION {"citationID":"w4rYKhuW","properties":{"formattedCitation":"(United States Environmental Protection Agency, 2020)","plainCitation":"(United States Environmental Protection Agency, 2020)","noteIndex":0},"citationItems":[{"id":436,"uris":["http://zotero.org/users/14790435/items/FFLGJUN9"],"itemData":{"id":436,"type":"legislation","container-title":"40 C.F.R. Part 257","language":"English","references":"Final rule revising CCR closure requirements and extending deadline for unlined impoundments to cease receipt of waste to April 11, 2021.","title":"Hazardous and Solid Waste Management System; Disposal of Coal Combustion Residuals from Electric Utilities; A Holistic Approach to Closure Part A: Deadline To Initiate Closure (Final Rule)","title-short":"CCR Rule Part A (2020 Extension)","URL":"https://www.federalregister.gov/documents/2020/08/28/2020-16872/hazardous-and-solid-waste-management-system-disposal-of-coal-combustion-residuals-from-electric","volume":"85 Fed. Reg. 53,516","author":[{"family":"United States Environmental Protection Agency","given":""}],"issued":{"date-parts":[["2020",8,28]]}}}],"schema":"https://github.com/citation-style-language/schema/raw/master/csl-citation.json"} </w:instrText>
      </w:r>
      <w:r>
        <w:fldChar w:fldCharType="separate"/>
      </w:r>
      <w:r w:rsidR="00864649" w:rsidRPr="00864649">
        <w:t>(United States Environmental Protection Agency, 2020)</w:t>
      </w:r>
      <w:r>
        <w:fldChar w:fldCharType="end"/>
      </w:r>
      <w:r>
        <w:t>. Capital projects involved significant costs for excavating or capping coal ash ponds and building new dry disposal sites with liners and leachate control systems.</w:t>
      </w:r>
    </w:p>
    <w:p w14:paraId="2271793F" w14:textId="5E8D69D2" w:rsidR="00136425" w:rsidRDefault="00136425" w:rsidP="00671FF4">
      <w:pPr>
        <w:spacing w:after="0" w:line="480" w:lineRule="auto"/>
        <w:ind w:firstLine="720"/>
      </w:pPr>
      <w:commentRangeStart w:id="18"/>
      <w:r>
        <w:t xml:space="preserve">Collectively, these regulations created overlapping compliance obligations for requiring </w:t>
      </w:r>
      <w:commentRangeEnd w:id="18"/>
      <w:r>
        <w:rPr>
          <w:rStyle w:val="CommentReference"/>
        </w:rPr>
        <w:commentReference w:id="18"/>
      </w:r>
      <w:r>
        <w:t xml:space="preserve">significant capital expenditures specifically for coal plants, with staggered and uncertainty timelines throughout the 2000s and 2010s. From the perspective of capital accounts in the Form 1 data, accounting for the one-year lag where capital expenditures in year </w:t>
      </w:r>
      <w:proofErr w:type="spellStart"/>
      <w:r w:rsidRPr="006B7293">
        <w:rPr>
          <w:i/>
          <w:iCs/>
        </w:rPr>
        <w:t>t</w:t>
      </w:r>
      <w:proofErr w:type="spellEnd"/>
      <w:r>
        <w:t xml:space="preserve"> appear in the data at year </w:t>
      </w:r>
      <w:r>
        <w:rPr>
          <w:i/>
          <w:iCs/>
        </w:rPr>
        <w:t>t+1</w:t>
      </w:r>
      <w:r>
        <w:t xml:space="preserve">, it is reasonable to expect compliance-related investments to span roughly 2007- 2021, with the possibility of earlier anticipatory investments. </w:t>
      </w:r>
    </w:p>
    <w:p w14:paraId="0353A86B" w14:textId="70955BD9" w:rsidR="009E186B" w:rsidRDefault="009E186B" w:rsidP="00DC40BB">
      <w:pPr>
        <w:pStyle w:val="Heading2"/>
      </w:pPr>
      <w:r>
        <w:t>Plant-Level Investment Patterns</w:t>
      </w:r>
    </w:p>
    <w:p w14:paraId="7645372E" w14:textId="24D8CA38" w:rsidR="00136425" w:rsidRDefault="00136425" w:rsidP="00F23F3E">
      <w:pPr>
        <w:spacing w:after="0" w:line="480" w:lineRule="auto"/>
        <w:ind w:firstLine="720"/>
      </w:pPr>
      <w:r>
        <w:fldChar w:fldCharType="begin"/>
      </w:r>
      <w:r>
        <w:instrText xml:space="preserve"> REF _Ref212542381 \h </w:instrText>
      </w:r>
      <w:r w:rsidR="00F23F3E">
        <w:instrText xml:space="preserve"> \* MERGEFORMAT </w:instrText>
      </w:r>
      <w:r>
        <w:fldChar w:fldCharType="separate"/>
      </w:r>
      <w:r w:rsidR="00CD17CC">
        <w:t xml:space="preserve">Figure </w:t>
      </w:r>
      <w:r w:rsidR="00CD17CC">
        <w:rPr>
          <w:noProof/>
        </w:rPr>
        <w:t>6</w:t>
      </w:r>
      <w:r>
        <w:fldChar w:fldCharType="end"/>
      </w:r>
      <w:r>
        <w:t xml:space="preserve"> plots capital balance time series to display the timing and scale of environmental control investments for a few large coal plant examples. Boswell, a 960 MW coal plant owned by Minnesota Power, announced completion in 2015 of a major environmental project for controlling mercury sulfur dioxide, and other particulates </w:t>
      </w:r>
      <w:r>
        <w:fldChar w:fldCharType="begin"/>
      </w:r>
      <w:r w:rsidR="00864649">
        <w:instrText xml:space="preserve"> ADDIN ZOTERO_ITEM CSL_CITATION {"citationID":"QJCK2Zbx","properties":{"formattedCitation":"(Minnesota Power, n.d.)","plainCitation":"(Minnesota Power, n.d.)","noteIndex":0},"citationItems":[{"id":421,"uris":["http://zotero.org/users/14790435/items/93X92L4G"],"itemData":{"id":421,"type":"webpage","title":"Reducing Emissions","URL":"https://www.mnpower.com/Environment/ReducingEmissions","author":[{"family":"Minnesota Power","given":""}],"accessed":{"date-parts":[["2025",10,28]]}}}],"schema":"https://github.com/citation-style-language/schema/raw/master/csl-citation.json"} </w:instrText>
      </w:r>
      <w:r>
        <w:fldChar w:fldCharType="separate"/>
      </w:r>
      <w:r w:rsidR="00864649" w:rsidRPr="00864649">
        <w:t>(Minnesota Power, n.d.)</w:t>
      </w:r>
      <w:r>
        <w:fldChar w:fldCharType="end"/>
      </w:r>
      <w:r>
        <w:t xml:space="preserve">, and it reported an increase in its capital balance of approximately $760 million from 2008 through 2015. The observed 2018 decrease in Boswell’s capital balance occurred when it retired two older small units in 2018 at which time the plant’s capacity decreased to 810 MW </w:t>
      </w:r>
      <w:r>
        <w:fldChar w:fldCharType="begin"/>
      </w:r>
      <w:r w:rsidR="00864649">
        <w:instrText xml:space="preserve"> ADDIN ZOTERO_ITEM CSL_CITATION {"citationID":"U3Mol2xo","properties":{"formattedCitation":"(Global Energy Monitor, n.d.)","plainCitation":"(Global Energy Monitor, n.d.)","noteIndex":0},"citationItems":[{"id":423,"uris":["http://zotero.org/users/14790435/items/4682FGG4"],"itemData":{"id":423,"type":"webpage","title":"Boswell Energy Center","URL":"https://www.gem.wiki/Boswell_Energy_Center","author":[{"family":"Global Energy Monitor","given":""}],"accessed":{"date-parts":[["2025",10,28]]}}}],"schema":"https://github.com/citation-style-language/schema/raw/master/csl-citation.json"} </w:instrText>
      </w:r>
      <w:r>
        <w:fldChar w:fldCharType="separate"/>
      </w:r>
      <w:r w:rsidR="00864649" w:rsidRPr="00864649">
        <w:t>(Global Energy Monitor, n.d.)</w:t>
      </w:r>
      <w:r>
        <w:fldChar w:fldCharType="end"/>
      </w:r>
      <w:r>
        <w:t xml:space="preserve">. </w:t>
      </w:r>
    </w:p>
    <w:p w14:paraId="5600EBA1" w14:textId="77777777" w:rsidR="00F23F3E" w:rsidRDefault="00F23F3E" w:rsidP="00F23F3E">
      <w:pPr>
        <w:spacing w:after="0" w:line="480" w:lineRule="auto"/>
        <w:ind w:firstLine="720"/>
      </w:pPr>
    </w:p>
    <w:p w14:paraId="5862E2FC" w14:textId="77777777" w:rsidR="00136425" w:rsidRDefault="00136425" w:rsidP="00136425">
      <w:pPr>
        <w:keepNext/>
      </w:pPr>
      <w:r>
        <w:rPr>
          <w:i/>
          <w:iCs/>
          <w:noProof/>
        </w:rPr>
        <w:lastRenderedPageBreak/>
        <w:drawing>
          <wp:inline distT="0" distB="0" distL="0" distR="0" wp14:anchorId="724A9E14" wp14:editId="339F659E">
            <wp:extent cx="5925820" cy="4061460"/>
            <wp:effectExtent l="0" t="0" r="0" b="0"/>
            <wp:docPr id="622838177"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38177" name="Picture 1" descr="Chart, line char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5820" cy="4061460"/>
                    </a:xfrm>
                    <a:prstGeom prst="rect">
                      <a:avLst/>
                    </a:prstGeom>
                    <a:noFill/>
                    <a:ln>
                      <a:noFill/>
                    </a:ln>
                  </pic:spPr>
                </pic:pic>
              </a:graphicData>
            </a:graphic>
          </wp:inline>
        </w:drawing>
      </w:r>
    </w:p>
    <w:p w14:paraId="64AAC060" w14:textId="7F103924" w:rsidR="00136425" w:rsidRPr="00B1345B" w:rsidRDefault="00136425" w:rsidP="006300E4">
      <w:pPr>
        <w:pStyle w:val="Caption"/>
      </w:pPr>
      <w:bookmarkStart w:id="19" w:name="_Ref212542381"/>
      <w:r>
        <w:t xml:space="preserve">Figure </w:t>
      </w:r>
      <w:r w:rsidR="00BF3A2E">
        <w:fldChar w:fldCharType="begin"/>
      </w:r>
      <w:r w:rsidR="00BF3A2E">
        <w:instrText xml:space="preserve"> SEQ Figure \* ARABIC </w:instrText>
      </w:r>
      <w:r w:rsidR="00BF3A2E">
        <w:fldChar w:fldCharType="separate"/>
      </w:r>
      <w:r w:rsidR="00CD17CC">
        <w:rPr>
          <w:noProof/>
        </w:rPr>
        <w:t>6</w:t>
      </w:r>
      <w:r w:rsidR="00BF3A2E">
        <w:rPr>
          <w:noProof/>
        </w:rPr>
        <w:fldChar w:fldCharType="end"/>
      </w:r>
      <w:bookmarkEnd w:id="19"/>
      <w:r w:rsidRPr="00693D8F">
        <w:t xml:space="preserve"> Capital account balances over time for select coal plants, 2000-2023</w:t>
      </w:r>
    </w:p>
    <w:p w14:paraId="31883F17" w14:textId="77777777" w:rsidR="00F23F3E" w:rsidRDefault="00F23F3E" w:rsidP="00F23F3E">
      <w:pPr>
        <w:spacing w:after="0" w:line="480" w:lineRule="auto"/>
        <w:ind w:firstLine="720"/>
      </w:pPr>
    </w:p>
    <w:p w14:paraId="05A3131F" w14:textId="1F5DA6B7" w:rsidR="00136425" w:rsidRDefault="00136425" w:rsidP="00F23F3E">
      <w:pPr>
        <w:spacing w:after="0" w:line="480" w:lineRule="auto"/>
        <w:ind w:firstLine="720"/>
      </w:pPr>
      <w:r>
        <w:t xml:space="preserve">Cayuga, a 1062 MW plant owned by Duke Indiana, reported an increase in capital investment of over $1 billion from 2007-2015. It received regulatory approval in 2006 to perform a series of investments to comply with sulfur dioxide, nitrogen oxide, and mercury reduction requirements for CAIR and CAMR, and further regulatory approval in late 2012 to perform additional investment for MATS compliance </w:t>
      </w:r>
      <w:r>
        <w:fldChar w:fldCharType="begin"/>
      </w:r>
      <w:r w:rsidR="00864649">
        <w:instrText xml:space="preserve"> ADDIN ZOTERO_ITEM CSL_CITATION {"citationID":"PYy8o2jl","properties":{"formattedCitation":"(Indiana Office of Utility Consumer Counselor, 2020)","plainCitation":"(Indiana Office of Utility Consumer Counselor, 2020)","noteIndex":0},"citationItems":[{"id":424,"uris":["http://zotero.org/users/14790435/items/RQ5K52LC"],"itemData":{"id":424,"type":"webpage","language":"en","note":"Last Modified: 2022-08-13T19:02:34-04:00","title":"Duke Energy Environmental Compliance Cases","URL":"https://www.in.gov/oucc/electric/key-cases-by-utility/duke-energy-environmental-compliance-cases/","author":[{"family":"Indiana Office of Utility Consumer Counselor","given":""}],"accessed":{"date-parts":[["2025",10,28]]},"issued":{"date-parts":[["2020",9,24]]}}}],"schema":"https://github.com/citation-style-language/schema/raw/master/csl-citation.json"} </w:instrText>
      </w:r>
      <w:r>
        <w:fldChar w:fldCharType="separate"/>
      </w:r>
      <w:r w:rsidR="00864649" w:rsidRPr="00864649">
        <w:t>(Indiana Office of Utility Consumer Counselor, 2020)</w:t>
      </w:r>
      <w:r>
        <w:fldChar w:fldCharType="end"/>
      </w:r>
      <w:r>
        <w:t xml:space="preserve">. </w:t>
      </w:r>
    </w:p>
    <w:p w14:paraId="5C21437C" w14:textId="4BE80212" w:rsidR="00136425" w:rsidRDefault="00136425" w:rsidP="00F23F3E">
      <w:pPr>
        <w:spacing w:after="0" w:line="480" w:lineRule="auto"/>
        <w:ind w:firstLine="720"/>
      </w:pPr>
      <w:r>
        <w:t xml:space="preserve">Dave Johnston, an 817 MW coal plant in Wyoming owned by PacifiCorp, reported a 240 million capital balance increase from 2009-2010. It testified that EPA’s Regional Haze Rules required the installation of a dry flue gas desulfurization system and baghouse by 2010 to reduce sulfur dioxide and particular matter emissions </w:t>
      </w:r>
      <w:r>
        <w:fldChar w:fldCharType="begin"/>
      </w:r>
      <w:r w:rsidR="00864649">
        <w:instrText xml:space="preserve"> ADDIN ZOTERO_ITEM CSL_CITATION {"citationID":"KDUhKpVN","properties":{"formattedCitation":"({\\i{}Direct Testimony of Chad A. Teply, In the Matter of the Application of Rocky Mountain Power for Authority to Increase its Retail Electric Utility Service Rates in Utah and for Approval of its Proposed Electric Servive Schedules and Electric Service Regulations}, 2010)","plainCitation":"(Direct Testimony of Chad A. Teply, In the Matter of the Application of Rocky Mountain Power for Authority to Increase its Retail Electric Utility Service Rates in Utah and for Approval of its Proposed Electric Servive Schedules and Electric Service Regulations, 2010)","noteIndex":0},"citationItems":[{"id":427,"uris":["http://zotero.org/users/14790435/items/WLT5YGYG"],"itemData":{"id":427,"type":"report","collection-title":"Docket 10-035-124","publisher":"Utah Public Service Commission","title":"Direct Testimony of Chad A. Teply, In the Matter of the Application of Rocky Mountain Power for Authority to Increase its Retail Electric Utility Service Rates in Utah and for Approval of its Proposed Electric Servive Schedules and Electric Service Regulations","URL":"https://pscdocs.utah.gov/electric/10docs/1003513/65215ExMTeply.pdf","issued":{"date-parts":[["2010"]]}}}],"schema":"https://github.com/citation-style-language/schema/raw/master/csl-citation.json"}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 xml:space="preserve">Direct Testimony of Chad A. Teply, In the </w:t>
      </w:r>
      <w:r w:rsidR="00864649" w:rsidRPr="00864649">
        <w:rPr>
          <w:rFonts w:cs="Times New Roman"/>
          <w:i/>
          <w:iCs/>
          <w:kern w:val="0"/>
        </w:rPr>
        <w:lastRenderedPageBreak/>
        <w:t xml:space="preserve">Matter of the Application of Rocky Mountain Power for Authority to Increase its Retail Electric Utility Service Rates in Utah and for Approval of its Proposed Electric </w:t>
      </w:r>
      <w:proofErr w:type="spellStart"/>
      <w:r w:rsidR="00864649" w:rsidRPr="00864649">
        <w:rPr>
          <w:rFonts w:cs="Times New Roman"/>
          <w:i/>
          <w:iCs/>
          <w:kern w:val="0"/>
        </w:rPr>
        <w:t>Servive</w:t>
      </w:r>
      <w:proofErr w:type="spellEnd"/>
      <w:r w:rsidR="00864649" w:rsidRPr="00864649">
        <w:rPr>
          <w:rFonts w:cs="Times New Roman"/>
          <w:i/>
          <w:iCs/>
          <w:kern w:val="0"/>
        </w:rPr>
        <w:t xml:space="preserve"> Schedules and Electric Service Regulations</w:t>
      </w:r>
      <w:r w:rsidR="00864649" w:rsidRPr="00864649">
        <w:rPr>
          <w:rFonts w:cs="Times New Roman"/>
          <w:kern w:val="0"/>
        </w:rPr>
        <w:t>, 2010)</w:t>
      </w:r>
      <w:r>
        <w:fldChar w:fldCharType="end"/>
      </w:r>
      <w:r>
        <w:t xml:space="preserve">. </w:t>
      </w:r>
    </w:p>
    <w:p w14:paraId="0326C0DF" w14:textId="74451BDC" w:rsidR="00136425" w:rsidRDefault="00136425" w:rsidP="00F23F3E">
      <w:pPr>
        <w:spacing w:after="0" w:line="480" w:lineRule="auto"/>
        <w:ind w:firstLine="720"/>
      </w:pPr>
      <w:r>
        <w:t xml:space="preserve">Finally, Pawnee, a 550 MW coal plant owned by Xcel in Colorado, installed new environmental controls in 2014 at which point its capital balance increased by approximately $317 million. Pawnee, built in 1981, was not directly subject to EPA’s Regional Haze Requirements, and this investment was instead a result of coal plant emissions reductions required by state legislation </w:t>
      </w:r>
      <w:r>
        <w:fldChar w:fldCharType="begin"/>
      </w:r>
      <w:r w:rsidR="00864649">
        <w:instrText xml:space="preserve"> ADDIN ZOTERO_ITEM CSL_CITATION {"citationID":"yr5FDa0h","properties":{"formattedCitation":"({\\i{}Colorado Clean Air-Clean Jobs Act}, 2010; {\\i{}Xcel Energy Pawnee Generating Station Fact Sheet}, n.d.)","plainCitation":"(Colorado Clean Air-Clean Jobs Act, 2010; Xcel Energy Pawnee Generating Station Fact Sheet, n.d.)","noteIndex":0},"citationItems":[{"id":428,"uris":["http://zotero.org/users/14790435/items/Y8EMEKCM"],"itemData":{"id":428,"type":"report","title":"Xcel Energy Pawnee Generating Station Fact Sheet","URL":"https://leg.colorado.gov/sites/default/files/images/pawnee_generating_station.pdf"}},{"id":429,"uris":["http://zotero.org/users/14790435/items/7KVDN7Q7"],"itemData":{"id":429,"type":"legislation","chapter-number":"2010 Regular Session","container-title":"Colo. Rev. Stat. § 40-2-125.5","number":"67th Gen. Assemb., 2d Reg. Sess.","references":"Signed by Governor Bill Ritter","title":"Colorado Clean Air-Clean Jobs Act","volume":"H.B. 10-1365","issued":{"date-parts":[["2010",4,19]]}}}],"schema":"https://github.com/citation-style-language/schema/raw/master/csl-citation.json"}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Colorado Clean Air-Clean Jobs Act</w:t>
      </w:r>
      <w:r w:rsidR="00864649" w:rsidRPr="00864649">
        <w:rPr>
          <w:rFonts w:cs="Times New Roman"/>
          <w:kern w:val="0"/>
        </w:rPr>
        <w:t xml:space="preserve">, 2010; </w:t>
      </w:r>
      <w:r w:rsidR="00864649" w:rsidRPr="00864649">
        <w:rPr>
          <w:rFonts w:cs="Times New Roman"/>
          <w:i/>
          <w:iCs/>
          <w:kern w:val="0"/>
        </w:rPr>
        <w:t>Xcel Energy Pawnee Generating Station Fact Sheet</w:t>
      </w:r>
      <w:r w:rsidR="00864649" w:rsidRPr="00864649">
        <w:rPr>
          <w:rFonts w:cs="Times New Roman"/>
          <w:kern w:val="0"/>
        </w:rPr>
        <w:t>, n.d.)</w:t>
      </w:r>
      <w:r>
        <w:fldChar w:fldCharType="end"/>
      </w:r>
      <w:r>
        <w:t>.</w:t>
      </w:r>
    </w:p>
    <w:p w14:paraId="00C1CFCE" w14:textId="2610AE37" w:rsidR="00136425" w:rsidRPr="00C46C4C" w:rsidRDefault="00136425" w:rsidP="00F23F3E">
      <w:pPr>
        <w:spacing w:after="0" w:line="480" w:lineRule="auto"/>
        <w:ind w:firstLine="720"/>
      </w:pPr>
      <w:r>
        <w:fldChar w:fldCharType="begin"/>
      </w:r>
      <w:r>
        <w:instrText xml:space="preserve"> REF _Ref212542381 \h </w:instrText>
      </w:r>
      <w:r w:rsidR="00F23F3E">
        <w:instrText xml:space="preserve"> \* MERGEFORMAT </w:instrText>
      </w:r>
      <w:r>
        <w:fldChar w:fldCharType="separate"/>
      </w:r>
      <w:r w:rsidR="00CD17CC">
        <w:t xml:space="preserve">Figure </w:t>
      </w:r>
      <w:r w:rsidR="00CD17CC">
        <w:rPr>
          <w:noProof/>
        </w:rPr>
        <w:t>6</w:t>
      </w:r>
      <w:r>
        <w:fldChar w:fldCharType="end"/>
      </w:r>
      <w:r>
        <w:t xml:space="preserve"> shows a two-wave investment pattern for the two plants in the eastern United States (Boswell and Cayuga): a first wave in 2008-09 aligning with the CAIR/CSAPR compliance, and a second wave in 2015, aligned with MATS compliance. The other two plants, both in the Western U.S. and not subject to CAIR/CSAPR, show examples of single-wave investment in response to regional haze rules for Dave Johnston and a state-level requirement for Pawnee. These two plants did not show notable additional investment during MATS compliance time, suggesting their earlier investments may have been sufficient to meet these later federal mercury standards.</w:t>
      </w:r>
    </w:p>
    <w:p w14:paraId="264DCC6F" w14:textId="240F1305" w:rsidR="00136425" w:rsidRDefault="001B1353" w:rsidP="00DC40BB">
      <w:pPr>
        <w:pStyle w:val="Heading2"/>
      </w:pPr>
      <w:r>
        <w:t>Econometric Analysis of Coal Investment Premium</w:t>
      </w:r>
    </w:p>
    <w:p w14:paraId="0E370669" w14:textId="42368563" w:rsidR="001B1353" w:rsidRPr="001B1353" w:rsidRDefault="001B1353" w:rsidP="001B1353">
      <w:pPr>
        <w:pStyle w:val="Heading3"/>
      </w:pPr>
      <w:r w:rsidRPr="001B1353">
        <w:t>Model Specification</w:t>
      </w:r>
    </w:p>
    <w:p w14:paraId="11A88A73" w14:textId="77777777" w:rsidR="00136425" w:rsidRDefault="00136425" w:rsidP="009E6263">
      <w:pPr>
        <w:spacing w:after="0" w:line="480" w:lineRule="auto"/>
        <w:ind w:firstLine="450"/>
      </w:pPr>
      <w:r>
        <w:t xml:space="preserve">An econometric panel model was implemented that specifies more robustly the additional capital expenditures in coal plants relative to the rest of the natural gas and nuclear plants in the sample. </w:t>
      </w:r>
      <w:r w:rsidRPr="00BA0CA8">
        <w:t xml:space="preserve">The model employs an event study design that tracks year-by-year differences in capital investment flows between coal plants and their gas and nuclear counterparts from 1995 through 2023. Rather than assuming a single "treatment effect" at a specific point in time, this </w:t>
      </w:r>
      <w:r w:rsidRPr="00BA0CA8">
        <w:lastRenderedPageBreak/>
        <w:t>approach allows the data to reveal the full dynamic evolution of investment patterns</w:t>
      </w:r>
      <w:r>
        <w:t xml:space="preserve"> across a range of compliance requirements during this sample period. The model</w:t>
      </w:r>
      <w:r w:rsidRPr="00BA0CA8">
        <w:t xml:space="preserve"> captur</w:t>
      </w:r>
      <w:r>
        <w:t>es in a descriptive sense</w:t>
      </w:r>
      <w:r w:rsidRPr="00BA0CA8">
        <w:t xml:space="preserve"> both anticipatory spending in advance of regulatory deadlines and extended timeline</w:t>
      </w:r>
      <w:r>
        <w:t>s</w:t>
      </w:r>
      <w:r w:rsidRPr="00BA0CA8">
        <w:t xml:space="preserve"> of compliance-related investments.</w:t>
      </w:r>
    </w:p>
    <w:p w14:paraId="09D41318" w14:textId="77777777" w:rsidR="00136425" w:rsidRDefault="00136425" w:rsidP="009E6263">
      <w:pPr>
        <w:spacing w:after="0" w:line="480" w:lineRule="auto"/>
        <w:ind w:firstLine="450"/>
      </w:pPr>
      <w:r w:rsidRPr="006447F4">
        <w:t>The econometric specification compares coal plants to gas and nuclear plants within each year, effectively using the non-coal plants as a control group that absorbs common economic shocks and market-wide investment trends. This design isolates the coal-specific investment premium</w:t>
      </w:r>
      <w:r>
        <w:t xml:space="preserve"> – </w:t>
      </w:r>
      <w:r w:rsidRPr="006447F4">
        <w:t>the additional amount that coal plants invested beyond what would have been expected based on the investment behavior of comparable gas and nuclear facilities facing similar market conditions but different regulatory requirements. The model estimates separate coefficients for each year relative to a 1995 baseline, providing a granular view of how the coal investment premium evolved over nearly three decades of changing environmental policy</w:t>
      </w:r>
      <w:r>
        <w:t xml:space="preserve"> and industry evolution</w:t>
      </w:r>
      <w:r w:rsidRPr="006447F4">
        <w:t>.</w:t>
      </w:r>
    </w:p>
    <w:p w14:paraId="27ED291E" w14:textId="1BCCF856" w:rsidR="00136425" w:rsidRDefault="00136425" w:rsidP="009E6263">
      <w:pPr>
        <w:ind w:firstLine="450"/>
      </w:pPr>
      <w:r>
        <w:t xml:space="preserve">The econometric specific takes the form in equation </w:t>
      </w:r>
      <w:r w:rsidRPr="00B63EC2">
        <w:fldChar w:fldCharType="begin"/>
      </w:r>
      <w:r w:rsidRPr="00B63EC2">
        <w:instrText xml:space="preserve"> REF _Ref213060112 \h  \* MERGEFORMAT </w:instrText>
      </w:r>
      <w:r w:rsidRPr="00B63EC2">
        <w:fldChar w:fldCharType="separate"/>
      </w:r>
      <w:r w:rsidR="00CD17CC" w:rsidRPr="00B63EC2">
        <w:t>(</w:t>
      </w:r>
      <w:r w:rsidR="00CD17CC">
        <w:rPr>
          <w:noProof/>
        </w:rPr>
        <w:t>1</w:t>
      </w:r>
      <w:r w:rsidR="00CD17CC" w:rsidRPr="00B63EC2">
        <w:t>)</w:t>
      </w:r>
      <w:r w:rsidRPr="00B63EC2">
        <w:fldChar w:fldCharType="end"/>
      </w:r>
      <w:r w:rsidR="003C50D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136425" w14:paraId="53D1BB53" w14:textId="77777777" w:rsidTr="006127BB">
        <w:tc>
          <w:tcPr>
            <w:tcW w:w="350" w:type="pct"/>
          </w:tcPr>
          <w:p w14:paraId="504F383B" w14:textId="77777777" w:rsidR="00136425" w:rsidRDefault="00136425" w:rsidP="006127BB"/>
        </w:tc>
        <w:tc>
          <w:tcPr>
            <w:tcW w:w="4300" w:type="pct"/>
          </w:tcPr>
          <w:p w14:paraId="0A2D06D7" w14:textId="77777777" w:rsidR="00136425" w:rsidRPr="006A6A0B" w:rsidRDefault="00136425" w:rsidP="006127BB">
            <w:pPr>
              <w:jc w:val="center"/>
              <w:rPr>
                <w:rFonts w:eastAsiaTheme="minorEastAsia"/>
              </w:rPr>
            </w:pPr>
            <m:oMathPara>
              <m:oMath>
                <m:r>
                  <w:rPr>
                    <w:rFonts w:ascii="Cambria Math" w:hAnsi="Cambria Math"/>
                  </w:rPr>
                  <m:t>∆CapE</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=α+</m:t>
                </m:r>
                <m:nary>
                  <m:naryPr>
                    <m:chr m:val="∑"/>
                    <m:limLoc m:val="undOvr"/>
                    <m:ctrlPr>
                      <w:rPr>
                        <w:rFonts w:ascii="Cambria Math" w:hAnsi="Cambria Math"/>
                        <w:i/>
                      </w:rPr>
                    </m:ctrlPr>
                  </m:naryPr>
                  <m:sub>
                    <m:r>
                      <w:rPr>
                        <w:rFonts w:ascii="Cambria Math" w:hAnsi="Cambria Math"/>
                      </w:rPr>
                      <m:t>s=1</m:t>
                    </m:r>
                  </m:sub>
                  <m:sup>
                    <m:r>
                      <w:rPr>
                        <w:rFonts w:ascii="Cambria Math" w:hAnsi="Cambria Math"/>
                      </w:rPr>
                      <m:t>28</m:t>
                    </m:r>
                  </m:sup>
                  <m:e>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Coa</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s,t</m:t>
                            </m:r>
                          </m:sub>
                        </m:sSub>
                      </m:e>
                    </m:d>
                    <m:r>
                      <w:rPr>
                        <w:rFonts w:ascii="Cambria Math" w:hAnsi="Cambria Math"/>
                      </w:rPr>
                      <m:t>+γ∆Capacit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i,t</m:t>
                        </m:r>
                      </m:sub>
                    </m:sSub>
                  </m:e>
                </m:nary>
              </m:oMath>
            </m:oMathPara>
          </w:p>
          <w:p w14:paraId="7C6C2857" w14:textId="77777777" w:rsidR="00136425" w:rsidRPr="005D6868" w:rsidRDefault="00136425" w:rsidP="006127BB">
            <w:pPr>
              <w:jc w:val="center"/>
              <w:rPr>
                <w:rFonts w:eastAsiaTheme="minorEastAsia"/>
              </w:rPr>
            </w:pPr>
          </w:p>
          <w:p w14:paraId="5C548152" w14:textId="77777777" w:rsidR="00136425" w:rsidRDefault="00136425" w:rsidP="006127BB">
            <w:pPr>
              <w:jc w:val="center"/>
            </w:pPr>
            <m:oMath>
              <m:r>
                <w:rPr>
                  <w:rFonts w:ascii="Cambria Math" w:hAnsi="Cambria Math"/>
                </w:rPr>
                <m:t xml:space="preserve">∀i, t∈{1996:2023} </m:t>
              </m:r>
            </m:oMath>
            <w:r>
              <w:rPr>
                <w:rFonts w:eastAsiaTheme="minorEastAsia"/>
              </w:rPr>
              <w:t xml:space="preserve"> </w:t>
            </w:r>
          </w:p>
        </w:tc>
        <w:tc>
          <w:tcPr>
            <w:tcW w:w="350" w:type="pct"/>
            <w:vAlign w:val="center"/>
          </w:tcPr>
          <w:p w14:paraId="30F22066" w14:textId="5A5E9A4E" w:rsidR="00136425" w:rsidRPr="00B63EC2" w:rsidRDefault="00136425" w:rsidP="006300E4">
            <w:pPr>
              <w:pStyle w:val="Caption"/>
            </w:pPr>
            <w:bookmarkStart w:id="20" w:name="_Ref213060196"/>
            <w:bookmarkStart w:id="21" w:name="_Ref213060112"/>
            <w:r w:rsidRPr="00B63EC2">
              <w:t>(</w:t>
            </w:r>
            <w:r w:rsidRPr="00B63EC2">
              <w:fldChar w:fldCharType="begin"/>
            </w:r>
            <w:r w:rsidRPr="00B63EC2">
              <w:instrText xml:space="preserve"> SEQ Equation \* ARABIC </w:instrText>
            </w:r>
            <w:r w:rsidRPr="00B63EC2">
              <w:fldChar w:fldCharType="separate"/>
            </w:r>
            <w:r w:rsidR="00CD17CC">
              <w:rPr>
                <w:noProof/>
              </w:rPr>
              <w:t>1</w:t>
            </w:r>
            <w:r w:rsidRPr="00B63EC2">
              <w:fldChar w:fldCharType="end"/>
            </w:r>
            <w:bookmarkEnd w:id="20"/>
            <w:r w:rsidRPr="00B63EC2">
              <w:t>)</w:t>
            </w:r>
            <w:bookmarkEnd w:id="21"/>
            <w:r w:rsidRPr="00B63EC2">
              <w:t xml:space="preserve"> </w:t>
            </w:r>
          </w:p>
        </w:tc>
      </w:tr>
    </w:tbl>
    <w:p w14:paraId="300C49ED" w14:textId="77777777" w:rsidR="00136425" w:rsidRDefault="00136425" w:rsidP="00136425"/>
    <w:p w14:paraId="627CDCB7" w14:textId="53FB1DE6" w:rsidR="00136425" w:rsidRDefault="003C50DA" w:rsidP="003C50DA">
      <w:pPr>
        <w:spacing w:after="0" w:line="480" w:lineRule="auto"/>
        <w:rPr>
          <w:rFonts w:eastAsiaTheme="minorEastAsia"/>
        </w:rPr>
      </w:pPr>
      <w:r>
        <w:t>w</w:t>
      </w:r>
      <w:r w:rsidR="00136425">
        <w:t xml:space="preserve">here </w:t>
      </w:r>
      <m:oMath>
        <m:r>
          <w:rPr>
            <w:rFonts w:ascii="Cambria Math" w:hAnsi="Cambria Math"/>
          </w:rPr>
          <m:t>∆CapE</m:t>
        </m:r>
        <m:sSub>
          <m:sSubPr>
            <m:ctrlPr>
              <w:rPr>
                <w:rFonts w:ascii="Cambria Math" w:hAnsi="Cambria Math"/>
                <w:i/>
              </w:rPr>
            </m:ctrlPr>
          </m:sSubPr>
          <m:e>
            <m:r>
              <w:rPr>
                <w:rFonts w:ascii="Cambria Math" w:hAnsi="Cambria Math"/>
              </w:rPr>
              <m:t>x</m:t>
            </m:r>
          </m:e>
          <m:sub>
            <m:r>
              <w:rPr>
                <w:rFonts w:ascii="Cambria Math" w:hAnsi="Cambria Math"/>
              </w:rPr>
              <m:t>i,t</m:t>
            </m:r>
          </m:sub>
        </m:sSub>
      </m:oMath>
      <w:r w:rsidR="00136425">
        <w:rPr>
          <w:rFonts w:eastAsiaTheme="minorEastAsia"/>
        </w:rPr>
        <w:t xml:space="preserve"> represents the annual change in capital expenditures for plant </w:t>
      </w:r>
      <m:oMath>
        <m:r>
          <w:rPr>
            <w:rFonts w:ascii="Cambria Math" w:eastAsiaTheme="minorEastAsia" w:hAnsi="Cambria Math"/>
          </w:rPr>
          <m:t>i</m:t>
        </m:r>
      </m:oMath>
      <w:r w:rsidR="00136425">
        <w:rPr>
          <w:rFonts w:eastAsiaTheme="minorEastAsia"/>
        </w:rPr>
        <w:t xml:space="preserve"> in year </w:t>
      </w:r>
      <m:oMath>
        <m:r>
          <w:rPr>
            <w:rFonts w:ascii="Cambria Math" w:eastAsiaTheme="minorEastAsia" w:hAnsi="Cambria Math"/>
          </w:rPr>
          <m:t>t</m:t>
        </m:r>
      </m:oMath>
      <w:r w:rsidR="00136425">
        <w:rPr>
          <w:rFonts w:eastAsiaTheme="minorEastAsia"/>
        </w:rPr>
        <w:t xml:space="preserve">, and </w:t>
      </w:r>
      <m:oMath>
        <m:r>
          <w:rPr>
            <w:rFonts w:ascii="Cambria Math" w:eastAsiaTheme="minorEastAsia" w:hAnsi="Cambria Math"/>
          </w:rPr>
          <m:t>Coa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00136425">
        <w:rPr>
          <w:rFonts w:eastAsiaTheme="minorEastAsia"/>
        </w:rPr>
        <w:t xml:space="preserve"> is an indicator variable equal to one for coal plants with capacity </w:t>
      </w:r>
      <m:oMath>
        <m:r>
          <w:rPr>
            <w:rFonts w:ascii="Cambria Math" w:eastAsiaTheme="minorEastAsia" w:hAnsi="Cambria Math"/>
          </w:rPr>
          <m:t>≥</m:t>
        </m:r>
      </m:oMath>
      <w:r w:rsidR="00136425">
        <w:rPr>
          <w:rFonts w:eastAsiaTheme="minorEastAsia"/>
        </w:rPr>
        <w:t xml:space="preserve"> 25 MW that were installed prior to 2001. This definition aligns with EPA’s regulatory thresholds that apply to coal units above 25 MW, and plants built after 2001 already incorporate the environmental control technologies targeted by EPA over this time.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s,t</m:t>
            </m:r>
          </m:sub>
        </m:sSub>
      </m:oMath>
      <w:r w:rsidR="00136425">
        <w:rPr>
          <w:rFonts w:eastAsiaTheme="minorEastAsia"/>
        </w:rPr>
        <w:t xml:space="preserve"> are year-specific indicator variables that equal one when </w:t>
      </w:r>
      <m:oMath>
        <m:r>
          <w:rPr>
            <w:rFonts w:ascii="Cambria Math" w:eastAsiaTheme="minorEastAsia" w:hAnsi="Cambria Math"/>
          </w:rPr>
          <m:t>t=1995+s</m:t>
        </m:r>
      </m:oMath>
      <w:r w:rsidR="00136425">
        <w:rPr>
          <w:rFonts w:eastAsiaTheme="minorEastAsia"/>
        </w:rPr>
        <w:t xml:space="preserve">, creating separate interaction terms for each year from 1996 through </w:t>
      </w:r>
      <w:r w:rsidR="00136425">
        <w:rPr>
          <w:rFonts w:eastAsiaTheme="minorEastAsia"/>
        </w:rPr>
        <w:lastRenderedPageBreak/>
        <w:t xml:space="preserve">2003. The specification omits 1995 as the baseline reference year, making all coefficients interpretable relative to that initial period. </w:t>
      </w:r>
    </w:p>
    <w:p w14:paraId="6B2C4D97" w14:textId="77777777" w:rsidR="00136425" w:rsidRPr="000F0DA9" w:rsidRDefault="00136425" w:rsidP="009E6263">
      <w:pPr>
        <w:spacing w:after="0" w:line="480" w:lineRule="auto"/>
        <w:ind w:firstLine="720"/>
        <w:rPr>
          <w:rFonts w:eastAsiaTheme="minorEastAsia"/>
          <w:b/>
          <w:bCs/>
        </w:rPr>
      </w:pPr>
      <w:r>
        <w:rPr>
          <w:rFonts w:eastAsiaTheme="minorEastAsia"/>
        </w:rPr>
        <w:t xml:space="preserve">The coefficients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s</m:t>
            </m:r>
          </m:sub>
        </m:sSub>
      </m:oMath>
      <w:r>
        <w:rPr>
          <w:rFonts w:eastAsiaTheme="minorEastAsia"/>
        </w:rPr>
        <w:t xml:space="preserve"> capture the coal-specific investment premium in each year </w:t>
      </w:r>
      <m:oMath>
        <m:r>
          <w:rPr>
            <w:rFonts w:ascii="Cambria Math" w:eastAsiaTheme="minorEastAsia" w:hAnsi="Cambria Math"/>
          </w:rPr>
          <m:t>s</m:t>
        </m:r>
      </m:oMath>
      <w:r>
        <w:rPr>
          <w:rFonts w:eastAsiaTheme="minorEastAsia"/>
        </w:rPr>
        <w:t xml:space="preserve"> relative to comparable non-coal plants in the same year. Thus,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s</m:t>
            </m:r>
          </m:sub>
        </m:sSub>
      </m:oMath>
      <w:r>
        <w:rPr>
          <w:rFonts w:eastAsiaTheme="minorEastAsia"/>
        </w:rPr>
        <w:t xml:space="preserve"> represents the differential investment between coal and non-coal plants in the sample after controlling for macro factors that affected all plant types similarly within each year. </w:t>
      </w:r>
      <w:r w:rsidRPr="000F0DA9">
        <w:rPr>
          <w:rFonts w:eastAsiaTheme="minorEastAsia"/>
        </w:rPr>
        <w:t xml:space="preserve">Each coefficient represents a per-plant </w:t>
      </w:r>
      <w:r>
        <w:rPr>
          <w:rFonts w:eastAsiaTheme="minorEastAsia"/>
        </w:rPr>
        <w:t>differential</w:t>
      </w:r>
      <w:r w:rsidRPr="000F0DA9">
        <w:rPr>
          <w:rFonts w:eastAsiaTheme="minorEastAsia"/>
        </w:rPr>
        <w:t>, indicating how much more the average coal plant invested compared to the average non-coal plant in that specific year</w:t>
      </w:r>
      <w:r w:rsidRPr="000F0DA9">
        <w:rPr>
          <w:rFonts w:eastAsiaTheme="minorEastAsia"/>
          <w:b/>
          <w:bCs/>
        </w:rPr>
        <w:t>.</w:t>
      </w:r>
      <w:r>
        <w:rPr>
          <w:rFonts w:eastAsiaTheme="minorEastAsia"/>
          <w:b/>
          <w:bCs/>
        </w:rPr>
        <w:t xml:space="preserve"> </w:t>
      </w:r>
      <w:r>
        <w:rPr>
          <w:rFonts w:eastAsiaTheme="minorEastAsia"/>
        </w:rPr>
        <w:t xml:space="preserve">For example,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13</m:t>
            </m:r>
          </m:sub>
        </m:sSub>
      </m:oMath>
      <w:r>
        <w:rPr>
          <w:rFonts w:eastAsiaTheme="minorEastAsia"/>
        </w:rPr>
        <w:t xml:space="preserve"> (corresponding to 2008) measures the differential in coal-plant investment in 2008 relative to all other natural gas and nuclear plants in the sample in 2008.</w:t>
      </w:r>
    </w:p>
    <w:p w14:paraId="1DA99664" w14:textId="77777777" w:rsidR="00136425" w:rsidRDefault="00136425" w:rsidP="009E6263">
      <w:pPr>
        <w:spacing w:after="0" w:line="480" w:lineRule="auto"/>
        <w:ind w:firstLine="720"/>
        <w:rPr>
          <w:rFonts w:eastAsiaTheme="minorEastAsia"/>
        </w:rPr>
      </w:pPr>
      <w:r>
        <w:rPr>
          <w:rFonts w:eastAsiaTheme="minorEastAsia"/>
        </w:rPr>
        <w:t xml:space="preserve">The model includes </w:t>
      </w:r>
      <m:oMath>
        <m:r>
          <w:rPr>
            <w:rFonts w:ascii="Cambria Math" w:eastAsiaTheme="minorEastAsia" w:hAnsi="Cambria Math"/>
          </w:rPr>
          <m:t>∆Capacit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i,t</m:t>
            </m:r>
          </m:sub>
        </m:sSub>
      </m:oMath>
      <w:r>
        <w:rPr>
          <w:rFonts w:eastAsiaTheme="minorEastAsia"/>
        </w:rPr>
        <w:t xml:space="preserve"> to control for capacity expansions or reductions during the period that impact the plant’s capital balance and expenditure levels. The intercept </w:t>
      </w:r>
      <m:oMath>
        <m:r>
          <w:rPr>
            <w:rFonts w:ascii="Cambria Math" w:eastAsiaTheme="minorEastAsia" w:hAnsi="Cambria Math"/>
          </w:rPr>
          <m:t>α</m:t>
        </m:r>
      </m:oMath>
      <w:r>
        <w:rPr>
          <w:rFonts w:eastAsiaTheme="minorEastAsia"/>
        </w:rPr>
        <w:t xml:space="preserve"> captures the average investment change for non-coal plants in the baseline year (1995). Heteroskedasticity-robust standard errors clustered at the plant level to account for serial correlation in individual plants’ investment decisions over time. This model design inherently performs the essential functions of traditional plant and year fixed effects, because the first-differenced dependent variable removes time-invariant plant heterogeneity, and the separate year-specific event indicators capture year-to-year variation investment conditions that affect all plants.</w:t>
      </w:r>
    </w:p>
    <w:p w14:paraId="0DFB299C" w14:textId="739E2263" w:rsidR="00136425" w:rsidRPr="00FC5615" w:rsidRDefault="00136425" w:rsidP="009E6263">
      <w:pPr>
        <w:spacing w:after="0" w:line="480" w:lineRule="auto"/>
        <w:ind w:firstLine="450"/>
      </w:pPr>
      <w:r>
        <w:t xml:space="preserve">Coal plants in the sample require more capital expense than the plants in the comparison group, independent of the environmental controls mandated during this period. Appendix </w:t>
      </w:r>
      <w:r>
        <w:fldChar w:fldCharType="begin"/>
      </w:r>
      <w:r>
        <w:instrText xml:space="preserve"> REF _Ref213419745 \r \h </w:instrText>
      </w:r>
      <w:r w:rsidR="009E6263">
        <w:instrText xml:space="preserve"> \* MERGEFORMAT </w:instrText>
      </w:r>
      <w:r>
        <w:fldChar w:fldCharType="separate"/>
      </w:r>
      <w:r w:rsidR="00CD17CC">
        <w:t>2</w:t>
      </w:r>
      <w:r>
        <w:fldChar w:fldCharType="end"/>
      </w:r>
      <w:r>
        <w:t xml:space="preserve"> shows a simple difference in differences calculation on capital account levels yields an average annual premium of $15.6 billion per year from 1995-2023, an order of magnitude larger than the corresponding premium described in the econometric results below. This is likely due to </w:t>
      </w:r>
      <w:r>
        <w:lastRenderedPageBreak/>
        <w:t>the relative age and/or complexity of the coal plant technology relative to the control group, and illustrates the necessity of differencing out plant-level effects in the dependent variable.</w:t>
      </w:r>
    </w:p>
    <w:p w14:paraId="777810BF" w14:textId="77777777" w:rsidR="00136425" w:rsidRDefault="00136425" w:rsidP="001B1353">
      <w:pPr>
        <w:pStyle w:val="Heading3"/>
        <w:rPr>
          <w:rFonts w:eastAsiaTheme="minorEastAsia"/>
        </w:rPr>
      </w:pPr>
      <w:r>
        <w:rPr>
          <w:rFonts w:eastAsiaTheme="minorEastAsia"/>
        </w:rPr>
        <w:t>Results</w:t>
      </w:r>
    </w:p>
    <w:p w14:paraId="54276FBD" w14:textId="37BE643E" w:rsidR="00136425" w:rsidRPr="004207AC" w:rsidRDefault="00136425" w:rsidP="004C74F6">
      <w:pPr>
        <w:spacing w:after="0" w:line="480" w:lineRule="auto"/>
        <w:ind w:firstLine="450"/>
        <w:rPr>
          <w:rFonts w:eastAsiaTheme="minorEastAsia"/>
        </w:rPr>
      </w:pPr>
      <w:r>
        <w:rPr>
          <w:rFonts w:eastAsiaTheme="minorEastAsia"/>
        </w:rPr>
        <w:t xml:space="preserve">The event study model results provide additional insight into the additional capital expenditure for coal plants that overlap with the EPA compliance timelines described above. </w:t>
      </w:r>
      <w:r>
        <w:rPr>
          <w:rFonts w:eastAsiaTheme="minorEastAsia"/>
        </w:rPr>
        <w:fldChar w:fldCharType="begin"/>
      </w:r>
      <w:r>
        <w:rPr>
          <w:rFonts w:eastAsiaTheme="minorEastAsia"/>
        </w:rPr>
        <w:instrText xml:space="preserve"> REF _Ref213061083 \h </w:instrText>
      </w:r>
      <w:r w:rsidR="004C74F6">
        <w:rPr>
          <w:rFonts w:eastAsiaTheme="minorEastAsia"/>
        </w:rPr>
        <w:instrText xml:space="preserve"> \* MERGEFORMAT </w:instrText>
      </w:r>
      <w:r>
        <w:rPr>
          <w:rFonts w:eastAsiaTheme="minorEastAsia"/>
        </w:rPr>
      </w:r>
      <w:r>
        <w:rPr>
          <w:rFonts w:eastAsiaTheme="minorEastAsia"/>
        </w:rPr>
        <w:fldChar w:fldCharType="separate"/>
      </w:r>
      <w:r w:rsidR="00CD17CC">
        <w:t xml:space="preserve">Figure </w:t>
      </w:r>
      <w:r w:rsidR="00CD17CC">
        <w:rPr>
          <w:noProof/>
        </w:rPr>
        <w:t>7</w:t>
      </w:r>
      <w:r>
        <w:rPr>
          <w:rFonts w:eastAsiaTheme="minorEastAsia"/>
        </w:rPr>
        <w:fldChar w:fldCharType="end"/>
      </w:r>
      <w:r>
        <w:rPr>
          <w:rFonts w:eastAsiaTheme="minorEastAsia"/>
        </w:rPr>
        <w:t xml:space="preserve"> displays the model results, showing the annual coal investment premium across the sample period. Each point represents the additional average capital expenditure for a coal plant compared to gas and nuclear plants in the same year, after controlling for capacity changes, with shaded areas indicating 95% confidence intervals based on the plant-level clustered robust standard errors. Numeric tables with the detailed model results are provided in Appendix </w:t>
      </w:r>
      <w:r>
        <w:rPr>
          <w:rFonts w:eastAsiaTheme="minorEastAsia"/>
        </w:rPr>
        <w:fldChar w:fldCharType="begin"/>
      </w:r>
      <w:r>
        <w:rPr>
          <w:rFonts w:eastAsiaTheme="minorEastAsia"/>
        </w:rPr>
        <w:instrText xml:space="preserve"> REF _Ref214025458 \r \h </w:instrText>
      </w:r>
      <w:r w:rsidR="004C74F6">
        <w:rPr>
          <w:rFonts w:eastAsiaTheme="minorEastAsia"/>
        </w:rPr>
        <w:instrText xml:space="preserve"> \* MERGEFORMAT </w:instrText>
      </w:r>
      <w:r>
        <w:rPr>
          <w:rFonts w:eastAsiaTheme="minorEastAsia"/>
        </w:rPr>
      </w:r>
      <w:r>
        <w:rPr>
          <w:rFonts w:eastAsiaTheme="minorEastAsia"/>
        </w:rPr>
        <w:fldChar w:fldCharType="separate"/>
      </w:r>
      <w:r w:rsidR="00CD17CC">
        <w:rPr>
          <w:rFonts w:eastAsiaTheme="minorEastAsia"/>
        </w:rPr>
        <w:t>2</w:t>
      </w:r>
      <w:r>
        <w:rPr>
          <w:rFonts w:eastAsiaTheme="minorEastAsia"/>
        </w:rPr>
        <w:fldChar w:fldCharType="end"/>
      </w:r>
      <w:r>
        <w:rPr>
          <w:rFonts w:eastAsiaTheme="minorEastAsia"/>
        </w:rPr>
        <w:t>.</w:t>
      </w:r>
    </w:p>
    <w:p w14:paraId="07F68559" w14:textId="77777777" w:rsidR="00136425" w:rsidRDefault="00136425" w:rsidP="004C74F6">
      <w:pPr>
        <w:keepNext/>
        <w:jc w:val="center"/>
      </w:pPr>
      <w:r>
        <w:rPr>
          <w:noProof/>
        </w:rPr>
        <w:drawing>
          <wp:inline distT="0" distB="0" distL="0" distR="0" wp14:anchorId="050A3E16" wp14:editId="6645763F">
            <wp:extent cx="5485741" cy="3110345"/>
            <wp:effectExtent l="0" t="0" r="1270" b="0"/>
            <wp:docPr id="1666541653"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1653" name="Picture 1" descr="Chart, line char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1749" cy="3113751"/>
                    </a:xfrm>
                    <a:prstGeom prst="rect">
                      <a:avLst/>
                    </a:prstGeom>
                    <a:noFill/>
                    <a:ln>
                      <a:noFill/>
                    </a:ln>
                  </pic:spPr>
                </pic:pic>
              </a:graphicData>
            </a:graphic>
          </wp:inline>
        </w:drawing>
      </w:r>
    </w:p>
    <w:p w14:paraId="17665916" w14:textId="2BF3ACC9" w:rsidR="00136425" w:rsidRDefault="00136425" w:rsidP="004C74F6">
      <w:pPr>
        <w:pStyle w:val="Caption"/>
      </w:pPr>
      <w:bookmarkStart w:id="22" w:name="_Ref213061083"/>
      <w:r>
        <w:t xml:space="preserve">Figure </w:t>
      </w:r>
      <w:r w:rsidR="00BF3A2E">
        <w:fldChar w:fldCharType="begin"/>
      </w:r>
      <w:r w:rsidR="00BF3A2E">
        <w:instrText xml:space="preserve"> SEQ Figure \* ARABIC </w:instrText>
      </w:r>
      <w:r w:rsidR="00BF3A2E">
        <w:fldChar w:fldCharType="separate"/>
      </w:r>
      <w:r w:rsidR="00CD17CC">
        <w:rPr>
          <w:noProof/>
        </w:rPr>
        <w:t>7</w:t>
      </w:r>
      <w:r w:rsidR="00BF3A2E">
        <w:rPr>
          <w:noProof/>
        </w:rPr>
        <w:fldChar w:fldCharType="end"/>
      </w:r>
      <w:bookmarkEnd w:id="22"/>
      <w:r>
        <w:t xml:space="preserve"> Annual Coal Plant Investment Premium from Event-Study Model.</w:t>
      </w:r>
    </w:p>
    <w:p w14:paraId="4B09F4D1" w14:textId="77777777" w:rsidR="004C74F6" w:rsidRDefault="004C74F6" w:rsidP="004C74F6">
      <w:pPr>
        <w:spacing w:line="480" w:lineRule="auto"/>
        <w:ind w:firstLine="720"/>
      </w:pPr>
    </w:p>
    <w:p w14:paraId="4C746BD8" w14:textId="6FEC2239" w:rsidR="00136425" w:rsidRDefault="00136425" w:rsidP="006D78F8">
      <w:pPr>
        <w:spacing w:after="0" w:line="480" w:lineRule="auto"/>
        <w:ind w:firstLine="720"/>
      </w:pPr>
      <w:r>
        <w:lastRenderedPageBreak/>
        <w:t xml:space="preserve">The estimated coal investment premium exhibits multiple phases that align the EPA’s regulatory timeline described above, including three distinct waves of investment premiums that peak in 2010, 2015, and 2019. During the pre-compliance period (1996-2000), coal plants exhibited investment premiums ranging between $0-$18 million per year. These earlier, smaller premiums could be explained  by compliance with earlier EPA requirements on coal plants under the acid rain program which led to smaller amounts of scrubber investment </w:t>
      </w:r>
      <w:r>
        <w:fldChar w:fldCharType="begin"/>
      </w:r>
      <w:r w:rsidR="00864649">
        <w:instrText xml:space="preserve"> ADDIN ZOTERO_ITEM CSL_CITATION {"citationID":"AWqIOKdD","properties":{"formattedCitation":"({\\i{}Clean Air Act Amendments of 1990}, 1990; Frey, 2013)","plainCitation":"(Clean Air Act Amendments of 1990, 1990; Frey, 2013)","noteIndex":0},"citationItems":[{"id":437,"uris":["http://zotero.org/users/14790435/items/8DFEAUH6"],"itemData":{"id":437,"type":"legislation","container-title":"U.S.C","number":"101-549","section":"7651 et seq,","title":"Clean Air Act Title IV - Acid Deposition Control","title-short":"Clean Air Act Amendments of 1990","issued":{"date-parts":[["1990",11,15]]}}},{"id":443,"uris":["http://zotero.org/users/14790435/items/TUJXIEPY"],"itemData":{"id":443,"type":"article-journal","abstract":"Title IV of the 1990 Clean Air Act Amendments implemented a pollution permit system for sulfur dioxide (SO2) emissions that departs from state command-and-control regulations that were in place prior to and during its implementation. This paper develops a technology diffusion model, relying on rank effects or firm heterogeneity, to explain the adoption of scrubbers, a SO2 abatement technology. Using survival analysis, empirical results show that generating units regulated under Phase I of Title IV, units facing more stringent state regulations, and units with low expected installation costs are much more likely to install a scrubber. In addition, there is evidence of positive scale effects of adoption, meaning larger units are more likely to adopt because expected installation costs are lower. Tradable permit systems should give firms more flexibility in choosing abatement technologies, but results show that when command-and-control regulations overlap with a market-based system, the technology choice is restricted.http://dx.doi.org/10.5547/01956574.34.1.8","container-title":"The Energy Journal","DOI":"10.5547/01956574.34.1.8","ISSN":"0195-6574","issue":"1","language":"EN","note":"publisher: SAGE Publications","page":"177-205","source":"SAGE Journals","title":"Technology Diffusion and Environmental Regulation: The Adoption of Scrubbers by Coal-Fired Power Plants","title-short":"Technology Diffusion and Environmental Regulation","volume":"34","author":[{"family":"Frey","given":"Elaine F."}],"issued":{"date-parts":[["2013",1,1]]}}}],"schema":"https://github.com/citation-style-language/schema/raw/master/csl-citation.json"} </w:instrText>
      </w:r>
      <w:r>
        <w:fldChar w:fldCharType="separate"/>
      </w:r>
      <w:r w:rsidR="00864649" w:rsidRPr="00864649">
        <w:rPr>
          <w:rFonts w:cs="Times New Roman"/>
          <w:kern w:val="0"/>
        </w:rPr>
        <w:t>(</w:t>
      </w:r>
      <w:r w:rsidR="00864649" w:rsidRPr="00864649">
        <w:rPr>
          <w:rFonts w:cs="Times New Roman"/>
          <w:i/>
          <w:iCs/>
          <w:kern w:val="0"/>
        </w:rPr>
        <w:t>Clean Air Act Amendments of 1990</w:t>
      </w:r>
      <w:r w:rsidR="00864649" w:rsidRPr="00864649">
        <w:rPr>
          <w:rFonts w:cs="Times New Roman"/>
          <w:kern w:val="0"/>
        </w:rPr>
        <w:t>, 1990; Frey, 2013)</w:t>
      </w:r>
      <w:r>
        <w:fldChar w:fldCharType="end"/>
      </w:r>
      <w:r>
        <w:t>, anticipatory investment in advance of the upcoming EPA regulations, and baseline differences in capital investment for coal and other technologies.</w:t>
      </w:r>
    </w:p>
    <w:p w14:paraId="4B5AF4A0" w14:textId="77777777" w:rsidR="00CD17CC" w:rsidRDefault="00136425" w:rsidP="00E8698E">
      <w:pPr>
        <w:spacing w:after="0" w:line="480" w:lineRule="auto"/>
        <w:ind w:firstLine="720"/>
      </w:pPr>
      <w:r>
        <w:t xml:space="preserve">The first wave of coal investment peaks at $47.6 million in 2010, coinciding with the CAIR compliance deadline. The second wave peaks at $66.8 million in 2015, coinciding with the MATS deadline. The third wave peaks at $56.4 million in 2019, overlapping with the CCR Rule compliance date. The coal investment premium declines after 2019 to the earlier baseline levels. These results show that from 2007-2019, the average coal plant experienced a cumulative investment premium of $489 million. There were 101 coal plants online during this period on average, yielding a total investment premium to coal plants of $49 billion from 2007-2019, or $3.8 billion per year during this period. These results cover the coal plants from the data sample, which as of 2023 included 61% of all coal power plants in the United States, previously shown in </w:t>
      </w:r>
      <w:r>
        <w:fldChar w:fldCharType="begin"/>
      </w:r>
      <w:r>
        <w:instrText xml:space="preserve"> REF _Ref206677989 \h </w:instrText>
      </w:r>
      <w:r w:rsidR="004C74F6">
        <w:instrText xml:space="preserve"> \* MERGEFORMAT </w:instrText>
      </w:r>
      <w:r>
        <w:fldChar w:fldCharType="separate"/>
      </w:r>
    </w:p>
    <w:p w14:paraId="295A28EB" w14:textId="4972676C" w:rsidR="00136425" w:rsidRDefault="00CD17CC" w:rsidP="00471B80">
      <w:pPr>
        <w:spacing w:after="0" w:line="480" w:lineRule="auto"/>
        <w:ind w:firstLine="720"/>
      </w:pPr>
      <w:r w:rsidRPr="006300E4">
        <w:rPr>
          <w:noProof/>
        </w:rPr>
        <w:t xml:space="preserve">Table </w:t>
      </w:r>
      <w:r>
        <w:rPr>
          <w:noProof/>
        </w:rPr>
        <w:t>2</w:t>
      </w:r>
      <w:r w:rsidR="00136425">
        <w:fldChar w:fldCharType="end"/>
      </w:r>
      <w:r w:rsidR="00136425">
        <w:t>.</w:t>
      </w:r>
    </w:p>
    <w:p w14:paraId="02E084FC" w14:textId="3E70C755" w:rsidR="00136425" w:rsidRDefault="00136425" w:rsidP="004C7A90">
      <w:pPr>
        <w:spacing w:after="0" w:line="480" w:lineRule="auto"/>
        <w:ind w:firstLine="720"/>
      </w:pPr>
      <w:r>
        <w:t xml:space="preserve">To assess the sensitivity of the event-study model results to the choice of comparison groups, Appendix </w:t>
      </w:r>
      <w:r>
        <w:fldChar w:fldCharType="begin"/>
      </w:r>
      <w:r>
        <w:instrText xml:space="preserve"> REF _Ref214025712 \r \h </w:instrText>
      </w:r>
      <w:r w:rsidR="004C74F6">
        <w:instrText xml:space="preserve"> \* MERGEFORMAT </w:instrText>
      </w:r>
      <w:r>
        <w:fldChar w:fldCharType="separate"/>
      </w:r>
      <w:r w:rsidR="00CD17CC">
        <w:t>2.3</w:t>
      </w:r>
      <w:r>
        <w:fldChar w:fldCharType="end"/>
      </w:r>
      <w:r>
        <w:t xml:space="preserve"> presents two robustness checks that re-estimate the model using, 1) only natural gas plants, and 2) only nuclear plants as the control sample. Despite the more restrictive comparison groups, the resulting coal investment premiums closely track the main </w:t>
      </w:r>
      <w:r>
        <w:lastRenderedPageBreak/>
        <w:t>model, with the cumulative premiums estimated during 2007-2019 differs by only a few million dollars across specifications. The consistency of these alternative estimates indicates the coal investment premium is not driven by the composition of the control group.</w:t>
      </w:r>
    </w:p>
    <w:p w14:paraId="7A5A6134" w14:textId="77777777" w:rsidR="00136425" w:rsidRDefault="00136425" w:rsidP="00136425"/>
    <w:p w14:paraId="785007CB" w14:textId="4CF78099" w:rsidR="00136425" w:rsidRDefault="00136425" w:rsidP="001B1353">
      <w:pPr>
        <w:pStyle w:val="Heading3"/>
      </w:pPr>
      <w:r>
        <w:t>Comparison to Literature</w:t>
      </w:r>
    </w:p>
    <w:p w14:paraId="3147E9E9" w14:textId="7F5D4089" w:rsidR="00136425" w:rsidRDefault="00136425" w:rsidP="004C7A90">
      <w:pPr>
        <w:spacing w:after="0" w:line="480" w:lineRule="auto"/>
        <w:ind w:firstLine="720"/>
      </w:pPr>
      <w:r>
        <w:t xml:space="preserve">The estimated coal investment premium averaging $3.8 billion per year across the sample can be contextualized against existing studies. The EPA’s projected in its regulatory impact assessment (RIA) for the Clean Air Interstate Rule additional annual costs of $3.6 billion in 2015, encompassing capital expenditures for pollution controls as well as incremental operating and fuel costs </w:t>
      </w:r>
      <w:r>
        <w:fldChar w:fldCharType="begin"/>
      </w:r>
      <w:r w:rsidR="00864649">
        <w:instrText xml:space="preserve"> ADDIN ZOTERO_ITEM CSL_CITATION {"citationID":"L39eX7CG","properties":{"formattedCitation":"(U.S. Environmental Protection Agency, 2005c)","plainCitation":"(U.S. Environmental Protection Agency, 2005c)","noteIndex":0},"citationItems":[{"id":70,"uris":["http://zotero.org/users/14790435/items/8A93FA76"],"itemData":{"id":70,"type":"report","number":"EPA-452/R-05-002","page":"7-17","title":"Regulatory Impact Analysis for the Final Clean Air Interstate Rule","URL":"https://www.epa.gov/sites/default/files/2020-07/documents/transport_ria_final-clean-air-interstate-rule_2005-03.pdf","author":[{"family":"U.S. Environmental Protection Agency","given":""}],"issued":{"date-parts":[["2005",3]]}}}],"schema":"https://github.com/citation-style-language/schema/raw/master/csl-citation.json"} </w:instrText>
      </w:r>
      <w:r>
        <w:fldChar w:fldCharType="separate"/>
      </w:r>
      <w:r w:rsidR="00864649" w:rsidRPr="00864649">
        <w:t>(U.S. Environmental Protection Agency, 2005c)</w:t>
      </w:r>
      <w:r>
        <w:fldChar w:fldCharType="end"/>
      </w:r>
      <w:r>
        <w:t xml:space="preserve">. The EPA’s RIA for MATS projected an annualized cost of $9.6 billion (in 2007 dollars) for MATS compliance in 2020 </w:t>
      </w:r>
      <w:r>
        <w:fldChar w:fldCharType="begin"/>
      </w:r>
      <w:r w:rsidR="00864649">
        <w:instrText xml:space="preserve"> ADDIN ZOTERO_ITEM CSL_CITATION {"citationID":"W8CvsoqN","properties":{"formattedCitation":"(U.S. Environmental Protection Agency, 2011)","plainCitation":"(U.S. Environmental Protection Agency, 2011)","noteIndex":0},"citationItems":[{"id":68,"uris":["http://zotero.org/users/14790435/items/Y5G5YUNV"],"itemData":{"id":68,"type":"report","note":"Table 3-5, p. 3-14.","number":"EPA-452/R-11-011","title":"Regulatory Impact Analysis for the Final Mercury and Air Toxics Standards","URL":"https://www3.epa.gov/ttnecas1/regdata/RIAs/matsriafinal.pdf","author":[{"family":"U.S. Environmental Protection Agency","given":""}],"issued":{"date-parts":[["2011",12]]}}}],"schema":"https://github.com/citation-style-language/schema/raw/master/csl-citation.json"} </w:instrText>
      </w:r>
      <w:r>
        <w:fldChar w:fldCharType="separate"/>
      </w:r>
      <w:r w:rsidR="00864649" w:rsidRPr="00864649">
        <w:t>(U.S. Environmental Protection Agency, 2011)</w:t>
      </w:r>
      <w:r>
        <w:fldChar w:fldCharType="end"/>
      </w:r>
      <w:r>
        <w:t xml:space="preserve">. Another study by </w:t>
      </w:r>
      <w:proofErr w:type="spellStart"/>
      <w:r>
        <w:t>Burtraw</w:t>
      </w:r>
      <w:proofErr w:type="spellEnd"/>
      <w:r>
        <w:t xml:space="preserve"> et al. (2013) estimated MATS compliance costs at $5.1  billion annually (in 2009 dollars) </w:t>
      </w:r>
      <w:r>
        <w:fldChar w:fldCharType="begin"/>
      </w:r>
      <w:r w:rsidR="00864649">
        <w:instrText xml:space="preserve"> ADDIN ZOTERO_ITEM CSL_CITATION {"citationID":"efGgR0IL","properties":{"formattedCitation":"(Burtraw et al., 2013)","plainCitation":"(Burtraw et al., 2013)","noteIndex":0},"citationItems":[{"id":76,"uris":["http://zotero.org/users/14790435/items/4CCWXKLL"],"itemData":{"id":76,"type":"article-journal","abstract":"Implementation of new environmental regulations of sulfur dioxide, nitrogen oxides and mercury in the U.S. electricity industry has triggered concerns about system reliability. Results from a national electricity market simulation model suggest that these regulations lead to little change in generation capacity and are unlikely to create the shock to the system that some anticipate. Large costs of investments in pollution controls are partially offset by a lower cost burden for tradable emissions allowances. The combined effects result in a 1 percent increase in national average retail electricity prices. In 2020 producers pay approximately 30 percent and consumers pay approximately 70 percent of the total costs of the regulations, which equal between $6.6 and $7.1 billion in 2020 (real 2009$). The regulation leads to substantial reductions in emissions of mercury and sulfur dioxide from the electricity sector.","container-title":"Energy Policy","DOI":"10.1016/j.enpol.2013.06.070","ISSN":"0301-4215","journalAbbreviation":"Energy Policy","page":"1078-1091","source":"ScienceDirect","title":"Reliability in the U.S. electricity industry under new environmental regulations","volume":"62","author":[{"family":"Burtraw","given":"Dallas"},{"family":"Palmer","given":"Karen"},{"family":"Paul","given":"Anthony"},{"family":"Beasley","given":"Blair"},{"family":"Woerman","given":"Matt"}],"issued":{"date-parts":[["2013",11,1]]}}}],"schema":"https://github.com/citation-style-language/schema/raw/master/csl-citation.json"} </w:instrText>
      </w:r>
      <w:r>
        <w:fldChar w:fldCharType="separate"/>
      </w:r>
      <w:r w:rsidR="00864649" w:rsidRPr="00864649">
        <w:t>(</w:t>
      </w:r>
      <w:proofErr w:type="spellStart"/>
      <w:r w:rsidR="00864649" w:rsidRPr="00864649">
        <w:t>Burtraw</w:t>
      </w:r>
      <w:proofErr w:type="spellEnd"/>
      <w:r w:rsidR="00864649" w:rsidRPr="00864649">
        <w:t xml:space="preserve"> et al., 2013)</w:t>
      </w:r>
      <w:r>
        <w:fldChar w:fldCharType="end"/>
      </w:r>
      <w:r>
        <w:t xml:space="preserve">.  </w:t>
      </w:r>
      <w:proofErr w:type="spellStart"/>
      <w:r w:rsidRPr="00ED206A">
        <w:t>Gowrisankaran</w:t>
      </w:r>
      <w:proofErr w:type="spellEnd"/>
      <w:r>
        <w:t xml:space="preserve"> et al. (2025) developed an ex post model which predicted that generators subject to MATS would spend a total of $11.8 billion on technology adoption, in 2012 dollars </w:t>
      </w:r>
      <w:r>
        <w:fldChar w:fldCharType="begin"/>
      </w:r>
      <w:r w:rsidR="00864649">
        <w:instrText xml:space="preserve"> ADDIN ZOTERO_ITEM CSL_CITATION {"citationID":"u6TVbsbK","properties":{"formattedCitation":"(Gowrisankaran et al., 2025)","plainCitation":"(Gowrisankaran et al., 2025)","noteIndex":0},"citationItems":[{"id":441,"uris":["http://zotero.org/users/14790435/items/3W7BD56M"],"itemData":{"id":441,"type":"article-journal","abstract":"Government policy uncertainty affects irreversible decisions including technology adoption and exit. This paper quantifies uncertainty surrounding the Mercury and Air Toxics Standards (MATS). We estimate a dynamic oligopoly model for coal-fired electricity generators that recovers generators’ beliefs regarding future MATS enforcement. We develop the approximate belief oligopoly equilibrium concept, where players understand that their decisions impact aggregate market states. MATS enforcement created substantial uncertainty: the perceived enforcement probability dropped to 43%. Resolving uncertainty early would increase profits by $1.39 billion but also increase pollution costs by $0.652–$1.776 billion. Had exit been unlikely, resolving uncertainty early would have decreased pollution.","container-title":"Journal of Political Economy","DOI":"10.1086/734779","ISSN":"0022-3808","issue":"6","note":"publisher: The University of Chicago Press","page":"1757-1795","source":"journals.uchicago.edu (Atypon)","title":"Policy Uncertainty in the Market for Coal Electricity: The Case                         of Air Toxics Standards","title-short":"Policy Uncertainty in the Market for Coal Electricity","volume":"133","author":[{"family":"Gowrisankaran","given":"Gautam"},{"family":"Langer","given":"Ashley"},{"family":"Zhang","given":"Wendan"}],"issued":{"date-parts":[["2025",6]]}}}],"schema":"https://github.com/citation-style-language/schema/raw/master/csl-citation.json"} </w:instrText>
      </w:r>
      <w:r>
        <w:fldChar w:fldCharType="separate"/>
      </w:r>
      <w:r w:rsidR="00864649" w:rsidRPr="00864649">
        <w:t>(</w:t>
      </w:r>
      <w:proofErr w:type="spellStart"/>
      <w:r w:rsidR="00864649" w:rsidRPr="00864649">
        <w:t>Gowrisankaran</w:t>
      </w:r>
      <w:proofErr w:type="spellEnd"/>
      <w:r w:rsidR="00864649" w:rsidRPr="00864649">
        <w:t xml:space="preserve"> et al., 2025)</w:t>
      </w:r>
      <w:r>
        <w:fldChar w:fldCharType="end"/>
      </w:r>
      <w:r>
        <w:t>. The empirical results in this stud are order-of-magnitude consistent with this literature, particularly given that the data sample in this study includes 61% of the U.S. coal fleet and the $3.8 billion number is an annual average over a 13 year period, while the referenced studies estimate national impacts for a projected reference year.</w:t>
      </w:r>
    </w:p>
    <w:p w14:paraId="2EE57087" w14:textId="77777777" w:rsidR="00136425" w:rsidRDefault="00136425" w:rsidP="004C7A90">
      <w:pPr>
        <w:spacing w:after="0" w:line="480" w:lineRule="auto"/>
        <w:ind w:firstLine="720"/>
      </w:pPr>
      <w:r>
        <w:t xml:space="preserve">The results from the referenced studies provide relevant context but not a direct comparison to the econometric results presented in this study. First, the EPA RIA’s and </w:t>
      </w:r>
      <w:proofErr w:type="spellStart"/>
      <w:r>
        <w:t>Burtraw</w:t>
      </w:r>
      <w:proofErr w:type="spellEnd"/>
      <w:r>
        <w:t xml:space="preserve"> estimates are ex ante projections from models based on compliance scenarios prior to actual implementation, whereas the econometric results reflect ex post empirical observations of </w:t>
      </w:r>
      <w:r>
        <w:lastRenderedPageBreak/>
        <w:t xml:space="preserve">investment. Second, the referenced studies focus on individual rules and specific compliance years, while the econometric model captures the aggregate investment pattern across multiple overlapping regulations over an extended period. From this study, the annual average premium of $3.8 billion across thirteen years (2007-2019) covers the compliance periods of CAIR, CSAPR, MATS, and CCR rules. </w:t>
      </w:r>
    </w:p>
    <w:p w14:paraId="500B6156" w14:textId="51C5715D" w:rsidR="003B6A0E" w:rsidRDefault="00136425" w:rsidP="004C7A90">
      <w:pPr>
        <w:spacing w:after="0" w:line="480" w:lineRule="auto"/>
        <w:ind w:firstLine="720"/>
      </w:pPr>
      <w:r>
        <w:t xml:space="preserve">Notably, there is limited empirical analysis on coal plant capital investment in response to this period of EPA environmental regulations in the existing literature. For example, Dorsey (2019) examined how legal challenges to CAIR delayed investment and increased compliance costs at a subset of plants affected by additional uncertainty, but did not attempt to quantify aggregate capital expenditures associated with environmental compliance during this period. </w:t>
      </w:r>
      <w:r>
        <w:fldChar w:fldCharType="begin"/>
      </w:r>
      <w:r w:rsidR="00864649">
        <w:instrText xml:space="preserve"> ADDIN ZOTERO_ITEM CSL_CITATION {"citationID":"WTVQubno","properties":{"formattedCitation":"(Dorsey, 2019)","plainCitation":"(Dorsey, 2019)","noteIndex":0},"citationItems":[{"id":74,"uris":["http://zotero.org/users/14790435/items/4EMGWU76"],"itemData":{"id":74,"type":"article-journal","abstract":"Legal challenges and transitions of political power cause the future of regulatory policies to be uncertain. In this article, I investigate how uncertainty about environmental policy affects investment and emissions at coal-fired power plants. I exploit a legal challenge to the Clean Air Interstate Rule (CAIR) that created variation in the probability that individual plants would need to comply with the new policy. I use a difference-in-differences approach to compare pollution reductions at power plants located in states subject to more uncertainty to plants in states that that were not. I find that plants with a lower probability of being regulated invested in fewer capital-intensive pollution controls and reduced pollution by 13% less on average. Many of these plants did switch to capital-intensive pollution controls after the court upheld CAIR. Policy uncertainty increased compliance costs by $124 million by delaying efficient investments.","container-title":"Environmental and Resource Economics","DOI":"10.1007/s10640-019-00375-2","ISSN":"1573-1502","issue":"4","journalAbbreviation":"Environ Resource Econ","language":"en","page":"1453-1496","source":"Springer Link","title":"Waiting for the Courts: Effects of Policy Uncertainty on Pollution and Investment","title-short":"Waiting for the Courts","volume":"74","author":[{"family":"Dorsey","given":"Jackson"}],"issued":{"date-parts":[["2019",12,1]]}}}],"schema":"https://github.com/citation-style-language/schema/raw/master/csl-citation.json"} </w:instrText>
      </w:r>
      <w:r>
        <w:fldChar w:fldCharType="separate"/>
      </w:r>
      <w:r w:rsidR="00864649" w:rsidRPr="00864649">
        <w:t>(Dorsey, 2019)</w:t>
      </w:r>
      <w:r>
        <w:fldChar w:fldCharType="end"/>
      </w:r>
      <w:r>
        <w:t>.</w:t>
      </w:r>
    </w:p>
    <w:p w14:paraId="44A5DD88" w14:textId="110D7A6F" w:rsidR="003B6A0E" w:rsidRDefault="003B6A0E" w:rsidP="003B6A0E">
      <w:pPr>
        <w:pStyle w:val="Heading1"/>
      </w:pPr>
      <w:r>
        <w:t>Conclusion</w:t>
      </w:r>
    </w:p>
    <w:p w14:paraId="1BA9191E" w14:textId="77777777" w:rsidR="003B6A0E" w:rsidRDefault="003B6A0E" w:rsidP="003B6A0E">
      <w:r w:rsidRPr="003B6A0E">
        <w:t xml:space="preserve">* Summarize the main findings of the study regarding power plant costs and data characteristics. </w:t>
      </w:r>
    </w:p>
    <w:p w14:paraId="34649B05" w14:textId="77777777" w:rsidR="003B6A0E" w:rsidRDefault="003B6A0E" w:rsidP="003B6A0E">
      <w:r w:rsidRPr="003B6A0E">
        <w:t xml:space="preserve">* Reiterate the value and challenges of using FERC Form 1 data. </w:t>
      </w:r>
    </w:p>
    <w:p w14:paraId="03899793" w14:textId="77777777" w:rsidR="003B6A0E" w:rsidRDefault="003B6A0E" w:rsidP="003B6A0E">
      <w:r w:rsidRPr="003B6A0E">
        <w:t xml:space="preserve">* Restate key recommendations for data improvement. </w:t>
      </w:r>
    </w:p>
    <w:p w14:paraId="2BDEB7BC" w14:textId="129BF16D" w:rsidR="003B6A0E" w:rsidRDefault="003B6A0E" w:rsidP="003B6A0E">
      <w:r w:rsidRPr="003B6A0E">
        <w:t>* Concluding thoughts on the contribution of the research.</w:t>
      </w:r>
    </w:p>
    <w:p w14:paraId="03BBC802" w14:textId="77777777" w:rsidR="002C5E5B" w:rsidRDefault="002C5E5B" w:rsidP="002C5E5B"/>
    <w:p w14:paraId="56B782BA" w14:textId="77777777" w:rsidR="00F43D2B" w:rsidRDefault="00F43D2B" w:rsidP="00F43D2B">
      <w:pPr>
        <w:pStyle w:val="Heading1"/>
        <w:numPr>
          <w:ilvl w:val="0"/>
          <w:numId w:val="0"/>
        </w:numPr>
        <w:ind w:left="360" w:hanging="360"/>
      </w:pPr>
      <w:r>
        <w:t>References</w:t>
      </w:r>
    </w:p>
    <w:p w14:paraId="08A9C4C9" w14:textId="77777777" w:rsidR="005A3F8E" w:rsidRPr="005A3F8E" w:rsidRDefault="00F43D2B" w:rsidP="005A3F8E">
      <w:pPr>
        <w:pStyle w:val="Bibliography"/>
      </w:pPr>
      <w:r>
        <w:rPr>
          <w:rFonts w:asciiTheme="minorHAnsi" w:hAnsiTheme="minorHAnsi"/>
          <w:sz w:val="24"/>
        </w:rPr>
        <w:fldChar w:fldCharType="begin"/>
      </w:r>
      <w:r w:rsidR="005A3F8E">
        <w:instrText xml:space="preserve"> ADDIN ZOTERO_BIBL {"uncited":[],"omitted":[],"custom":[]} CSL_BIBLIOGRAPHY </w:instrText>
      </w:r>
      <w:r>
        <w:rPr>
          <w:rFonts w:asciiTheme="minorHAnsi" w:hAnsiTheme="minorHAnsi"/>
          <w:sz w:val="24"/>
        </w:rPr>
        <w:fldChar w:fldCharType="separate"/>
      </w:r>
      <w:r w:rsidR="005A3F8E" w:rsidRPr="005A3F8E">
        <w:t>Accounting Matters | Federal Energy Regulatory Commission [WWW Document], n.d. URL https://www.ferc.gov/accounting-matters-1 (accessed 5.12.25).</w:t>
      </w:r>
    </w:p>
    <w:p w14:paraId="73EF109C" w14:textId="77777777" w:rsidR="005A3F8E" w:rsidRPr="005A3F8E" w:rsidRDefault="005A3F8E" w:rsidP="005A3F8E">
      <w:pPr>
        <w:pStyle w:val="Bibliography"/>
      </w:pPr>
      <w:r w:rsidRPr="005A3F8E">
        <w:t>Anderson, D., 1972. Models for determining least-cost investments in electricity supply. The Bell Journal of Economics and Management Science 267–299.</w:t>
      </w:r>
    </w:p>
    <w:p w14:paraId="355D2D58" w14:textId="77777777" w:rsidR="005A3F8E" w:rsidRPr="005A3F8E" w:rsidRDefault="005A3F8E" w:rsidP="005A3F8E">
      <w:pPr>
        <w:pStyle w:val="Bibliography"/>
      </w:pPr>
      <w:r w:rsidRPr="005A3F8E">
        <w:t>Andover Technology Partners, 2018. Improving Heat Rate on Combined Cycle Power Plants.</w:t>
      </w:r>
    </w:p>
    <w:p w14:paraId="52A15D43" w14:textId="77777777" w:rsidR="005A3F8E" w:rsidRPr="005A3F8E" w:rsidRDefault="005A3F8E" w:rsidP="005A3F8E">
      <w:pPr>
        <w:pStyle w:val="Bibliography"/>
      </w:pPr>
      <w:r w:rsidRPr="005A3F8E">
        <w:t>Annual Electric Power Industry Report, Form EIA-860 detailed data with previous form data (EIA-860A/860B) - U.S. Energy Information Administration (EIA) [WWW Document], n.d. URL https://www.eia.gov/electricity/data/eia860/ (accessed 5.12.25a).</w:t>
      </w:r>
    </w:p>
    <w:p w14:paraId="1383BA72" w14:textId="77777777" w:rsidR="005A3F8E" w:rsidRPr="005A3F8E" w:rsidRDefault="005A3F8E" w:rsidP="005A3F8E">
      <w:pPr>
        <w:pStyle w:val="Bibliography"/>
      </w:pPr>
      <w:r w:rsidRPr="005A3F8E">
        <w:lastRenderedPageBreak/>
        <w:t>Annual Electric Power Industry Report, Form EIA-860 detailed data with previous form data (EIA-860A/860B) - U.S. Energy Information Administration (EIA) [WWW Document], n.d. URL https://www.eia.gov/electricity/data/eia860/ (accessed 5.13.25b).</w:t>
      </w:r>
    </w:p>
    <w:p w14:paraId="3F94587E" w14:textId="77777777" w:rsidR="005A3F8E" w:rsidRPr="005A3F8E" w:rsidRDefault="005A3F8E" w:rsidP="005A3F8E">
      <w:pPr>
        <w:pStyle w:val="Bibliography"/>
      </w:pPr>
      <w:r w:rsidRPr="005A3F8E">
        <w:t>Bond, K., Butler-Sloss, S., Walter, D., Speelman, L., 2024. The Great Reallocation. RMI.</w:t>
      </w:r>
    </w:p>
    <w:p w14:paraId="3913B2A4" w14:textId="77777777" w:rsidR="005A3F8E" w:rsidRPr="005A3F8E" w:rsidRDefault="005A3F8E" w:rsidP="005A3F8E">
      <w:pPr>
        <w:pStyle w:val="Bibliography"/>
      </w:pPr>
      <w:proofErr w:type="spellStart"/>
      <w:r w:rsidRPr="005A3F8E">
        <w:t>Burtraw</w:t>
      </w:r>
      <w:proofErr w:type="spellEnd"/>
      <w:r w:rsidRPr="005A3F8E">
        <w:t>, D., Palmer, K., Paul, A., Beasley, B., Woerman, M., 2013. Reliability in the U.S. electricity industry under new environmental regulations. Energy Policy 62, 1078–1091. https://doi.org/10.1016/j.enpol.2013.06.070</w:t>
      </w:r>
    </w:p>
    <w:p w14:paraId="43B90163" w14:textId="77777777" w:rsidR="005A3F8E" w:rsidRPr="005A3F8E" w:rsidRDefault="005A3F8E" w:rsidP="005A3F8E">
      <w:pPr>
        <w:pStyle w:val="Bibliography"/>
      </w:pPr>
      <w:r w:rsidRPr="005A3F8E">
        <w:t>Catalyst Cooperative, n.d. PUDL Data Dictionary.</w:t>
      </w:r>
    </w:p>
    <w:p w14:paraId="2B771B91" w14:textId="77777777" w:rsidR="005A3F8E" w:rsidRPr="005A3F8E" w:rsidRDefault="005A3F8E" w:rsidP="005A3F8E">
      <w:pPr>
        <w:pStyle w:val="Bibliography"/>
      </w:pPr>
      <w:r w:rsidRPr="005A3F8E">
        <w:t>Clean Air Act Title IV - Acid Deposition Control, 1990. , U.S.C.</w:t>
      </w:r>
    </w:p>
    <w:p w14:paraId="13695309" w14:textId="77777777" w:rsidR="005A3F8E" w:rsidRPr="005A3F8E" w:rsidRDefault="005A3F8E" w:rsidP="005A3F8E">
      <w:pPr>
        <w:pStyle w:val="Bibliography"/>
      </w:pPr>
      <w:r w:rsidRPr="005A3F8E">
        <w:t>Colorado Clean Air-Clean Jobs Act, 2010. , Colo. Rev. Stat. § 40-2-125.5.</w:t>
      </w:r>
    </w:p>
    <w:p w14:paraId="4AA32D14" w14:textId="77777777" w:rsidR="005A3F8E" w:rsidRPr="005A3F8E" w:rsidRDefault="005A3F8E" w:rsidP="005A3F8E">
      <w:pPr>
        <w:pStyle w:val="Bibliography"/>
      </w:pPr>
      <w:r w:rsidRPr="005A3F8E">
        <w:t>Department of Energy Organization Act, 1977.</w:t>
      </w:r>
    </w:p>
    <w:p w14:paraId="71052391" w14:textId="77777777" w:rsidR="005A3F8E" w:rsidRPr="005A3F8E" w:rsidRDefault="005A3F8E" w:rsidP="005A3F8E">
      <w:pPr>
        <w:pStyle w:val="Bibliography"/>
      </w:pPr>
      <w:r w:rsidRPr="005A3F8E">
        <w:t xml:space="preserve">Direct Testimony of Chad A. Teply, In the Matter of the Application of Rocky Mountain Power for Authority to Increase its Retail Electric Utility Service Rates in Utah and for Approval of its Proposed Electric </w:t>
      </w:r>
      <w:proofErr w:type="spellStart"/>
      <w:r w:rsidRPr="005A3F8E">
        <w:t>Servive</w:t>
      </w:r>
      <w:proofErr w:type="spellEnd"/>
      <w:r w:rsidRPr="005A3F8E">
        <w:t xml:space="preserve"> Schedules and Electric Service Regulations, 2010. , Docket 10-035-124. Utah Public Service Commission.</w:t>
      </w:r>
    </w:p>
    <w:p w14:paraId="6D326091" w14:textId="77777777" w:rsidR="005A3F8E" w:rsidRPr="005A3F8E" w:rsidRDefault="005A3F8E" w:rsidP="005A3F8E">
      <w:pPr>
        <w:pStyle w:val="Bibliography"/>
      </w:pPr>
      <w:r w:rsidRPr="005A3F8E">
        <w:t>Dorsey, J., 2019. Waiting for the Courts: Effects of Policy Uncertainty on Pollution and Investment. Environ Resource Econ 74, 1453–1496. https://doi.org/10.1007/s10640-019-00375-2</w:t>
      </w:r>
    </w:p>
    <w:p w14:paraId="40AF9449" w14:textId="77777777" w:rsidR="005A3F8E" w:rsidRPr="005A3F8E" w:rsidRDefault="005A3F8E" w:rsidP="005A3F8E">
      <w:pPr>
        <w:pStyle w:val="Bibliography"/>
      </w:pPr>
      <w:r w:rsidRPr="005A3F8E">
        <w:t>Fabrizio, K.R., Rose, N.L., Wolfram, C.D., 2007. Do Markets Reduce Costs? Assessing the Impact of Regulatory Restructuring on US Electric Generation Efficiency. American Economic Review 97, 1250–1277. https://doi.org/10.1257/aer.97.4.1250</w:t>
      </w:r>
    </w:p>
    <w:p w14:paraId="2AD886DE" w14:textId="77777777" w:rsidR="005A3F8E" w:rsidRPr="005A3F8E" w:rsidRDefault="005A3F8E" w:rsidP="005A3F8E">
      <w:pPr>
        <w:pStyle w:val="Bibliography"/>
      </w:pPr>
      <w:r w:rsidRPr="005A3F8E">
        <w:t>Fares, R.L., King, C.W., 2017. Trends in transmission, distribution, and administration costs for U.S. investor-owned electric utilities. Energy Policy 105, 354–362. https://doi.org/10.1016/j.enpol.2017.02.036</w:t>
      </w:r>
    </w:p>
    <w:p w14:paraId="4FBABE07" w14:textId="77777777" w:rsidR="005A3F8E" w:rsidRPr="005A3F8E" w:rsidRDefault="005A3F8E" w:rsidP="005A3F8E">
      <w:pPr>
        <w:pStyle w:val="Bibliography"/>
      </w:pPr>
      <w:r w:rsidRPr="005A3F8E">
        <w:t>Federal Energy Administration Act, 1974.</w:t>
      </w:r>
    </w:p>
    <w:p w14:paraId="4A18E20B" w14:textId="77777777" w:rsidR="005A3F8E" w:rsidRPr="005A3F8E" w:rsidRDefault="005A3F8E" w:rsidP="005A3F8E">
      <w:pPr>
        <w:pStyle w:val="Bibliography"/>
      </w:pPr>
      <w:r w:rsidRPr="005A3F8E">
        <w:t>FERC, 2025. Electric Industry Forms: Form No. 1 - Annual Report of Major Electric Utility.</w:t>
      </w:r>
    </w:p>
    <w:p w14:paraId="37A48F1F" w14:textId="77777777" w:rsidR="005A3F8E" w:rsidRPr="005A3F8E" w:rsidRDefault="005A3F8E" w:rsidP="005A3F8E">
      <w:pPr>
        <w:pStyle w:val="Bibliography"/>
      </w:pPr>
      <w:r w:rsidRPr="005A3F8E">
        <w:t>Frey, E.F., 2013. Technology Diffusion and Environmental Regulation: The Adoption of Scrubbers by Coal-Fired Power Plants. The Energy Journal 34, 177–205. https://doi.org/10.5547/01956574.34.1.8</w:t>
      </w:r>
    </w:p>
    <w:p w14:paraId="3F136AE8" w14:textId="77777777" w:rsidR="005A3F8E" w:rsidRPr="005A3F8E" w:rsidRDefault="005A3F8E" w:rsidP="005A3F8E">
      <w:pPr>
        <w:pStyle w:val="Bibliography"/>
      </w:pPr>
      <w:r w:rsidRPr="005A3F8E">
        <w:t>Global Energy Monitor, n.d. Boswell Energy Center [WWW Document]. URL https://www.gem.wiki/Boswell_Energy_Center (accessed 10.28.25).</w:t>
      </w:r>
    </w:p>
    <w:p w14:paraId="66F92D88" w14:textId="77777777" w:rsidR="005A3F8E" w:rsidRPr="005A3F8E" w:rsidRDefault="005A3F8E" w:rsidP="005A3F8E">
      <w:pPr>
        <w:pStyle w:val="Bibliography"/>
      </w:pPr>
      <w:r w:rsidRPr="005A3F8E">
        <w:t>Goto, M., Tsutsui, M., 2008. Technical efficiency and impacts of deregulation: An analysis of three functions in U.S. electric power utilities during the period from 1992 through 2000. Energy Economics 30, 15–38. https://doi.org/10.1016/j.eneco.2006.05.020</w:t>
      </w:r>
    </w:p>
    <w:p w14:paraId="00549FCA" w14:textId="77777777" w:rsidR="005A3F8E" w:rsidRPr="005A3F8E" w:rsidRDefault="005A3F8E" w:rsidP="005A3F8E">
      <w:pPr>
        <w:pStyle w:val="Bibliography"/>
      </w:pPr>
      <w:proofErr w:type="spellStart"/>
      <w:r w:rsidRPr="005A3F8E">
        <w:t>Gowrisankaran</w:t>
      </w:r>
      <w:proofErr w:type="spellEnd"/>
      <w:r w:rsidRPr="005A3F8E">
        <w:t>, G., Langer, A., Zhang, W., 2025. Policy Uncertainty in the Market for Coal Electricity: The Case                         of Air Toxics Standards. Journal of Political Economy 133, 1757–1795. https://doi.org/10.1086/734779</w:t>
      </w:r>
    </w:p>
    <w:p w14:paraId="4982B2A4" w14:textId="77777777" w:rsidR="005A3F8E" w:rsidRPr="005A3F8E" w:rsidRDefault="005A3F8E" w:rsidP="005A3F8E">
      <w:pPr>
        <w:pStyle w:val="Bibliography"/>
      </w:pPr>
      <w:proofErr w:type="spellStart"/>
      <w:r w:rsidRPr="005A3F8E">
        <w:t>Gultom</w:t>
      </w:r>
      <w:proofErr w:type="spellEnd"/>
      <w:r w:rsidRPr="005A3F8E">
        <w:t>, Y.M.L., 2019. Governance structures and efficiency in the U.S. electricity sector after the market restructuring and deregulation. Energy Policy 129, 1008–1019. https://doi.org/10.1016/j.enpol.2019.02.005</w:t>
      </w:r>
    </w:p>
    <w:p w14:paraId="360C2881" w14:textId="77777777" w:rsidR="005A3F8E" w:rsidRPr="005A3F8E" w:rsidRDefault="005A3F8E" w:rsidP="005A3F8E">
      <w:pPr>
        <w:pStyle w:val="Bibliography"/>
      </w:pPr>
      <w:r w:rsidRPr="005A3F8E">
        <w:t xml:space="preserve">Hultman, N.E., Koomey, J.G., </w:t>
      </w:r>
      <w:proofErr w:type="spellStart"/>
      <w:r w:rsidRPr="005A3F8E">
        <w:t>Kammen</w:t>
      </w:r>
      <w:proofErr w:type="spellEnd"/>
      <w:r w:rsidRPr="005A3F8E">
        <w:t>, D.M., 2007. What History Can Teach Us About the Future Costs of U.S. Nuclear Power. Environ. Sci. Technol. 41, 2087–2094. https://doi.org/10.1021/es0725089</w:t>
      </w:r>
    </w:p>
    <w:p w14:paraId="0B7AA672" w14:textId="77777777" w:rsidR="005A3F8E" w:rsidRPr="005A3F8E" w:rsidRDefault="005A3F8E" w:rsidP="005A3F8E">
      <w:pPr>
        <w:pStyle w:val="Bibliography"/>
      </w:pPr>
      <w:r w:rsidRPr="005A3F8E">
        <w:t>Indiana Office of Utility Consumer Counselor, 2020. Duke Energy Environmental Compliance Cases [WWW Document]. URL https://www.in.gov/oucc/electric/key-cases-by-utility/duke-energy-environmental-compliance-cases/ (accessed 10.28.25).</w:t>
      </w:r>
    </w:p>
    <w:p w14:paraId="7B50251F" w14:textId="77777777" w:rsidR="005A3F8E" w:rsidRPr="005A3F8E" w:rsidRDefault="005A3F8E" w:rsidP="005A3F8E">
      <w:pPr>
        <w:pStyle w:val="Bibliography"/>
      </w:pPr>
      <w:r w:rsidRPr="005A3F8E">
        <w:lastRenderedPageBreak/>
        <w:t>Joskow, P.L., Bohi, D.R., Gollop, F.M., 1989. Regulatory failure, regulatory reform, and structural change in the electrical power industry. Brookings papers on economic activity. Microeconomics 1989, 125–208.</w:t>
      </w:r>
    </w:p>
    <w:p w14:paraId="4CAD21ED" w14:textId="77777777" w:rsidR="005A3F8E" w:rsidRPr="005A3F8E" w:rsidRDefault="005A3F8E" w:rsidP="005A3F8E">
      <w:pPr>
        <w:pStyle w:val="Bibliography"/>
      </w:pPr>
      <w:proofErr w:type="spellStart"/>
      <w:r w:rsidRPr="005A3F8E">
        <w:t>Kessides</w:t>
      </w:r>
      <w:proofErr w:type="spellEnd"/>
      <w:r w:rsidRPr="005A3F8E">
        <w:t>, I.N., 2010. Nuclear power: Understanding the economic risks and uncertainties. Energy Policy 38, 3849–3864. https://doi.org/10.1016/j.enpol.2010.03.005</w:t>
      </w:r>
    </w:p>
    <w:p w14:paraId="28FB711E" w14:textId="77777777" w:rsidR="005A3F8E" w:rsidRPr="005A3F8E" w:rsidRDefault="005A3F8E" w:rsidP="005A3F8E">
      <w:pPr>
        <w:pStyle w:val="Bibliography"/>
      </w:pPr>
      <w:r w:rsidRPr="005A3F8E">
        <w:t>Mercury Emissions from Electric Power Plants: States Are Setting Stricter Limits (CRS Report for Congress No. RL33535), 2007. . Congressional Research Service, Washington, DC.</w:t>
      </w:r>
    </w:p>
    <w:p w14:paraId="512F5494" w14:textId="77777777" w:rsidR="005A3F8E" w:rsidRPr="005A3F8E" w:rsidRDefault="005A3F8E" w:rsidP="005A3F8E">
      <w:pPr>
        <w:pStyle w:val="Bibliography"/>
      </w:pPr>
      <w:r w:rsidRPr="005A3F8E">
        <w:t>Minnesota Power, n.d. Reducing Emissions [WWW Document]. URL https://www.mnpower.com/Environment/ReducingEmissions (accessed 10.28.25).</w:t>
      </w:r>
    </w:p>
    <w:p w14:paraId="1FCC92F3" w14:textId="77777777" w:rsidR="005A3F8E" w:rsidRPr="005A3F8E" w:rsidRDefault="005A3F8E" w:rsidP="005A3F8E">
      <w:pPr>
        <w:pStyle w:val="Bibliography"/>
      </w:pPr>
      <w:r w:rsidRPr="005A3F8E">
        <w:t>National Renewable Energy Laboratory (NREL), 2015. Annual Technology Baseline.</w:t>
      </w:r>
    </w:p>
    <w:p w14:paraId="062E3E4F" w14:textId="77777777" w:rsidR="005A3F8E" w:rsidRPr="005A3F8E" w:rsidRDefault="005A3F8E" w:rsidP="005A3F8E">
      <w:pPr>
        <w:pStyle w:val="Bibliography"/>
      </w:pPr>
      <w:r w:rsidRPr="005A3F8E">
        <w:t>New Jersey v. Environmental Protection Agency, 2008. , Federal Reporter, Third Series.</w:t>
      </w:r>
    </w:p>
    <w:p w14:paraId="371921DC" w14:textId="77777777" w:rsidR="005A3F8E" w:rsidRPr="005A3F8E" w:rsidRDefault="005A3F8E" w:rsidP="005A3F8E">
      <w:pPr>
        <w:pStyle w:val="Bibliography"/>
      </w:pPr>
      <w:r w:rsidRPr="005A3F8E">
        <w:t>Nuclear Energy Agency, International Atomic Energy Agency, 2018. Measuring Employment Generated by the Nuclear Power Sector. OECD. https://doi.org/10.1787/9789264305960-en</w:t>
      </w:r>
    </w:p>
    <w:p w14:paraId="5A34C17F" w14:textId="77777777" w:rsidR="005A3F8E" w:rsidRPr="005A3F8E" w:rsidRDefault="005A3F8E" w:rsidP="005A3F8E">
      <w:pPr>
        <w:pStyle w:val="Bibliography"/>
      </w:pPr>
      <w:r w:rsidRPr="005A3F8E">
        <w:t>Oladosu, G.A., Sasthav, C.M., 2022. Hydropower Capital and O&amp;M Costs: An Exploration of the FERC Form 1 Data (No. ORNL/TM-2021/2297). Oak Ridge National Laboratory (ORNL), Oak Ridge, TN (United States). https://doi.org/10.2172/1845786</w:t>
      </w:r>
    </w:p>
    <w:p w14:paraId="34F01767" w14:textId="77777777" w:rsidR="005A3F8E" w:rsidRPr="005A3F8E" w:rsidRDefault="005A3F8E" w:rsidP="005A3F8E">
      <w:pPr>
        <w:pStyle w:val="Bibliography"/>
      </w:pPr>
      <w:r w:rsidRPr="005A3F8E">
        <w:t>The Public Utility Data Liberation (PUDL) Project, n.d. . Catalyst Cooperative. URL https://catalyst.coop/pudl/ (accessed 5.12.25).</w:t>
      </w:r>
    </w:p>
    <w:p w14:paraId="79BEA454" w14:textId="77777777" w:rsidR="005A3F8E" w:rsidRPr="005A3F8E" w:rsidRDefault="005A3F8E" w:rsidP="005A3F8E">
      <w:pPr>
        <w:pStyle w:val="Bibliography"/>
      </w:pPr>
      <w:r w:rsidRPr="005A3F8E">
        <w:t>Uniform System of Accounts Prescribed for Public Utilities and Licensees Subject to the Provisions of the Federal Power Act, 1947. , U.S. Code of Federal Regulations.</w:t>
      </w:r>
    </w:p>
    <w:p w14:paraId="21B32985" w14:textId="77777777" w:rsidR="005A3F8E" w:rsidRPr="005A3F8E" w:rsidRDefault="005A3F8E" w:rsidP="005A3F8E">
      <w:pPr>
        <w:pStyle w:val="Bibliography"/>
      </w:pPr>
      <w:r w:rsidRPr="005A3F8E">
        <w:t>United States Environmental Protection Agency, 2020. Hazardous and Solid Waste Management System; Disposal of Coal Combustion Residuals from Electric Utilities; A Holistic Approach to Closure Part A: Deadline To Initiate Closure (Final Rule), 40 C.F.R. Part 257.</w:t>
      </w:r>
    </w:p>
    <w:p w14:paraId="714CA8A8" w14:textId="77777777" w:rsidR="005A3F8E" w:rsidRPr="005A3F8E" w:rsidRDefault="005A3F8E" w:rsidP="005A3F8E">
      <w:pPr>
        <w:pStyle w:val="Bibliography"/>
      </w:pPr>
      <w:r w:rsidRPr="005A3F8E">
        <w:t>United States Environmental Protection Agency, 2015. Hazardous and Solid Waste Management System; Disposal of Coal Combustion Residuals from Electric Utilities (Final Rule), 40 C.F.R. Parts 257 and 261.</w:t>
      </w:r>
    </w:p>
    <w:p w14:paraId="24EF30F7" w14:textId="77777777" w:rsidR="005A3F8E" w:rsidRPr="005A3F8E" w:rsidRDefault="005A3F8E" w:rsidP="005A3F8E">
      <w:pPr>
        <w:pStyle w:val="Bibliography"/>
      </w:pPr>
      <w:r w:rsidRPr="005A3F8E">
        <w:t>United States Environmental Protection Agency, 2005. Standards of Performance for New and Existing Stationary Sources: Electric Utility Steam Generating Units, Federal Register.</w:t>
      </w:r>
    </w:p>
    <w:p w14:paraId="073637FE" w14:textId="77777777" w:rsidR="005A3F8E" w:rsidRPr="005A3F8E" w:rsidRDefault="005A3F8E" w:rsidP="005A3F8E">
      <w:pPr>
        <w:pStyle w:val="Bibliography"/>
      </w:pPr>
      <w:r w:rsidRPr="005A3F8E">
        <w:t>U.S. Energy Information Administration, 2023. Natural gas combined-cycle power plants increased utilization with improved technology - U.S. Energy Information Administration (EIA).</w:t>
      </w:r>
    </w:p>
    <w:p w14:paraId="460ED0F5" w14:textId="77777777" w:rsidR="005A3F8E" w:rsidRPr="005A3F8E" w:rsidRDefault="005A3F8E" w:rsidP="005A3F8E">
      <w:pPr>
        <w:pStyle w:val="Bibliography"/>
      </w:pPr>
      <w:r w:rsidRPr="005A3F8E">
        <w:t>U.S. Environmental Protection Agency, 2016. Rulemaking To Affirm Interim Amendments to Dates in Federal Implementation Plans Addressing Interstate Transport of Ozone and Fine Particulate Matter, 40 CFR Parts 51, 52, 97.</w:t>
      </w:r>
    </w:p>
    <w:p w14:paraId="41731DFF" w14:textId="77777777" w:rsidR="005A3F8E" w:rsidRPr="005A3F8E" w:rsidRDefault="005A3F8E" w:rsidP="005A3F8E">
      <w:pPr>
        <w:pStyle w:val="Bibliography"/>
      </w:pPr>
      <w:r w:rsidRPr="005A3F8E">
        <w:t>U.S. Environmental Protection Agency, 2015. Regulatory Impact Analysis for the Proposed Cross-State Air Pollution Rule (CSAPR) Update for the 2008 National Ambient Air Quality Standards (NAAQS) (No. EPA-452/R-15-009).</w:t>
      </w:r>
    </w:p>
    <w:p w14:paraId="7852950D" w14:textId="77777777" w:rsidR="005A3F8E" w:rsidRPr="005A3F8E" w:rsidRDefault="005A3F8E" w:rsidP="005A3F8E">
      <w:pPr>
        <w:pStyle w:val="Bibliography"/>
      </w:pPr>
      <w:r w:rsidRPr="005A3F8E">
        <w:t>U.S. Environmental Protection Agency, 2012. Regional Haze: Revisions to Provisions Governing Alternatives to Source-Specific Best Available Retrofit Technology (BART) Determinations, Limited SIP Disapprovals, and Federal Implementation Plans, Federal Register.</w:t>
      </w:r>
    </w:p>
    <w:p w14:paraId="132D16A0" w14:textId="77777777" w:rsidR="005A3F8E" w:rsidRPr="005A3F8E" w:rsidRDefault="005A3F8E" w:rsidP="005A3F8E">
      <w:pPr>
        <w:pStyle w:val="Bibliography"/>
      </w:pPr>
      <w:r w:rsidRPr="005A3F8E">
        <w:t>U.S. Environmental Protection Agency, 2011. Regulatory Impact Analysis for the Final Mercury and Air Toxics Standards (No. EPA-452/R-11-011).</w:t>
      </w:r>
    </w:p>
    <w:p w14:paraId="43C9B830" w14:textId="77777777" w:rsidR="005A3F8E" w:rsidRPr="005A3F8E" w:rsidRDefault="005A3F8E" w:rsidP="005A3F8E">
      <w:pPr>
        <w:pStyle w:val="Bibliography"/>
      </w:pPr>
      <w:r w:rsidRPr="005A3F8E">
        <w:t>U.S. Environmental Protection Agency, 2005a. Rule to Reduce Interstate Transport of Fine Particulate Matter and Ozone (Clean Air Interstate Rule).</w:t>
      </w:r>
    </w:p>
    <w:p w14:paraId="2CABEEE4" w14:textId="77777777" w:rsidR="005A3F8E" w:rsidRPr="005A3F8E" w:rsidRDefault="005A3F8E" w:rsidP="005A3F8E">
      <w:pPr>
        <w:pStyle w:val="Bibliography"/>
      </w:pPr>
      <w:r w:rsidRPr="005A3F8E">
        <w:lastRenderedPageBreak/>
        <w:t>U.S. Environmental Protection Agency, 2005b. Rule to Reduce Interstate Transport of Fine Particulate Matter and Ozone (Clean Air Interstate Rule); Revisions to Acid Rain Program; Revisions to the NOₓ SIP Call, Federal Register.</w:t>
      </w:r>
    </w:p>
    <w:p w14:paraId="5AF8786B" w14:textId="77777777" w:rsidR="005A3F8E" w:rsidRPr="005A3F8E" w:rsidRDefault="005A3F8E" w:rsidP="005A3F8E">
      <w:pPr>
        <w:pStyle w:val="Bibliography"/>
      </w:pPr>
      <w:r w:rsidRPr="005A3F8E">
        <w:t>U.S. Environmental Protection Agency, 2005c. Regulatory Impact Analysis for the Final Clean Air Interstate Rule (No. EPA-452/R-05-002).</w:t>
      </w:r>
    </w:p>
    <w:p w14:paraId="093087AD" w14:textId="77777777" w:rsidR="005A3F8E" w:rsidRPr="005A3F8E" w:rsidRDefault="005A3F8E" w:rsidP="005A3F8E">
      <w:pPr>
        <w:pStyle w:val="Bibliography"/>
      </w:pPr>
      <w:r w:rsidRPr="005A3F8E">
        <w:t>U.S. Environmental Protection Agency, 1999. Regional Haze Regulations: Final Rule, Federal Register.</w:t>
      </w:r>
    </w:p>
    <w:p w14:paraId="25D1B36B" w14:textId="77777777" w:rsidR="005A3F8E" w:rsidRPr="005A3F8E" w:rsidRDefault="005A3F8E" w:rsidP="005A3F8E">
      <w:pPr>
        <w:pStyle w:val="Bibliography"/>
      </w:pPr>
      <w:r w:rsidRPr="005A3F8E">
        <w:t>Wagman, D., 2017. Automation Is Engineering the Jobs Out of Power Plants (IEEE Spectrum).</w:t>
      </w:r>
    </w:p>
    <w:p w14:paraId="78DCD2DB" w14:textId="77777777" w:rsidR="005A3F8E" w:rsidRPr="005A3F8E" w:rsidRDefault="005A3F8E" w:rsidP="005A3F8E">
      <w:pPr>
        <w:pStyle w:val="Bibliography"/>
      </w:pPr>
      <w:r w:rsidRPr="005A3F8E">
        <w:t xml:space="preserve">Wolak, F.A., 1994. An econometric analysis of the asymmetric information, regulator-utility interaction. Annales </w:t>
      </w:r>
      <w:proofErr w:type="spellStart"/>
      <w:r w:rsidRPr="005A3F8E">
        <w:t>d’Economie</w:t>
      </w:r>
      <w:proofErr w:type="spellEnd"/>
      <w:r w:rsidRPr="005A3F8E">
        <w:t xml:space="preserve"> et de </w:t>
      </w:r>
      <w:proofErr w:type="spellStart"/>
      <w:r w:rsidRPr="005A3F8E">
        <w:t>Statistique</w:t>
      </w:r>
      <w:proofErr w:type="spellEnd"/>
      <w:r w:rsidRPr="005A3F8E">
        <w:t xml:space="preserve"> 13–69.</w:t>
      </w:r>
    </w:p>
    <w:p w14:paraId="4A92043C" w14:textId="77777777" w:rsidR="005A3F8E" w:rsidRPr="005A3F8E" w:rsidRDefault="005A3F8E" w:rsidP="005A3F8E">
      <w:pPr>
        <w:pStyle w:val="Bibliography"/>
      </w:pPr>
      <w:r w:rsidRPr="005A3F8E">
        <w:t>World Nuclear Association, 2024. Nuclear Power Economics and Structuring.</w:t>
      </w:r>
    </w:p>
    <w:p w14:paraId="5EB94232" w14:textId="77777777" w:rsidR="005A3F8E" w:rsidRPr="005A3F8E" w:rsidRDefault="005A3F8E" w:rsidP="005A3F8E">
      <w:pPr>
        <w:pStyle w:val="Bibliography"/>
      </w:pPr>
      <w:r w:rsidRPr="005A3F8E">
        <w:t>Xcel Energy Pawnee Generating Station Fact Sheet, n.d.</w:t>
      </w:r>
    </w:p>
    <w:p w14:paraId="01A58718" w14:textId="591D28A1" w:rsidR="000276CB" w:rsidRDefault="00F43D2B" w:rsidP="00F43D2B">
      <w:pPr>
        <w:pStyle w:val="AppendixHeading"/>
      </w:pPr>
      <w:r>
        <w:fldChar w:fldCharType="end"/>
      </w:r>
      <w:r w:rsidR="000276CB">
        <w:t>Additional Descriptive Analysis of Form 1 Sample</w:t>
      </w:r>
    </w:p>
    <w:p w14:paraId="5BE862F4" w14:textId="7BEBC185" w:rsidR="000276CB" w:rsidRDefault="00471B80" w:rsidP="00DC40BB">
      <w:pPr>
        <w:pStyle w:val="AppendixSubheading"/>
      </w:pPr>
      <w:bookmarkStart w:id="23" w:name="_Ref218927836"/>
      <w:r>
        <w:t xml:space="preserve">Capacity </w:t>
      </w:r>
      <w:r w:rsidR="000276CB">
        <w:t>Distribution</w:t>
      </w:r>
      <w:r>
        <w:t>s</w:t>
      </w:r>
      <w:bookmarkEnd w:id="23"/>
    </w:p>
    <w:p w14:paraId="549F65B5" w14:textId="44C8B903" w:rsidR="003D3A3F" w:rsidRDefault="003D3A3F" w:rsidP="003D3A3F">
      <w:pPr>
        <w:spacing w:after="0" w:line="480" w:lineRule="auto"/>
        <w:ind w:left="-72" w:firstLine="792"/>
      </w:pPr>
      <w:r>
        <w:fldChar w:fldCharType="begin"/>
      </w:r>
      <w:r>
        <w:instrText xml:space="preserve"> REF _Ref201150671 \h  \* MERGEFORMAT </w:instrText>
      </w:r>
      <w:r>
        <w:fldChar w:fldCharType="separate"/>
      </w:r>
      <w:r w:rsidR="00CD17CC">
        <w:t xml:space="preserve">Table </w:t>
      </w:r>
      <w:r w:rsidR="00CD17CC">
        <w:rPr>
          <w:noProof/>
        </w:rPr>
        <w:t>9</w:t>
      </w:r>
      <w:r>
        <w:fldChar w:fldCharType="end"/>
      </w:r>
      <w:r>
        <w:t xml:space="preserve"> presents statistics showing the distribution of plants by technology type Nuclear plants are on average the largest among technologies in the analysis, with a mean capacity of 1,218 MW and a median of 1,148 MW. The largest nuclear plant in the dataset is Duke Energy’s Oconee plant, at 2,667 MW. NGCC and coal technologies have comparable mean capacities of 731 and 732 MW, respectively.  The largest NGCC plant in the data is Florida Power and Light’s 4100 MW West County Energy Center and the largest coal plant is Georgia Power’s 3,499 MW Bowen facility.</w:t>
      </w:r>
    </w:p>
    <w:p w14:paraId="020DC14D" w14:textId="410C015C" w:rsidR="003D3A3F" w:rsidRPr="006300E4" w:rsidRDefault="003D3A3F" w:rsidP="003D3A3F">
      <w:pPr>
        <w:pStyle w:val="Caption"/>
        <w:ind w:left="360"/>
        <w:jc w:val="left"/>
      </w:pPr>
      <w:bookmarkStart w:id="24" w:name="_Ref201150671"/>
      <w:r>
        <w:t xml:space="preserve">Table </w:t>
      </w:r>
      <w:r>
        <w:fldChar w:fldCharType="begin"/>
      </w:r>
      <w:r>
        <w:instrText xml:space="preserve"> SEQ Table \* ARABIC </w:instrText>
      </w:r>
      <w:r>
        <w:fldChar w:fldCharType="separate"/>
      </w:r>
      <w:r w:rsidR="00CD17CC">
        <w:rPr>
          <w:noProof/>
        </w:rPr>
        <w:t>9</w:t>
      </w:r>
      <w:r>
        <w:rPr>
          <w:noProof/>
        </w:rPr>
        <w:fldChar w:fldCharType="end"/>
      </w:r>
      <w:bookmarkEnd w:id="24"/>
      <w:r>
        <w:t xml:space="preserve"> Descriptive statistics for plant capacity (MW) by technology from Form 1(2023).</w:t>
      </w:r>
    </w:p>
    <w:tbl>
      <w:tblPr>
        <w:tblW w:w="8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021"/>
        <w:gridCol w:w="1021"/>
        <w:gridCol w:w="1021"/>
        <w:gridCol w:w="1021"/>
        <w:gridCol w:w="1152"/>
        <w:gridCol w:w="1021"/>
      </w:tblGrid>
      <w:tr w:rsidR="003D3A3F" w:rsidRPr="00A84681" w14:paraId="2001870A" w14:textId="77777777" w:rsidTr="006413A4">
        <w:trPr>
          <w:trHeight w:val="288"/>
          <w:jc w:val="center"/>
        </w:trPr>
        <w:tc>
          <w:tcPr>
            <w:tcW w:w="2592" w:type="dxa"/>
            <w:shd w:val="clear" w:color="auto" w:fill="000000" w:themeFill="text1"/>
            <w:noWrap/>
            <w:vAlign w:val="bottom"/>
            <w:hideMark/>
          </w:tcPr>
          <w:p w14:paraId="64BD53B4" w14:textId="77777777" w:rsidR="003D3A3F" w:rsidRPr="00A84681" w:rsidRDefault="003D3A3F" w:rsidP="006413A4">
            <w:pPr>
              <w:spacing w:after="0" w:line="240" w:lineRule="auto"/>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Technology Group</w:t>
            </w:r>
          </w:p>
        </w:tc>
        <w:tc>
          <w:tcPr>
            <w:tcW w:w="1021" w:type="dxa"/>
            <w:shd w:val="clear" w:color="auto" w:fill="000000" w:themeFill="text1"/>
            <w:noWrap/>
            <w:vAlign w:val="bottom"/>
            <w:hideMark/>
          </w:tcPr>
          <w:p w14:paraId="4E410B17"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Mean</w:t>
            </w:r>
          </w:p>
        </w:tc>
        <w:tc>
          <w:tcPr>
            <w:tcW w:w="1021" w:type="dxa"/>
            <w:shd w:val="clear" w:color="auto" w:fill="000000" w:themeFill="text1"/>
            <w:noWrap/>
            <w:vAlign w:val="bottom"/>
            <w:hideMark/>
          </w:tcPr>
          <w:p w14:paraId="30535503"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Median</w:t>
            </w:r>
          </w:p>
        </w:tc>
        <w:tc>
          <w:tcPr>
            <w:tcW w:w="1021" w:type="dxa"/>
            <w:shd w:val="clear" w:color="auto" w:fill="000000" w:themeFill="text1"/>
            <w:noWrap/>
            <w:vAlign w:val="bottom"/>
            <w:hideMark/>
          </w:tcPr>
          <w:p w14:paraId="07F11DE6"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 xml:space="preserve">Min </w:t>
            </w:r>
          </w:p>
        </w:tc>
        <w:tc>
          <w:tcPr>
            <w:tcW w:w="1021" w:type="dxa"/>
            <w:shd w:val="clear" w:color="auto" w:fill="000000" w:themeFill="text1"/>
            <w:noWrap/>
            <w:vAlign w:val="bottom"/>
            <w:hideMark/>
          </w:tcPr>
          <w:p w14:paraId="4814B0CF"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 xml:space="preserve">Max </w:t>
            </w:r>
          </w:p>
        </w:tc>
        <w:tc>
          <w:tcPr>
            <w:tcW w:w="1152" w:type="dxa"/>
            <w:shd w:val="clear" w:color="auto" w:fill="000000" w:themeFill="text1"/>
            <w:noWrap/>
            <w:vAlign w:val="bottom"/>
            <w:hideMark/>
          </w:tcPr>
          <w:p w14:paraId="5CCFCE23"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Std. Dev.</w:t>
            </w:r>
          </w:p>
        </w:tc>
        <w:tc>
          <w:tcPr>
            <w:tcW w:w="1021" w:type="dxa"/>
            <w:shd w:val="clear" w:color="auto" w:fill="000000" w:themeFill="text1"/>
            <w:noWrap/>
            <w:vAlign w:val="bottom"/>
            <w:hideMark/>
          </w:tcPr>
          <w:p w14:paraId="2B2405DC" w14:textId="77777777" w:rsidR="003D3A3F" w:rsidRPr="00A84681" w:rsidRDefault="003D3A3F" w:rsidP="006413A4">
            <w:pPr>
              <w:spacing w:after="0" w:line="240" w:lineRule="auto"/>
              <w:jc w:val="right"/>
              <w:rPr>
                <w:rFonts w:eastAsia="Times New Roman" w:cs="Times New Roman"/>
                <w:color w:val="FFFFFF" w:themeColor="background1"/>
                <w:kern w:val="0"/>
                <w:sz w:val="22"/>
                <w:szCs w:val="22"/>
                <w14:ligatures w14:val="none"/>
              </w:rPr>
            </w:pPr>
            <w:r w:rsidRPr="00A84681">
              <w:rPr>
                <w:rFonts w:eastAsia="Times New Roman" w:cs="Times New Roman"/>
                <w:color w:val="FFFFFF" w:themeColor="background1"/>
                <w:kern w:val="0"/>
                <w:sz w:val="22"/>
                <w:szCs w:val="22"/>
                <w14:ligatures w14:val="none"/>
              </w:rPr>
              <w:t xml:space="preserve">IQR </w:t>
            </w:r>
          </w:p>
        </w:tc>
      </w:tr>
      <w:tr w:rsidR="003D3A3F" w:rsidRPr="00A84681" w14:paraId="3553CAC6" w14:textId="77777777" w:rsidTr="006413A4">
        <w:trPr>
          <w:trHeight w:val="288"/>
          <w:jc w:val="center"/>
        </w:trPr>
        <w:tc>
          <w:tcPr>
            <w:tcW w:w="2592" w:type="dxa"/>
            <w:noWrap/>
            <w:vAlign w:val="bottom"/>
            <w:hideMark/>
          </w:tcPr>
          <w:p w14:paraId="75A6545C"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Nuclear</w:t>
            </w:r>
          </w:p>
        </w:tc>
        <w:tc>
          <w:tcPr>
            <w:tcW w:w="1021" w:type="dxa"/>
            <w:noWrap/>
            <w:vAlign w:val="center"/>
            <w:hideMark/>
          </w:tcPr>
          <w:p w14:paraId="08FF4370"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1218</w:t>
            </w:r>
          </w:p>
        </w:tc>
        <w:tc>
          <w:tcPr>
            <w:tcW w:w="1021" w:type="dxa"/>
            <w:noWrap/>
            <w:vAlign w:val="center"/>
            <w:hideMark/>
          </w:tcPr>
          <w:p w14:paraId="43CAD676"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1148</w:t>
            </w:r>
          </w:p>
        </w:tc>
        <w:tc>
          <w:tcPr>
            <w:tcW w:w="1021" w:type="dxa"/>
            <w:noWrap/>
            <w:vAlign w:val="center"/>
            <w:hideMark/>
          </w:tcPr>
          <w:p w14:paraId="57923E3D"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219</w:t>
            </w:r>
          </w:p>
        </w:tc>
        <w:tc>
          <w:tcPr>
            <w:tcW w:w="1021" w:type="dxa"/>
            <w:noWrap/>
            <w:vAlign w:val="center"/>
            <w:hideMark/>
          </w:tcPr>
          <w:p w14:paraId="206A8E0B"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2667</w:t>
            </w:r>
          </w:p>
        </w:tc>
        <w:tc>
          <w:tcPr>
            <w:tcW w:w="1152" w:type="dxa"/>
            <w:noWrap/>
            <w:vAlign w:val="center"/>
            <w:hideMark/>
          </w:tcPr>
          <w:p w14:paraId="32D7F458"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702</w:t>
            </w:r>
          </w:p>
        </w:tc>
        <w:tc>
          <w:tcPr>
            <w:tcW w:w="1021" w:type="dxa"/>
            <w:noWrap/>
            <w:vAlign w:val="center"/>
            <w:hideMark/>
          </w:tcPr>
          <w:p w14:paraId="21C59E3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1068</w:t>
            </w:r>
          </w:p>
        </w:tc>
      </w:tr>
      <w:tr w:rsidR="003D3A3F" w:rsidRPr="00A84681" w14:paraId="5265F7DD" w14:textId="77777777" w:rsidTr="006413A4">
        <w:trPr>
          <w:trHeight w:val="288"/>
          <w:jc w:val="center"/>
        </w:trPr>
        <w:tc>
          <w:tcPr>
            <w:tcW w:w="2592" w:type="dxa"/>
            <w:noWrap/>
            <w:vAlign w:val="bottom"/>
            <w:hideMark/>
          </w:tcPr>
          <w:p w14:paraId="6A96CE24"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Natural Gas Fired CC</w:t>
            </w:r>
          </w:p>
        </w:tc>
        <w:tc>
          <w:tcPr>
            <w:tcW w:w="1021" w:type="dxa"/>
            <w:noWrap/>
            <w:vAlign w:val="center"/>
            <w:hideMark/>
          </w:tcPr>
          <w:p w14:paraId="366F2E78"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731</w:t>
            </w:r>
          </w:p>
        </w:tc>
        <w:tc>
          <w:tcPr>
            <w:tcW w:w="1021" w:type="dxa"/>
            <w:noWrap/>
            <w:vAlign w:val="center"/>
            <w:hideMark/>
          </w:tcPr>
          <w:p w14:paraId="625680F1"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603</w:t>
            </w:r>
          </w:p>
        </w:tc>
        <w:tc>
          <w:tcPr>
            <w:tcW w:w="1021" w:type="dxa"/>
            <w:noWrap/>
            <w:vAlign w:val="center"/>
            <w:hideMark/>
          </w:tcPr>
          <w:p w14:paraId="2B9D851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25</w:t>
            </w:r>
          </w:p>
        </w:tc>
        <w:tc>
          <w:tcPr>
            <w:tcW w:w="1021" w:type="dxa"/>
            <w:noWrap/>
            <w:vAlign w:val="center"/>
            <w:hideMark/>
          </w:tcPr>
          <w:p w14:paraId="55081155"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4100</w:t>
            </w:r>
          </w:p>
        </w:tc>
        <w:tc>
          <w:tcPr>
            <w:tcW w:w="1152" w:type="dxa"/>
            <w:noWrap/>
            <w:vAlign w:val="center"/>
            <w:hideMark/>
          </w:tcPr>
          <w:p w14:paraId="318DD062"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594</w:t>
            </w:r>
          </w:p>
        </w:tc>
        <w:tc>
          <w:tcPr>
            <w:tcW w:w="1021" w:type="dxa"/>
            <w:noWrap/>
            <w:vAlign w:val="center"/>
            <w:hideMark/>
          </w:tcPr>
          <w:p w14:paraId="288005A9"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631</w:t>
            </w:r>
          </w:p>
        </w:tc>
      </w:tr>
      <w:tr w:rsidR="003D3A3F" w:rsidRPr="00A84681" w14:paraId="5EB5FB57" w14:textId="77777777" w:rsidTr="006413A4">
        <w:trPr>
          <w:trHeight w:val="288"/>
          <w:jc w:val="center"/>
        </w:trPr>
        <w:tc>
          <w:tcPr>
            <w:tcW w:w="2592" w:type="dxa"/>
            <w:noWrap/>
            <w:vAlign w:val="bottom"/>
            <w:hideMark/>
          </w:tcPr>
          <w:p w14:paraId="2CE2C077"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Conventional Steam Coal</w:t>
            </w:r>
          </w:p>
        </w:tc>
        <w:tc>
          <w:tcPr>
            <w:tcW w:w="1021" w:type="dxa"/>
            <w:noWrap/>
            <w:vAlign w:val="center"/>
            <w:hideMark/>
          </w:tcPr>
          <w:p w14:paraId="11FE4D48"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712</w:t>
            </w:r>
          </w:p>
        </w:tc>
        <w:tc>
          <w:tcPr>
            <w:tcW w:w="1021" w:type="dxa"/>
            <w:noWrap/>
            <w:vAlign w:val="center"/>
            <w:hideMark/>
          </w:tcPr>
          <w:p w14:paraId="63E77189"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532</w:t>
            </w:r>
          </w:p>
        </w:tc>
        <w:tc>
          <w:tcPr>
            <w:tcW w:w="1021" w:type="dxa"/>
            <w:noWrap/>
            <w:vAlign w:val="center"/>
            <w:hideMark/>
          </w:tcPr>
          <w:p w14:paraId="40FB7F51"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14</w:t>
            </w:r>
          </w:p>
        </w:tc>
        <w:tc>
          <w:tcPr>
            <w:tcW w:w="1021" w:type="dxa"/>
            <w:noWrap/>
            <w:vAlign w:val="center"/>
            <w:hideMark/>
          </w:tcPr>
          <w:p w14:paraId="0B502B82"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3499</w:t>
            </w:r>
          </w:p>
        </w:tc>
        <w:tc>
          <w:tcPr>
            <w:tcW w:w="1152" w:type="dxa"/>
            <w:noWrap/>
            <w:vAlign w:val="center"/>
            <w:hideMark/>
          </w:tcPr>
          <w:p w14:paraId="1DA1CEF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678</w:t>
            </w:r>
          </w:p>
        </w:tc>
        <w:tc>
          <w:tcPr>
            <w:tcW w:w="1021" w:type="dxa"/>
            <w:noWrap/>
            <w:vAlign w:val="center"/>
            <w:hideMark/>
          </w:tcPr>
          <w:p w14:paraId="638E21DD"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713</w:t>
            </w:r>
          </w:p>
        </w:tc>
      </w:tr>
      <w:tr w:rsidR="003D3A3F" w:rsidRPr="00A84681" w14:paraId="0D96877A" w14:textId="77777777" w:rsidTr="006413A4">
        <w:trPr>
          <w:trHeight w:val="288"/>
          <w:jc w:val="center"/>
        </w:trPr>
        <w:tc>
          <w:tcPr>
            <w:tcW w:w="2592" w:type="dxa"/>
            <w:noWrap/>
            <w:vAlign w:val="bottom"/>
            <w:hideMark/>
          </w:tcPr>
          <w:p w14:paraId="06783391"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Other Natural Gas</w:t>
            </w:r>
          </w:p>
        </w:tc>
        <w:tc>
          <w:tcPr>
            <w:tcW w:w="1021" w:type="dxa"/>
            <w:noWrap/>
            <w:vAlign w:val="center"/>
            <w:hideMark/>
          </w:tcPr>
          <w:p w14:paraId="4C5EF7EC"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549</w:t>
            </w:r>
          </w:p>
        </w:tc>
        <w:tc>
          <w:tcPr>
            <w:tcW w:w="1021" w:type="dxa"/>
            <w:noWrap/>
            <w:vAlign w:val="center"/>
            <w:hideMark/>
          </w:tcPr>
          <w:p w14:paraId="725A060D"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317</w:t>
            </w:r>
          </w:p>
        </w:tc>
        <w:tc>
          <w:tcPr>
            <w:tcW w:w="1021" w:type="dxa"/>
            <w:noWrap/>
            <w:vAlign w:val="center"/>
            <w:hideMark/>
          </w:tcPr>
          <w:p w14:paraId="02A72174"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13</w:t>
            </w:r>
          </w:p>
        </w:tc>
        <w:tc>
          <w:tcPr>
            <w:tcW w:w="1021" w:type="dxa"/>
            <w:noWrap/>
            <w:vAlign w:val="center"/>
            <w:hideMark/>
          </w:tcPr>
          <w:p w14:paraId="60BB1503"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2491</w:t>
            </w:r>
          </w:p>
        </w:tc>
        <w:tc>
          <w:tcPr>
            <w:tcW w:w="1152" w:type="dxa"/>
            <w:noWrap/>
            <w:vAlign w:val="center"/>
            <w:hideMark/>
          </w:tcPr>
          <w:p w14:paraId="042204F0"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558</w:t>
            </w:r>
          </w:p>
        </w:tc>
        <w:tc>
          <w:tcPr>
            <w:tcW w:w="1021" w:type="dxa"/>
            <w:noWrap/>
            <w:vAlign w:val="center"/>
            <w:hideMark/>
          </w:tcPr>
          <w:p w14:paraId="2824246F"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659</w:t>
            </w:r>
          </w:p>
        </w:tc>
      </w:tr>
      <w:tr w:rsidR="003D3A3F" w:rsidRPr="00A84681" w14:paraId="2DE0BE4B" w14:textId="77777777" w:rsidTr="006413A4">
        <w:trPr>
          <w:trHeight w:val="288"/>
          <w:jc w:val="center"/>
        </w:trPr>
        <w:tc>
          <w:tcPr>
            <w:tcW w:w="2592" w:type="dxa"/>
            <w:noWrap/>
            <w:vAlign w:val="bottom"/>
            <w:hideMark/>
          </w:tcPr>
          <w:p w14:paraId="62D7FBEE"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Natural Gas Fired CT</w:t>
            </w:r>
          </w:p>
        </w:tc>
        <w:tc>
          <w:tcPr>
            <w:tcW w:w="1021" w:type="dxa"/>
            <w:noWrap/>
            <w:vAlign w:val="center"/>
            <w:hideMark/>
          </w:tcPr>
          <w:p w14:paraId="12E8C489"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264</w:t>
            </w:r>
          </w:p>
        </w:tc>
        <w:tc>
          <w:tcPr>
            <w:tcW w:w="1021" w:type="dxa"/>
            <w:noWrap/>
            <w:vAlign w:val="center"/>
            <w:hideMark/>
          </w:tcPr>
          <w:p w14:paraId="06C884E7"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151</w:t>
            </w:r>
          </w:p>
        </w:tc>
        <w:tc>
          <w:tcPr>
            <w:tcW w:w="1021" w:type="dxa"/>
            <w:noWrap/>
            <w:vAlign w:val="center"/>
            <w:hideMark/>
          </w:tcPr>
          <w:p w14:paraId="559F502F"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13</w:t>
            </w:r>
          </w:p>
        </w:tc>
        <w:tc>
          <w:tcPr>
            <w:tcW w:w="1021" w:type="dxa"/>
            <w:noWrap/>
            <w:vAlign w:val="center"/>
            <w:hideMark/>
          </w:tcPr>
          <w:p w14:paraId="5BD3F2BD"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2245</w:t>
            </w:r>
          </w:p>
        </w:tc>
        <w:tc>
          <w:tcPr>
            <w:tcW w:w="1152" w:type="dxa"/>
            <w:noWrap/>
            <w:vAlign w:val="center"/>
            <w:hideMark/>
          </w:tcPr>
          <w:p w14:paraId="6D142A6D"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299</w:t>
            </w:r>
          </w:p>
        </w:tc>
        <w:tc>
          <w:tcPr>
            <w:tcW w:w="1021" w:type="dxa"/>
            <w:noWrap/>
            <w:vAlign w:val="center"/>
            <w:hideMark/>
          </w:tcPr>
          <w:p w14:paraId="39AC9BC6"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293</w:t>
            </w:r>
          </w:p>
        </w:tc>
      </w:tr>
      <w:tr w:rsidR="003D3A3F" w:rsidRPr="00A84681" w14:paraId="429680F8" w14:textId="77777777" w:rsidTr="006413A4">
        <w:trPr>
          <w:trHeight w:val="288"/>
          <w:jc w:val="center"/>
        </w:trPr>
        <w:tc>
          <w:tcPr>
            <w:tcW w:w="2592" w:type="dxa"/>
            <w:noWrap/>
            <w:vAlign w:val="bottom"/>
            <w:hideMark/>
          </w:tcPr>
          <w:p w14:paraId="21F1020A"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Onshore Wind Turbine</w:t>
            </w:r>
          </w:p>
        </w:tc>
        <w:tc>
          <w:tcPr>
            <w:tcW w:w="1021" w:type="dxa"/>
            <w:noWrap/>
            <w:vAlign w:val="center"/>
            <w:hideMark/>
          </w:tcPr>
          <w:p w14:paraId="35E7F55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166</w:t>
            </w:r>
          </w:p>
        </w:tc>
        <w:tc>
          <w:tcPr>
            <w:tcW w:w="1021" w:type="dxa"/>
            <w:noWrap/>
            <w:vAlign w:val="center"/>
            <w:hideMark/>
          </w:tcPr>
          <w:p w14:paraId="1EBC4E9F"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137</w:t>
            </w:r>
          </w:p>
        </w:tc>
        <w:tc>
          <w:tcPr>
            <w:tcW w:w="1021" w:type="dxa"/>
            <w:noWrap/>
            <w:vAlign w:val="center"/>
            <w:hideMark/>
          </w:tcPr>
          <w:p w14:paraId="3920E3D5"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9</w:t>
            </w:r>
          </w:p>
        </w:tc>
        <w:tc>
          <w:tcPr>
            <w:tcW w:w="1021" w:type="dxa"/>
            <w:noWrap/>
            <w:vAlign w:val="center"/>
            <w:hideMark/>
          </w:tcPr>
          <w:p w14:paraId="3DD13374"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816</w:t>
            </w:r>
          </w:p>
        </w:tc>
        <w:tc>
          <w:tcPr>
            <w:tcW w:w="1152" w:type="dxa"/>
            <w:noWrap/>
            <w:vAlign w:val="center"/>
            <w:hideMark/>
          </w:tcPr>
          <w:p w14:paraId="1DAFB126"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171</w:t>
            </w:r>
          </w:p>
        </w:tc>
        <w:tc>
          <w:tcPr>
            <w:tcW w:w="1021" w:type="dxa"/>
            <w:noWrap/>
            <w:vAlign w:val="center"/>
            <w:hideMark/>
          </w:tcPr>
          <w:p w14:paraId="782BC7A2"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136</w:t>
            </w:r>
          </w:p>
        </w:tc>
      </w:tr>
      <w:tr w:rsidR="003D3A3F" w:rsidRPr="00A84681" w14:paraId="6B2F31FC" w14:textId="77777777" w:rsidTr="006413A4">
        <w:trPr>
          <w:trHeight w:val="288"/>
          <w:jc w:val="center"/>
        </w:trPr>
        <w:tc>
          <w:tcPr>
            <w:tcW w:w="2592" w:type="dxa"/>
            <w:noWrap/>
            <w:vAlign w:val="bottom"/>
            <w:hideMark/>
          </w:tcPr>
          <w:p w14:paraId="22DE9252"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Other</w:t>
            </w:r>
          </w:p>
        </w:tc>
        <w:tc>
          <w:tcPr>
            <w:tcW w:w="1021" w:type="dxa"/>
            <w:noWrap/>
            <w:vAlign w:val="center"/>
            <w:hideMark/>
          </w:tcPr>
          <w:p w14:paraId="4FA020A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101</w:t>
            </w:r>
          </w:p>
        </w:tc>
        <w:tc>
          <w:tcPr>
            <w:tcW w:w="1021" w:type="dxa"/>
            <w:noWrap/>
            <w:vAlign w:val="center"/>
            <w:hideMark/>
          </w:tcPr>
          <w:p w14:paraId="4D120188"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41</w:t>
            </w:r>
          </w:p>
        </w:tc>
        <w:tc>
          <w:tcPr>
            <w:tcW w:w="1021" w:type="dxa"/>
            <w:noWrap/>
            <w:vAlign w:val="center"/>
            <w:hideMark/>
          </w:tcPr>
          <w:p w14:paraId="46D1AE33"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w:t>
            </w:r>
          </w:p>
        </w:tc>
        <w:tc>
          <w:tcPr>
            <w:tcW w:w="1021" w:type="dxa"/>
            <w:noWrap/>
            <w:vAlign w:val="center"/>
            <w:hideMark/>
          </w:tcPr>
          <w:p w14:paraId="7514B4A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805</w:t>
            </w:r>
          </w:p>
        </w:tc>
        <w:tc>
          <w:tcPr>
            <w:tcW w:w="1152" w:type="dxa"/>
            <w:noWrap/>
            <w:vAlign w:val="center"/>
            <w:hideMark/>
          </w:tcPr>
          <w:p w14:paraId="3663CB4E"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163</w:t>
            </w:r>
          </w:p>
        </w:tc>
        <w:tc>
          <w:tcPr>
            <w:tcW w:w="1021" w:type="dxa"/>
            <w:noWrap/>
            <w:vAlign w:val="center"/>
            <w:hideMark/>
          </w:tcPr>
          <w:p w14:paraId="2D7B3864"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68</w:t>
            </w:r>
          </w:p>
        </w:tc>
      </w:tr>
      <w:tr w:rsidR="003D3A3F" w:rsidRPr="00A84681" w14:paraId="3D377D2F" w14:textId="77777777" w:rsidTr="006413A4">
        <w:trPr>
          <w:trHeight w:val="288"/>
          <w:jc w:val="center"/>
        </w:trPr>
        <w:tc>
          <w:tcPr>
            <w:tcW w:w="2592" w:type="dxa"/>
            <w:noWrap/>
            <w:vAlign w:val="bottom"/>
            <w:hideMark/>
          </w:tcPr>
          <w:p w14:paraId="0C9D92B3"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Solar Photovoltaic</w:t>
            </w:r>
          </w:p>
        </w:tc>
        <w:tc>
          <w:tcPr>
            <w:tcW w:w="1021" w:type="dxa"/>
            <w:noWrap/>
            <w:vAlign w:val="center"/>
            <w:hideMark/>
          </w:tcPr>
          <w:p w14:paraId="1411A423"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66</w:t>
            </w:r>
          </w:p>
        </w:tc>
        <w:tc>
          <w:tcPr>
            <w:tcW w:w="1021" w:type="dxa"/>
            <w:noWrap/>
            <w:vAlign w:val="center"/>
            <w:hideMark/>
          </w:tcPr>
          <w:p w14:paraId="03D294A8"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74</w:t>
            </w:r>
          </w:p>
        </w:tc>
        <w:tc>
          <w:tcPr>
            <w:tcW w:w="1021" w:type="dxa"/>
            <w:noWrap/>
            <w:vAlign w:val="center"/>
            <w:hideMark/>
          </w:tcPr>
          <w:p w14:paraId="409D9E83"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10</w:t>
            </w:r>
          </w:p>
        </w:tc>
        <w:tc>
          <w:tcPr>
            <w:tcW w:w="1021" w:type="dxa"/>
            <w:noWrap/>
            <w:vAlign w:val="center"/>
            <w:hideMark/>
          </w:tcPr>
          <w:p w14:paraId="79D6EB3E"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161</w:t>
            </w:r>
          </w:p>
        </w:tc>
        <w:tc>
          <w:tcPr>
            <w:tcW w:w="1152" w:type="dxa"/>
            <w:noWrap/>
            <w:vAlign w:val="center"/>
            <w:hideMark/>
          </w:tcPr>
          <w:p w14:paraId="450B99B1"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28</w:t>
            </w:r>
          </w:p>
        </w:tc>
        <w:tc>
          <w:tcPr>
            <w:tcW w:w="1021" w:type="dxa"/>
            <w:noWrap/>
            <w:vAlign w:val="center"/>
            <w:hideMark/>
          </w:tcPr>
          <w:p w14:paraId="6913F1FE"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24</w:t>
            </w:r>
          </w:p>
        </w:tc>
      </w:tr>
      <w:tr w:rsidR="003D3A3F" w:rsidRPr="00A84681" w14:paraId="5BE6E9AC" w14:textId="77777777" w:rsidTr="006413A4">
        <w:trPr>
          <w:trHeight w:val="288"/>
          <w:jc w:val="center"/>
        </w:trPr>
        <w:tc>
          <w:tcPr>
            <w:tcW w:w="2592" w:type="dxa"/>
            <w:noWrap/>
            <w:vAlign w:val="bottom"/>
            <w:hideMark/>
          </w:tcPr>
          <w:p w14:paraId="14CA3ABC" w14:textId="77777777" w:rsidR="003D3A3F" w:rsidRPr="00A84681" w:rsidRDefault="003D3A3F" w:rsidP="006413A4">
            <w:pPr>
              <w:spacing w:after="0" w:line="240" w:lineRule="auto"/>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Geothermal</w:t>
            </w:r>
          </w:p>
        </w:tc>
        <w:tc>
          <w:tcPr>
            <w:tcW w:w="1021" w:type="dxa"/>
            <w:noWrap/>
            <w:vAlign w:val="center"/>
            <w:hideMark/>
          </w:tcPr>
          <w:p w14:paraId="2D3BFCCA"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38</w:t>
            </w:r>
          </w:p>
        </w:tc>
        <w:tc>
          <w:tcPr>
            <w:tcW w:w="1021" w:type="dxa"/>
            <w:noWrap/>
            <w:vAlign w:val="center"/>
            <w:hideMark/>
          </w:tcPr>
          <w:p w14:paraId="715D9797"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38</w:t>
            </w:r>
          </w:p>
        </w:tc>
        <w:tc>
          <w:tcPr>
            <w:tcW w:w="1021" w:type="dxa"/>
            <w:noWrap/>
            <w:vAlign w:val="center"/>
            <w:hideMark/>
          </w:tcPr>
          <w:p w14:paraId="2E8D5D43"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38</w:t>
            </w:r>
          </w:p>
        </w:tc>
        <w:tc>
          <w:tcPr>
            <w:tcW w:w="1021" w:type="dxa"/>
            <w:noWrap/>
            <w:vAlign w:val="center"/>
            <w:hideMark/>
          </w:tcPr>
          <w:p w14:paraId="003FB247"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38</w:t>
            </w:r>
          </w:p>
        </w:tc>
        <w:tc>
          <w:tcPr>
            <w:tcW w:w="1152" w:type="dxa"/>
            <w:noWrap/>
            <w:vAlign w:val="center"/>
            <w:hideMark/>
          </w:tcPr>
          <w:p w14:paraId="26A70697"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N/A</w:t>
            </w:r>
          </w:p>
        </w:tc>
        <w:tc>
          <w:tcPr>
            <w:tcW w:w="1021" w:type="dxa"/>
            <w:noWrap/>
            <w:vAlign w:val="center"/>
            <w:hideMark/>
          </w:tcPr>
          <w:p w14:paraId="70B49C8E" w14:textId="77777777" w:rsidR="003D3A3F" w:rsidRPr="00A84681" w:rsidRDefault="003D3A3F" w:rsidP="006413A4">
            <w:pPr>
              <w:spacing w:after="0" w:line="240" w:lineRule="auto"/>
              <w:jc w:val="right"/>
              <w:rPr>
                <w:rFonts w:eastAsia="Times New Roman" w:cs="Times New Roman"/>
                <w:color w:val="000000"/>
                <w:kern w:val="0"/>
                <w:sz w:val="22"/>
                <w:szCs w:val="22"/>
                <w14:ligatures w14:val="none"/>
              </w:rPr>
            </w:pPr>
            <w:r w:rsidRPr="00A84681">
              <w:rPr>
                <w:rFonts w:eastAsia="Times New Roman" w:cs="Times New Roman"/>
                <w:color w:val="000000"/>
                <w:kern w:val="0"/>
                <w:sz w:val="22"/>
                <w:szCs w:val="22"/>
                <w14:ligatures w14:val="none"/>
              </w:rPr>
              <w:t>0</w:t>
            </w:r>
          </w:p>
        </w:tc>
      </w:tr>
    </w:tbl>
    <w:p w14:paraId="2EBA413D" w14:textId="2BDE3BAB" w:rsidR="003D3A3F" w:rsidRDefault="003D3A3F" w:rsidP="003D3A3F">
      <w:pPr>
        <w:spacing w:before="240" w:after="0" w:line="480" w:lineRule="auto"/>
        <w:ind w:firstLine="720"/>
      </w:pPr>
      <w:r>
        <w:lastRenderedPageBreak/>
        <w:t xml:space="preserve">Other natural gas plants, which include steam turbines and internal combustion engines, along with natural gas combustion turbines, have smaller average capacities. The largest among “Other Natural Gas” plants is Duke Energy’s Belews Creek natural gas steam turbine, while the largest combustion turbine is the Duke Energy’s Smith Energy Center. The largest plant in the “Other” category is Duke’s Energy’s Edwardsport integrated coal gasification combined cycle plant in Indiana. Other technologies in the “Other” category include plants using fuel oil, petroleum coke, woody biomass, and solid waste. </w:t>
      </w:r>
    </w:p>
    <w:p w14:paraId="3A65832C" w14:textId="5810E48C" w:rsidR="003D3A3F" w:rsidRDefault="003D3A3F" w:rsidP="003D3A3F">
      <w:pPr>
        <w:spacing w:after="0" w:line="480" w:lineRule="auto"/>
        <w:ind w:firstLine="720"/>
      </w:pPr>
      <w:r>
        <w:t xml:space="preserve">The distribution of plant capacities by technology is visualized as a series of boxplots in </w:t>
      </w:r>
      <w:r>
        <w:fldChar w:fldCharType="begin"/>
      </w:r>
      <w:r>
        <w:instrText xml:space="preserve"> REF _Ref201150692 \h  \* MERGEFORMAT </w:instrText>
      </w:r>
      <w:r>
        <w:fldChar w:fldCharType="separate"/>
      </w:r>
      <w:r w:rsidR="00CD17CC">
        <w:t xml:space="preserve">Figure </w:t>
      </w:r>
      <w:r w:rsidR="00CD17CC">
        <w:rPr>
          <w:noProof/>
        </w:rPr>
        <w:t>8</w:t>
      </w:r>
      <w:r>
        <w:fldChar w:fldCharType="end"/>
      </w:r>
      <w:r>
        <w:t xml:space="preserve">. Because plant capacities span orders of magnitude across technologies, a logarithmic scale is displayed on the y-axis in </w:t>
      </w:r>
      <w:r>
        <w:fldChar w:fldCharType="begin"/>
      </w:r>
      <w:r>
        <w:instrText xml:space="preserve"> REF _Ref201150692 \h  \* MERGEFORMAT </w:instrText>
      </w:r>
      <w:r>
        <w:fldChar w:fldCharType="separate"/>
      </w:r>
      <w:r w:rsidR="00CD17CC">
        <w:t xml:space="preserve">Figure </w:t>
      </w:r>
      <w:r w:rsidR="00CD17CC">
        <w:rPr>
          <w:noProof/>
        </w:rPr>
        <w:t>8</w:t>
      </w:r>
      <w:r>
        <w:fldChar w:fldCharType="end"/>
      </w:r>
      <w:r>
        <w:t xml:space="preserve"> to enable a better visual comparison. A linear scale would visually obscure details of the smaller-capacity technologies by compressing their distributions. To avoid improper interpretation, it is important to emphasize that the logarithmic scaling of the y-axis displays the proportional, rather than absolute, differences in capacity across the technology ranges. So, for example, while the range for Onshore Wind capacities visually appears taller than for Nuclear in </w:t>
      </w:r>
      <w:r>
        <w:fldChar w:fldCharType="begin"/>
      </w:r>
      <w:r>
        <w:instrText xml:space="preserve"> REF _Ref201150692 \h  \* MERGEFORMAT </w:instrText>
      </w:r>
      <w:r>
        <w:fldChar w:fldCharType="separate"/>
      </w:r>
      <w:r w:rsidR="00CD17CC">
        <w:t xml:space="preserve">Figure </w:t>
      </w:r>
      <w:r w:rsidR="00CD17CC">
        <w:rPr>
          <w:noProof/>
        </w:rPr>
        <w:t>8</w:t>
      </w:r>
      <w:r>
        <w:fldChar w:fldCharType="end"/>
      </w:r>
      <w:r>
        <w:t>, that is not the case in absolute terms. The interquartile range for nuclear capacity in the sample is 1,068 MW for Nuclear, but only 136 MW for wind.</w:t>
      </w:r>
    </w:p>
    <w:p w14:paraId="636609CC" w14:textId="77777777" w:rsidR="003D3A3F" w:rsidRDefault="003D3A3F" w:rsidP="003D3A3F">
      <w:pPr>
        <w:pStyle w:val="NormalWeb"/>
        <w:keepNext/>
        <w:ind w:left="360"/>
      </w:pPr>
      <w:r w:rsidRPr="00DE02FB">
        <w:rPr>
          <w:noProof/>
        </w:rPr>
        <w:lastRenderedPageBreak/>
        <w:drawing>
          <wp:inline distT="0" distB="0" distL="0" distR="0" wp14:anchorId="0375A220" wp14:editId="52D9525B">
            <wp:extent cx="5943600" cy="2971800"/>
            <wp:effectExtent l="0" t="0" r="0" b="0"/>
            <wp:docPr id="1235113559" name="Picture 2"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3559" name="Picture 2" descr="Chart, box and whisker 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C92B6A4" w14:textId="766436DE" w:rsidR="003D3A3F" w:rsidRDefault="003D3A3F" w:rsidP="003D3A3F">
      <w:pPr>
        <w:pStyle w:val="Caption"/>
        <w:ind w:left="360"/>
      </w:pPr>
      <w:bookmarkStart w:id="25" w:name="_Ref201150692"/>
      <w:r>
        <w:t xml:space="preserve">Figure </w:t>
      </w:r>
      <w:r>
        <w:fldChar w:fldCharType="begin"/>
      </w:r>
      <w:r>
        <w:instrText xml:space="preserve"> SEQ Figure \* ARABIC </w:instrText>
      </w:r>
      <w:r>
        <w:fldChar w:fldCharType="separate"/>
      </w:r>
      <w:r w:rsidR="00CD17CC">
        <w:rPr>
          <w:noProof/>
        </w:rPr>
        <w:t>8</w:t>
      </w:r>
      <w:r>
        <w:rPr>
          <w:noProof/>
        </w:rPr>
        <w:fldChar w:fldCharType="end"/>
      </w:r>
      <w:bookmarkEnd w:id="25"/>
      <w:r>
        <w:t xml:space="preserve"> Boxplot of capacity distribution among technologies in data sample (2023).</w:t>
      </w:r>
    </w:p>
    <w:p w14:paraId="4C37D9B8" w14:textId="77777777" w:rsidR="00471B80" w:rsidRPr="00471B80" w:rsidRDefault="00471B80" w:rsidP="00471B80"/>
    <w:p w14:paraId="1DEFA4A0" w14:textId="456E260E" w:rsidR="003D3A3F" w:rsidRDefault="00471B80" w:rsidP="00DC40BB">
      <w:pPr>
        <w:pStyle w:val="AppendixSubheading"/>
      </w:pPr>
      <w:r>
        <w:t>Temporal Distributions</w:t>
      </w:r>
    </w:p>
    <w:p w14:paraId="08C3A365" w14:textId="08FCC4FE" w:rsidR="00471B80" w:rsidRDefault="00471B80" w:rsidP="00471B80">
      <w:pPr>
        <w:spacing w:after="0" w:line="480" w:lineRule="auto"/>
        <w:ind w:firstLine="720"/>
      </w:pPr>
      <w:r>
        <w:rPr>
          <w:b/>
          <w:bCs/>
        </w:rPr>
        <w:fldChar w:fldCharType="begin"/>
      </w:r>
      <w:r>
        <w:rPr>
          <w:b/>
          <w:bCs/>
        </w:rPr>
        <w:instrText xml:space="preserve"> REF _Ref207698845 \h  \* MERGEFORMAT </w:instrText>
      </w:r>
      <w:r>
        <w:rPr>
          <w:b/>
          <w:bCs/>
        </w:rPr>
      </w:r>
      <w:r>
        <w:rPr>
          <w:b/>
          <w:bCs/>
        </w:rPr>
        <w:fldChar w:fldCharType="separate"/>
      </w:r>
      <w:r w:rsidR="00CD17CC">
        <w:t xml:space="preserve">Figure </w:t>
      </w:r>
      <w:r w:rsidR="00CD17CC">
        <w:rPr>
          <w:noProof/>
        </w:rPr>
        <w:t>9</w:t>
      </w:r>
      <w:r>
        <w:rPr>
          <w:b/>
          <w:bCs/>
        </w:rPr>
        <w:fldChar w:fldCharType="end"/>
      </w:r>
      <w:r>
        <w:rPr>
          <w:b/>
          <w:bCs/>
        </w:rPr>
        <w:t xml:space="preserve"> </w:t>
      </w:r>
      <w:r w:rsidRPr="00925C4D">
        <w:t>i</w:t>
      </w:r>
      <w:r>
        <w:t xml:space="preserve">llustrates the temporal distribution of electric generating capacity within the cleaned FERC Form 1 sample, broken out by technology. Significant growth in aggregate capacity over time is displayed in the clean sample, increasing from approximately 150 GW in 1994 to nearly 400 GW in 2023. </w:t>
      </w:r>
    </w:p>
    <w:p w14:paraId="545FFEC8" w14:textId="77777777" w:rsidR="00471B80" w:rsidRDefault="00471B80" w:rsidP="00471B80">
      <w:pPr>
        <w:keepNext/>
        <w:jc w:val="center"/>
      </w:pPr>
      <w:r>
        <w:rPr>
          <w:b/>
          <w:bCs/>
          <w:noProof/>
        </w:rPr>
        <w:lastRenderedPageBreak/>
        <w:drawing>
          <wp:inline distT="0" distB="0" distL="0" distR="0" wp14:anchorId="77EBD32D" wp14:editId="69B52B27">
            <wp:extent cx="5943600" cy="3344545"/>
            <wp:effectExtent l="0" t="0" r="0" b="8255"/>
            <wp:docPr id="1047591206" name="Picture 5"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1206" name="Picture 5" descr="Chart, bar 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43D37A0" w14:textId="0C07F81D" w:rsidR="00471B80" w:rsidRDefault="00471B80" w:rsidP="00471B80">
      <w:pPr>
        <w:pStyle w:val="Caption"/>
        <w:rPr>
          <w:noProof/>
        </w:rPr>
      </w:pPr>
      <w:bookmarkStart w:id="26" w:name="_Ref207698845"/>
      <w:r>
        <w:t xml:space="preserve">Figure </w:t>
      </w:r>
      <w:r>
        <w:fldChar w:fldCharType="begin"/>
      </w:r>
      <w:r>
        <w:instrText xml:space="preserve"> SEQ Figure \* ARABIC </w:instrText>
      </w:r>
      <w:r>
        <w:fldChar w:fldCharType="separate"/>
      </w:r>
      <w:r w:rsidR="00CD17CC">
        <w:rPr>
          <w:noProof/>
        </w:rPr>
        <w:t>9</w:t>
      </w:r>
      <w:r>
        <w:rPr>
          <w:noProof/>
        </w:rPr>
        <w:fldChar w:fldCharType="end"/>
      </w:r>
      <w:bookmarkEnd w:id="26"/>
      <w:r>
        <w:t xml:space="preserve"> Plant capacity by technology over time</w:t>
      </w:r>
      <w:r>
        <w:rPr>
          <w:noProof/>
        </w:rPr>
        <w:t xml:space="preserve"> in the analysis data sample.</w:t>
      </w:r>
    </w:p>
    <w:p w14:paraId="6B8BEE82" w14:textId="1F9070A3" w:rsidR="00471B80" w:rsidRDefault="00471B80" w:rsidP="00471B80">
      <w:pPr>
        <w:spacing w:after="0" w:line="480" w:lineRule="auto"/>
        <w:ind w:firstLine="720"/>
      </w:pPr>
      <w:r>
        <w:fldChar w:fldCharType="begin"/>
      </w:r>
      <w:r>
        <w:instrText xml:space="preserve"> REF _Ref207698845 \h  \* MERGEFORMAT </w:instrText>
      </w:r>
      <w:r>
        <w:fldChar w:fldCharType="separate"/>
      </w:r>
      <w:r w:rsidR="00CD17CC">
        <w:t xml:space="preserve">Figure </w:t>
      </w:r>
      <w:r w:rsidR="00CD17CC">
        <w:rPr>
          <w:noProof/>
        </w:rPr>
        <w:t>9</w:t>
      </w:r>
      <w:r>
        <w:fldChar w:fldCharType="end"/>
      </w:r>
      <w:r>
        <w:t xml:space="preserve"> shows that most of the capacity growth over time in the sample is from natural gas-fired generation. While natural gas technologies constituted a minority of the sample’s capacity in the mid-1990’s, they have collectively become the largest component by 2023. Coal and nuclear capacity in the sample increased slightly over time, while its relative share of total capacity decreased significantly. </w:t>
      </w:r>
      <w:r>
        <w:fldChar w:fldCharType="begin"/>
      </w:r>
      <w:r>
        <w:instrText xml:space="preserve"> REF _Ref207698845 \h  \* MERGEFORMAT </w:instrText>
      </w:r>
      <w:r>
        <w:fldChar w:fldCharType="separate"/>
      </w:r>
      <w:r w:rsidR="00CD17CC">
        <w:t xml:space="preserve">Figure </w:t>
      </w:r>
      <w:r w:rsidR="00CD17CC">
        <w:rPr>
          <w:noProof/>
        </w:rPr>
        <w:t>9</w:t>
      </w:r>
      <w:r>
        <w:fldChar w:fldCharType="end"/>
      </w:r>
      <w:r>
        <w:t xml:space="preserve"> further displays the limited scope of Form 1 regarding renewable energy technologies. As noted previously, cost reporting is not mandated by FERC Form 1 for wind and solar facilities. Consequently, wind, solar, and geothermal appear as minor additions late in the sample period, likely representing voluntary filings rather than mandatory reporting by jurisdictional respondents.</w:t>
      </w:r>
    </w:p>
    <w:p w14:paraId="7249EC08" w14:textId="10E800B5" w:rsidR="00471B80" w:rsidRDefault="00471B80" w:rsidP="00471B80">
      <w:pPr>
        <w:spacing w:after="0" w:line="480" w:lineRule="auto"/>
        <w:ind w:firstLine="720"/>
      </w:pPr>
      <w:r>
        <w:t xml:space="preserve">Some capacity growth in </w:t>
      </w:r>
      <w:r>
        <w:fldChar w:fldCharType="begin"/>
      </w:r>
      <w:r>
        <w:instrText xml:space="preserve"> REF _Ref207698845 \h  \* MERGEFORMAT </w:instrText>
      </w:r>
      <w:r>
        <w:fldChar w:fldCharType="separate"/>
      </w:r>
      <w:r w:rsidR="00CD17CC">
        <w:t xml:space="preserve">Figure </w:t>
      </w:r>
      <w:r w:rsidR="00CD17CC">
        <w:rPr>
          <w:noProof/>
        </w:rPr>
        <w:t>9</w:t>
      </w:r>
      <w:r>
        <w:fldChar w:fldCharType="end"/>
      </w:r>
      <w:r>
        <w:t xml:space="preserve"> is from real-world growth in capacity, but much of the displayed growth is an artifact of the data linking process. As already discussed, inconsistencies in plant names over time make it difficult to link Form 1 plants to the power plant </w:t>
      </w:r>
      <w:r>
        <w:lastRenderedPageBreak/>
        <w:t>characteristics in EIA. The issue is exacerbated as you go farther back in time, resulting in lower successfully matched plants in the 1990’s compared to more recent years.</w:t>
      </w:r>
    </w:p>
    <w:p w14:paraId="18F0E406" w14:textId="391933EE" w:rsidR="00471B80" w:rsidRDefault="00471B80" w:rsidP="00471B80">
      <w:pPr>
        <w:spacing w:line="480" w:lineRule="auto"/>
        <w:ind w:firstLine="720"/>
        <w:rPr>
          <w:b/>
          <w:bCs/>
        </w:rPr>
      </w:pPr>
      <w:r>
        <w:t xml:space="preserve">Additional national context is provided in </w:t>
      </w:r>
      <w:r>
        <w:fldChar w:fldCharType="begin"/>
      </w:r>
      <w:r>
        <w:instrText xml:space="preserve"> REF _Ref207796715 \h  \* MERGEFORMAT </w:instrText>
      </w:r>
      <w:r>
        <w:fldChar w:fldCharType="separate"/>
      </w:r>
      <w:r w:rsidR="00CD17CC">
        <w:t xml:space="preserve">Figure </w:t>
      </w:r>
      <w:r w:rsidR="00CD17CC">
        <w:rPr>
          <w:noProof/>
        </w:rPr>
        <w:t>10</w:t>
      </w:r>
      <w:r>
        <w:fldChar w:fldCharType="end"/>
      </w:r>
      <w:r>
        <w:t>, which plots total U.S. generating capacity using national EIA data.</w:t>
      </w:r>
      <w:r>
        <w:rPr>
          <w:rStyle w:val="FootnoteReference"/>
        </w:rPr>
        <w:footnoteReference w:id="3"/>
      </w:r>
      <w:r>
        <w:t xml:space="preserve"> It shows that while natural gas capacity did grow in the U.S. after 2010, it was not at the rate in the FERC 1 sample. </w:t>
      </w:r>
      <w:r>
        <w:fldChar w:fldCharType="begin"/>
      </w:r>
      <w:r>
        <w:instrText xml:space="preserve"> REF _Ref207796715 \h  \* MERGEFORMAT </w:instrText>
      </w:r>
      <w:r>
        <w:fldChar w:fldCharType="separate"/>
      </w:r>
      <w:r w:rsidR="00CD17CC">
        <w:t xml:space="preserve">Figure </w:t>
      </w:r>
      <w:r w:rsidR="00CD17CC">
        <w:rPr>
          <w:noProof/>
        </w:rPr>
        <w:t>10</w:t>
      </w:r>
      <w:r>
        <w:fldChar w:fldCharType="end"/>
      </w:r>
      <w:r>
        <w:t xml:space="preserve"> shows the U.S. from </w:t>
      </w:r>
      <w:commentRangeStart w:id="27"/>
      <w:r>
        <w:t xml:space="preserve">2010-2024 </w:t>
      </w:r>
      <w:commentRangeEnd w:id="27"/>
      <w:r>
        <w:rPr>
          <w:rStyle w:val="CommentReference"/>
        </w:rPr>
        <w:commentReference w:id="27"/>
      </w:r>
      <w:r>
        <w:t>experienced a steady decline in coal capacity, and most growth occurring from wind, solar, and more recently, batteries. As noted previously, wind, solar, and storage are largely outside the reporting scope of FERC Form 1. Consequently, plant-level cost data for these growing segments of U.S. power generation is unavailable for this analysis.</w:t>
      </w:r>
    </w:p>
    <w:p w14:paraId="6C686A0E" w14:textId="77777777" w:rsidR="00471B80" w:rsidRDefault="00471B80" w:rsidP="00471B80">
      <w:r>
        <w:rPr>
          <w:b/>
          <w:bCs/>
          <w:noProof/>
        </w:rPr>
        <w:drawing>
          <wp:inline distT="0" distB="0" distL="0" distR="0" wp14:anchorId="0D1BBEDF" wp14:editId="39E03745">
            <wp:extent cx="5943600" cy="3345180"/>
            <wp:effectExtent l="0" t="0" r="0" b="7620"/>
            <wp:docPr id="1968010201" name="Picture 2"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0201" name="Picture 2" descr="Chart, bar char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CB99DE8" w14:textId="65F6992C" w:rsidR="00471B80" w:rsidRPr="000D309A" w:rsidRDefault="00471B80" w:rsidP="00471B80">
      <w:pPr>
        <w:pStyle w:val="Caption"/>
      </w:pPr>
      <w:bookmarkStart w:id="28" w:name="_Ref207796715"/>
      <w:r>
        <w:t xml:space="preserve">Figure </w:t>
      </w:r>
      <w:r>
        <w:fldChar w:fldCharType="begin"/>
      </w:r>
      <w:r>
        <w:instrText xml:space="preserve"> SEQ Figure \* ARABIC </w:instrText>
      </w:r>
      <w:r>
        <w:fldChar w:fldCharType="separate"/>
      </w:r>
      <w:r w:rsidR="00CD17CC">
        <w:rPr>
          <w:noProof/>
        </w:rPr>
        <w:t>10</w:t>
      </w:r>
      <w:r>
        <w:rPr>
          <w:noProof/>
        </w:rPr>
        <w:fldChar w:fldCharType="end"/>
      </w:r>
      <w:bookmarkEnd w:id="28"/>
      <w:r>
        <w:t xml:space="preserve"> </w:t>
      </w:r>
      <w:r w:rsidRPr="00D65366">
        <w:t>Total U.S. Electric Generating Capacity by Technology, 2010-2024</w:t>
      </w:r>
      <w:r>
        <w:t>.</w:t>
      </w:r>
    </w:p>
    <w:p w14:paraId="55023502" w14:textId="77777777" w:rsidR="00471B80" w:rsidRDefault="00471B80" w:rsidP="00471B80"/>
    <w:p w14:paraId="29EFA805" w14:textId="165CD008" w:rsidR="009C1DA9" w:rsidRDefault="00282CAE" w:rsidP="009C1DA9">
      <w:pPr>
        <w:pStyle w:val="AppendixHeading"/>
      </w:pPr>
      <w:r>
        <w:lastRenderedPageBreak/>
        <w:t>Supplemental Capital Cost Analysis</w:t>
      </w:r>
    </w:p>
    <w:p w14:paraId="3194492E" w14:textId="77777777" w:rsidR="000276CB" w:rsidRPr="000276CB" w:rsidRDefault="000276CB" w:rsidP="000276CB">
      <w:pPr>
        <w:pStyle w:val="ListParagraph"/>
        <w:keepNext/>
        <w:keepLines/>
        <w:numPr>
          <w:ilvl w:val="0"/>
          <w:numId w:val="5"/>
        </w:numPr>
        <w:tabs>
          <w:tab w:val="left" w:pos="540"/>
        </w:tabs>
        <w:spacing w:before="160" w:after="80"/>
        <w:contextualSpacing w:val="0"/>
        <w:outlineLvl w:val="1"/>
        <w:rPr>
          <w:rFonts w:eastAsiaTheme="majorEastAsia" w:cstheme="majorBidi"/>
          <w:iCs/>
          <w:vanish/>
          <w:sz w:val="32"/>
          <w:szCs w:val="32"/>
        </w:rPr>
      </w:pPr>
      <w:bookmarkStart w:id="29" w:name="_Ref214025458"/>
      <w:bookmarkStart w:id="30" w:name="_Ref213419745"/>
    </w:p>
    <w:p w14:paraId="6187176D" w14:textId="277E411A" w:rsidR="00D8269B" w:rsidRPr="00D8269B" w:rsidRDefault="00CD66CB" w:rsidP="00DC40BB">
      <w:pPr>
        <w:pStyle w:val="AppendixSubheading"/>
      </w:pPr>
      <w:r>
        <w:t>Detailed Coal Premium Econometric Results</w:t>
      </w:r>
      <w:bookmarkEnd w:id="29"/>
    </w:p>
    <w:tbl>
      <w:tblPr>
        <w:tblStyle w:val="ListTable3"/>
        <w:tblW w:w="0" w:type="auto"/>
        <w:tblLook w:val="04A0" w:firstRow="1" w:lastRow="0" w:firstColumn="1" w:lastColumn="0" w:noHBand="0" w:noVBand="1"/>
      </w:tblPr>
      <w:tblGrid>
        <w:gridCol w:w="2592"/>
        <w:gridCol w:w="1350"/>
      </w:tblGrid>
      <w:tr w:rsidR="00D8269B" w:rsidRPr="00D8269B" w14:paraId="62699DC6" w14:textId="77777777" w:rsidTr="00D82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2" w:type="dxa"/>
          </w:tcPr>
          <w:p w14:paraId="0BC7EDF0" w14:textId="77777777" w:rsidR="00D8269B" w:rsidRPr="00D8269B" w:rsidRDefault="00D8269B" w:rsidP="00CF3B2A">
            <w:r w:rsidRPr="00D8269B">
              <w:t>Statistic</w:t>
            </w:r>
          </w:p>
        </w:tc>
        <w:tc>
          <w:tcPr>
            <w:tcW w:w="1350" w:type="dxa"/>
          </w:tcPr>
          <w:p w14:paraId="0FFFC65D" w14:textId="77777777" w:rsidR="00D8269B" w:rsidRPr="00D8269B" w:rsidRDefault="00D8269B" w:rsidP="00CF3B2A">
            <w:pPr>
              <w:cnfStyle w:val="100000000000" w:firstRow="1" w:lastRow="0" w:firstColumn="0" w:lastColumn="0" w:oddVBand="0" w:evenVBand="0" w:oddHBand="0" w:evenHBand="0" w:firstRowFirstColumn="0" w:firstRowLastColumn="0" w:lastRowFirstColumn="0" w:lastRowLastColumn="0"/>
            </w:pPr>
            <w:r w:rsidRPr="00D8269B">
              <w:t>Value</w:t>
            </w:r>
          </w:p>
        </w:tc>
      </w:tr>
      <w:tr w:rsidR="00D8269B" w:rsidRPr="00D8269B" w14:paraId="40BABBC5"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8D6936B" w14:textId="77777777" w:rsidR="00D8269B" w:rsidRPr="00D8269B" w:rsidRDefault="00D8269B" w:rsidP="00CF3B2A">
            <w:pPr>
              <w:rPr>
                <w:b w:val="0"/>
                <w:bCs w:val="0"/>
              </w:rPr>
            </w:pPr>
            <w:r w:rsidRPr="00D8269B">
              <w:rPr>
                <w:b w:val="0"/>
                <w:bCs w:val="0"/>
              </w:rPr>
              <w:t>Observations</w:t>
            </w:r>
          </w:p>
        </w:tc>
        <w:tc>
          <w:tcPr>
            <w:tcW w:w="1350" w:type="dxa"/>
          </w:tcPr>
          <w:p w14:paraId="2AE22539"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7,668</w:t>
            </w:r>
          </w:p>
        </w:tc>
      </w:tr>
      <w:tr w:rsidR="00D8269B" w:rsidRPr="00D8269B" w14:paraId="34810195"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56C25A05" w14:textId="77777777" w:rsidR="00D8269B" w:rsidRPr="00D8269B" w:rsidRDefault="00D8269B" w:rsidP="00CF3B2A">
            <w:pPr>
              <w:rPr>
                <w:b w:val="0"/>
                <w:bCs w:val="0"/>
              </w:rPr>
            </w:pPr>
            <w:r w:rsidRPr="00D8269B">
              <w:rPr>
                <w:b w:val="0"/>
                <w:bCs w:val="0"/>
              </w:rPr>
              <w:t>Entities</w:t>
            </w:r>
          </w:p>
        </w:tc>
        <w:tc>
          <w:tcPr>
            <w:tcW w:w="1350" w:type="dxa"/>
          </w:tcPr>
          <w:p w14:paraId="79044968"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405.0</w:t>
            </w:r>
          </w:p>
        </w:tc>
      </w:tr>
      <w:tr w:rsidR="00D8269B" w:rsidRPr="00D8269B" w14:paraId="696D6DC8"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426930F" w14:textId="77777777" w:rsidR="00D8269B" w:rsidRPr="00D8269B" w:rsidRDefault="00D8269B" w:rsidP="00CF3B2A">
            <w:pPr>
              <w:rPr>
                <w:b w:val="0"/>
                <w:bCs w:val="0"/>
              </w:rPr>
            </w:pPr>
            <w:r w:rsidRPr="00D8269B">
              <w:rPr>
                <w:b w:val="0"/>
                <w:bCs w:val="0"/>
              </w:rPr>
              <w:t>Time Periods</w:t>
            </w:r>
          </w:p>
        </w:tc>
        <w:tc>
          <w:tcPr>
            <w:tcW w:w="1350" w:type="dxa"/>
          </w:tcPr>
          <w:p w14:paraId="66E48FCC"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29.0</w:t>
            </w:r>
          </w:p>
        </w:tc>
      </w:tr>
      <w:tr w:rsidR="00D8269B" w:rsidRPr="00D8269B" w14:paraId="0ACCF67F"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26198858" w14:textId="77777777" w:rsidR="00D8269B" w:rsidRPr="00D8269B" w:rsidRDefault="00D8269B" w:rsidP="00CF3B2A">
            <w:pPr>
              <w:rPr>
                <w:b w:val="0"/>
                <w:bCs w:val="0"/>
              </w:rPr>
            </w:pPr>
            <w:r w:rsidRPr="00D8269B">
              <w:rPr>
                <w:b w:val="0"/>
                <w:bCs w:val="0"/>
              </w:rPr>
              <w:t>R-squared</w:t>
            </w:r>
          </w:p>
        </w:tc>
        <w:tc>
          <w:tcPr>
            <w:tcW w:w="1350" w:type="dxa"/>
          </w:tcPr>
          <w:p w14:paraId="3C906705"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0.0765</w:t>
            </w:r>
          </w:p>
        </w:tc>
      </w:tr>
      <w:tr w:rsidR="00D8269B" w:rsidRPr="00D8269B" w14:paraId="7EF25C8E"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4192B25" w14:textId="77777777" w:rsidR="00D8269B" w:rsidRPr="00D8269B" w:rsidRDefault="00D8269B" w:rsidP="00CF3B2A">
            <w:pPr>
              <w:rPr>
                <w:b w:val="0"/>
                <w:bCs w:val="0"/>
              </w:rPr>
            </w:pPr>
            <w:r w:rsidRPr="00D8269B">
              <w:rPr>
                <w:b w:val="0"/>
                <w:bCs w:val="0"/>
              </w:rPr>
              <w:t>R-squared (Within)</w:t>
            </w:r>
          </w:p>
        </w:tc>
        <w:tc>
          <w:tcPr>
            <w:tcW w:w="1350" w:type="dxa"/>
          </w:tcPr>
          <w:p w14:paraId="04990F73"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0.0565</w:t>
            </w:r>
          </w:p>
        </w:tc>
      </w:tr>
      <w:tr w:rsidR="00D8269B" w:rsidRPr="00D8269B" w14:paraId="3A9CDF34"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32D5B31D" w14:textId="77777777" w:rsidR="00D8269B" w:rsidRPr="00D8269B" w:rsidRDefault="00D8269B" w:rsidP="00CF3B2A">
            <w:pPr>
              <w:rPr>
                <w:b w:val="0"/>
                <w:bCs w:val="0"/>
              </w:rPr>
            </w:pPr>
            <w:r w:rsidRPr="00D8269B">
              <w:rPr>
                <w:b w:val="0"/>
                <w:bCs w:val="0"/>
              </w:rPr>
              <w:t>R-squared (Between)</w:t>
            </w:r>
          </w:p>
        </w:tc>
        <w:tc>
          <w:tcPr>
            <w:tcW w:w="1350" w:type="dxa"/>
          </w:tcPr>
          <w:p w14:paraId="4B453F5E"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0.2221</w:t>
            </w:r>
          </w:p>
        </w:tc>
      </w:tr>
      <w:tr w:rsidR="00D8269B" w:rsidRPr="00D8269B" w14:paraId="5C311397"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F2B9081" w14:textId="77777777" w:rsidR="00D8269B" w:rsidRPr="00D8269B" w:rsidRDefault="00D8269B" w:rsidP="00CF3B2A">
            <w:pPr>
              <w:rPr>
                <w:b w:val="0"/>
                <w:bCs w:val="0"/>
              </w:rPr>
            </w:pPr>
            <w:r w:rsidRPr="00D8269B">
              <w:rPr>
                <w:b w:val="0"/>
                <w:bCs w:val="0"/>
              </w:rPr>
              <w:t>R-squared (Overall)</w:t>
            </w:r>
          </w:p>
        </w:tc>
        <w:tc>
          <w:tcPr>
            <w:tcW w:w="1350" w:type="dxa"/>
          </w:tcPr>
          <w:p w14:paraId="35536AB3"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0.0765</w:t>
            </w:r>
          </w:p>
        </w:tc>
      </w:tr>
      <w:tr w:rsidR="00D8269B" w:rsidRPr="00D8269B" w14:paraId="68388C21"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61C97B65" w14:textId="77777777" w:rsidR="00D8269B" w:rsidRPr="00D8269B" w:rsidRDefault="00D8269B" w:rsidP="00CF3B2A">
            <w:pPr>
              <w:rPr>
                <w:b w:val="0"/>
                <w:bCs w:val="0"/>
              </w:rPr>
            </w:pPr>
            <w:r w:rsidRPr="00D8269B">
              <w:rPr>
                <w:b w:val="0"/>
                <w:bCs w:val="0"/>
              </w:rPr>
              <w:t>F-statistic</w:t>
            </w:r>
          </w:p>
        </w:tc>
        <w:tc>
          <w:tcPr>
            <w:tcW w:w="1350" w:type="dxa"/>
          </w:tcPr>
          <w:p w14:paraId="098FAEFB"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21.8342</w:t>
            </w:r>
          </w:p>
        </w:tc>
      </w:tr>
      <w:tr w:rsidR="00D8269B" w:rsidRPr="00D8269B" w14:paraId="6289C3B3"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C64A9A0" w14:textId="77777777" w:rsidR="00D8269B" w:rsidRPr="00D8269B" w:rsidRDefault="00D8269B" w:rsidP="00CF3B2A">
            <w:pPr>
              <w:rPr>
                <w:b w:val="0"/>
                <w:bCs w:val="0"/>
              </w:rPr>
            </w:pPr>
            <w:r w:rsidRPr="00D8269B">
              <w:rPr>
                <w:b w:val="0"/>
                <w:bCs w:val="0"/>
              </w:rPr>
              <w:t>F-statistic p-value</w:t>
            </w:r>
          </w:p>
        </w:tc>
        <w:tc>
          <w:tcPr>
            <w:tcW w:w="1350" w:type="dxa"/>
          </w:tcPr>
          <w:p w14:paraId="1CCC3E96"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0.000000</w:t>
            </w:r>
          </w:p>
        </w:tc>
      </w:tr>
      <w:tr w:rsidR="00D8269B" w:rsidRPr="00D8269B" w14:paraId="01794A07"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5A25A79B" w14:textId="77777777" w:rsidR="00D8269B" w:rsidRPr="00D8269B" w:rsidRDefault="00D8269B" w:rsidP="00CF3B2A">
            <w:pPr>
              <w:rPr>
                <w:b w:val="0"/>
                <w:bCs w:val="0"/>
              </w:rPr>
            </w:pPr>
            <w:r w:rsidRPr="00D8269B">
              <w:rPr>
                <w:b w:val="0"/>
                <w:bCs w:val="0"/>
              </w:rPr>
              <w:t>Log-likelihood</w:t>
            </w:r>
          </w:p>
        </w:tc>
        <w:tc>
          <w:tcPr>
            <w:tcW w:w="1350" w:type="dxa"/>
          </w:tcPr>
          <w:p w14:paraId="719BCFA1"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-1.51e+05</w:t>
            </w:r>
          </w:p>
        </w:tc>
      </w:tr>
      <w:tr w:rsidR="00D8269B" w:rsidRPr="00D8269B" w14:paraId="20E99B2F"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519AFCF" w14:textId="77777777" w:rsidR="00D8269B" w:rsidRPr="00D8269B" w:rsidRDefault="00D8269B" w:rsidP="00CF3B2A">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Entity</w:t>
            </w:r>
          </w:p>
        </w:tc>
        <w:tc>
          <w:tcPr>
            <w:tcW w:w="1350" w:type="dxa"/>
          </w:tcPr>
          <w:p w14:paraId="657A53B1" w14:textId="77777777" w:rsidR="00D8269B" w:rsidRPr="00D8269B" w:rsidRDefault="00D8269B" w:rsidP="00CF3B2A">
            <w:pPr>
              <w:cnfStyle w:val="000000100000" w:firstRow="0" w:lastRow="0" w:firstColumn="0" w:lastColumn="0" w:oddVBand="0" w:evenVBand="0" w:oddHBand="1" w:evenHBand="0" w:firstRowFirstColumn="0" w:firstRowLastColumn="0" w:lastRowFirstColumn="0" w:lastRowLastColumn="0"/>
            </w:pPr>
            <w:r w:rsidRPr="00D8269B">
              <w:t>18.9</w:t>
            </w:r>
          </w:p>
        </w:tc>
      </w:tr>
      <w:tr w:rsidR="00D8269B" w:rsidRPr="00D8269B" w14:paraId="685E027D"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3CF32F31" w14:textId="77777777" w:rsidR="00D8269B" w:rsidRPr="00D8269B" w:rsidRDefault="00D8269B" w:rsidP="00CF3B2A">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Time</w:t>
            </w:r>
          </w:p>
        </w:tc>
        <w:tc>
          <w:tcPr>
            <w:tcW w:w="1350" w:type="dxa"/>
          </w:tcPr>
          <w:p w14:paraId="586651D3" w14:textId="77777777" w:rsidR="00D8269B" w:rsidRPr="00D8269B" w:rsidRDefault="00D8269B" w:rsidP="00CF3B2A">
            <w:pPr>
              <w:cnfStyle w:val="000000000000" w:firstRow="0" w:lastRow="0" w:firstColumn="0" w:lastColumn="0" w:oddVBand="0" w:evenVBand="0" w:oddHBand="0" w:evenHBand="0" w:firstRowFirstColumn="0" w:firstRowLastColumn="0" w:lastRowFirstColumn="0" w:lastRowLastColumn="0"/>
            </w:pPr>
            <w:r w:rsidRPr="00D8269B">
              <w:t>264.4</w:t>
            </w:r>
          </w:p>
        </w:tc>
      </w:tr>
    </w:tbl>
    <w:p w14:paraId="1664EC8A" w14:textId="77777777" w:rsidR="00D8269B" w:rsidRDefault="00D8269B" w:rsidP="00D8269B"/>
    <w:tbl>
      <w:tblPr>
        <w:tblStyle w:val="ListTable3"/>
        <w:tblW w:w="0" w:type="auto"/>
        <w:tblLook w:val="04A0" w:firstRow="1" w:lastRow="0" w:firstColumn="1" w:lastColumn="0" w:noHBand="0" w:noVBand="1"/>
      </w:tblPr>
      <w:tblGrid>
        <w:gridCol w:w="1136"/>
        <w:gridCol w:w="1153"/>
        <w:gridCol w:w="1347"/>
        <w:gridCol w:w="1139"/>
        <w:gridCol w:w="1137"/>
        <w:gridCol w:w="1147"/>
        <w:gridCol w:w="1146"/>
        <w:gridCol w:w="1145"/>
      </w:tblGrid>
      <w:tr w:rsidR="00D8269B" w:rsidRPr="00D8269B" w14:paraId="2B3F72C9" w14:textId="77777777" w:rsidTr="00D82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tcPr>
          <w:p w14:paraId="5543E253" w14:textId="77777777" w:rsidR="00D8269B" w:rsidRPr="00D8269B" w:rsidRDefault="00D8269B" w:rsidP="00674F59">
            <w:r w:rsidRPr="00D8269B">
              <w:t>Year</w:t>
            </w:r>
          </w:p>
        </w:tc>
        <w:tc>
          <w:tcPr>
            <w:tcW w:w="1168" w:type="dxa"/>
          </w:tcPr>
          <w:p w14:paraId="284E7527"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proofErr w:type="spellStart"/>
            <w:r w:rsidRPr="00D8269B">
              <w:t>Event_t</w:t>
            </w:r>
            <w:proofErr w:type="spellEnd"/>
          </w:p>
        </w:tc>
        <w:tc>
          <w:tcPr>
            <w:tcW w:w="1169" w:type="dxa"/>
          </w:tcPr>
          <w:p w14:paraId="64F11B54"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Coefficient ($M)</w:t>
            </w:r>
          </w:p>
        </w:tc>
        <w:tc>
          <w:tcPr>
            <w:tcW w:w="1169" w:type="dxa"/>
          </w:tcPr>
          <w:p w14:paraId="10B24E45"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Std Error ($M)</w:t>
            </w:r>
          </w:p>
        </w:tc>
        <w:tc>
          <w:tcPr>
            <w:tcW w:w="1169" w:type="dxa"/>
          </w:tcPr>
          <w:p w14:paraId="23715DFF"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t-stat</w:t>
            </w:r>
          </w:p>
        </w:tc>
        <w:tc>
          <w:tcPr>
            <w:tcW w:w="1169" w:type="dxa"/>
          </w:tcPr>
          <w:p w14:paraId="4F2FCA90"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P-value</w:t>
            </w:r>
          </w:p>
        </w:tc>
        <w:tc>
          <w:tcPr>
            <w:tcW w:w="1169" w:type="dxa"/>
          </w:tcPr>
          <w:p w14:paraId="777AE8BA"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CI Lower ($M)</w:t>
            </w:r>
          </w:p>
        </w:tc>
        <w:tc>
          <w:tcPr>
            <w:tcW w:w="1169" w:type="dxa"/>
          </w:tcPr>
          <w:p w14:paraId="413F0F6C" w14:textId="77777777" w:rsidR="00D8269B" w:rsidRPr="00D8269B" w:rsidRDefault="00D8269B" w:rsidP="00674F59">
            <w:pPr>
              <w:cnfStyle w:val="100000000000" w:firstRow="1" w:lastRow="0" w:firstColumn="0" w:lastColumn="0" w:oddVBand="0" w:evenVBand="0" w:oddHBand="0" w:evenHBand="0" w:firstRowFirstColumn="0" w:firstRowLastColumn="0" w:lastRowFirstColumn="0" w:lastRowLastColumn="0"/>
            </w:pPr>
            <w:r w:rsidRPr="00D8269B">
              <w:t>CI Upper ($M)</w:t>
            </w:r>
          </w:p>
        </w:tc>
      </w:tr>
      <w:tr w:rsidR="00D8269B" w:rsidRPr="00D8269B" w14:paraId="3D632701"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C23469C" w14:textId="77777777" w:rsidR="00D8269B" w:rsidRPr="00D8269B" w:rsidRDefault="00D8269B" w:rsidP="00674F59">
            <w:r w:rsidRPr="00D8269B">
              <w:t>1996</w:t>
            </w:r>
          </w:p>
        </w:tc>
        <w:tc>
          <w:tcPr>
            <w:tcW w:w="1168" w:type="dxa"/>
          </w:tcPr>
          <w:p w14:paraId="3058B45A"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w:t>
            </w:r>
          </w:p>
        </w:tc>
        <w:tc>
          <w:tcPr>
            <w:tcW w:w="1169" w:type="dxa"/>
          </w:tcPr>
          <w:p w14:paraId="560BA6D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15.0</w:t>
            </w:r>
          </w:p>
        </w:tc>
        <w:tc>
          <w:tcPr>
            <w:tcW w:w="1169" w:type="dxa"/>
          </w:tcPr>
          <w:p w14:paraId="180BED7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4.5</w:t>
            </w:r>
          </w:p>
        </w:tc>
        <w:tc>
          <w:tcPr>
            <w:tcW w:w="1169" w:type="dxa"/>
          </w:tcPr>
          <w:p w14:paraId="1CA15E33"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3.303</w:t>
            </w:r>
          </w:p>
        </w:tc>
        <w:tc>
          <w:tcPr>
            <w:tcW w:w="1169" w:type="dxa"/>
          </w:tcPr>
          <w:p w14:paraId="75A782F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0.0010</w:t>
            </w:r>
          </w:p>
        </w:tc>
        <w:tc>
          <w:tcPr>
            <w:tcW w:w="1169" w:type="dxa"/>
          </w:tcPr>
          <w:p w14:paraId="3657758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6.1</w:t>
            </w:r>
          </w:p>
        </w:tc>
        <w:tc>
          <w:tcPr>
            <w:tcW w:w="1169" w:type="dxa"/>
          </w:tcPr>
          <w:p w14:paraId="5443857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23.9</w:t>
            </w:r>
          </w:p>
        </w:tc>
      </w:tr>
      <w:tr w:rsidR="00D8269B" w:rsidRPr="00D8269B" w14:paraId="4DF10012"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1FDC1ADF" w14:textId="77777777" w:rsidR="00D8269B" w:rsidRPr="00D8269B" w:rsidRDefault="00D8269B" w:rsidP="00674F59">
            <w:r w:rsidRPr="00D8269B">
              <w:t>1997</w:t>
            </w:r>
          </w:p>
        </w:tc>
        <w:tc>
          <w:tcPr>
            <w:tcW w:w="1168" w:type="dxa"/>
          </w:tcPr>
          <w:p w14:paraId="59FF97C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w:t>
            </w:r>
          </w:p>
        </w:tc>
        <w:tc>
          <w:tcPr>
            <w:tcW w:w="1169" w:type="dxa"/>
          </w:tcPr>
          <w:p w14:paraId="3D6DB08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4.0</w:t>
            </w:r>
          </w:p>
        </w:tc>
        <w:tc>
          <w:tcPr>
            <w:tcW w:w="1169" w:type="dxa"/>
          </w:tcPr>
          <w:p w14:paraId="341A676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0.8</w:t>
            </w:r>
          </w:p>
        </w:tc>
        <w:tc>
          <w:tcPr>
            <w:tcW w:w="1169" w:type="dxa"/>
          </w:tcPr>
          <w:p w14:paraId="73FE19B5"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4.736</w:t>
            </w:r>
          </w:p>
        </w:tc>
        <w:tc>
          <w:tcPr>
            <w:tcW w:w="1169" w:type="dxa"/>
          </w:tcPr>
          <w:p w14:paraId="762D2A8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3DC5DEA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2.3</w:t>
            </w:r>
          </w:p>
        </w:tc>
        <w:tc>
          <w:tcPr>
            <w:tcW w:w="1169" w:type="dxa"/>
          </w:tcPr>
          <w:p w14:paraId="6AFB838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5.7</w:t>
            </w:r>
          </w:p>
        </w:tc>
      </w:tr>
      <w:tr w:rsidR="00D8269B" w:rsidRPr="00D8269B" w14:paraId="5A5EBF81"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19C9778" w14:textId="77777777" w:rsidR="00D8269B" w:rsidRPr="00D8269B" w:rsidRDefault="00D8269B" w:rsidP="00674F59">
            <w:r w:rsidRPr="00D8269B">
              <w:t>1998</w:t>
            </w:r>
          </w:p>
        </w:tc>
        <w:tc>
          <w:tcPr>
            <w:tcW w:w="1168" w:type="dxa"/>
          </w:tcPr>
          <w:p w14:paraId="5F6BA3C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w:t>
            </w:r>
          </w:p>
        </w:tc>
        <w:tc>
          <w:tcPr>
            <w:tcW w:w="1169" w:type="dxa"/>
          </w:tcPr>
          <w:p w14:paraId="3F7699DA"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1.1</w:t>
            </w:r>
          </w:p>
        </w:tc>
        <w:tc>
          <w:tcPr>
            <w:tcW w:w="1169" w:type="dxa"/>
          </w:tcPr>
          <w:p w14:paraId="43F91F8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1.2</w:t>
            </w:r>
          </w:p>
        </w:tc>
        <w:tc>
          <w:tcPr>
            <w:tcW w:w="1169" w:type="dxa"/>
          </w:tcPr>
          <w:p w14:paraId="473A738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0.921</w:t>
            </w:r>
          </w:p>
        </w:tc>
        <w:tc>
          <w:tcPr>
            <w:tcW w:w="1169" w:type="dxa"/>
          </w:tcPr>
          <w:p w14:paraId="286DD4F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0.3572</w:t>
            </w:r>
          </w:p>
        </w:tc>
        <w:tc>
          <w:tcPr>
            <w:tcW w:w="1169" w:type="dxa"/>
          </w:tcPr>
          <w:p w14:paraId="188FA49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-1.2</w:t>
            </w:r>
          </w:p>
        </w:tc>
        <w:tc>
          <w:tcPr>
            <w:tcW w:w="1169" w:type="dxa"/>
          </w:tcPr>
          <w:p w14:paraId="59A998FB"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3.4</w:t>
            </w:r>
          </w:p>
        </w:tc>
      </w:tr>
      <w:tr w:rsidR="00D8269B" w:rsidRPr="00D8269B" w14:paraId="7202B34B"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7FE5AE65" w14:textId="77777777" w:rsidR="00D8269B" w:rsidRPr="00D8269B" w:rsidRDefault="00D8269B" w:rsidP="00674F59">
            <w:r w:rsidRPr="00D8269B">
              <w:t>1999</w:t>
            </w:r>
          </w:p>
        </w:tc>
        <w:tc>
          <w:tcPr>
            <w:tcW w:w="1168" w:type="dxa"/>
          </w:tcPr>
          <w:p w14:paraId="2960668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w:t>
            </w:r>
          </w:p>
        </w:tc>
        <w:tc>
          <w:tcPr>
            <w:tcW w:w="1169" w:type="dxa"/>
          </w:tcPr>
          <w:p w14:paraId="724A4366"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1.1</w:t>
            </w:r>
          </w:p>
        </w:tc>
        <w:tc>
          <w:tcPr>
            <w:tcW w:w="1169" w:type="dxa"/>
          </w:tcPr>
          <w:p w14:paraId="260891A6"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2.5</w:t>
            </w:r>
          </w:p>
        </w:tc>
        <w:tc>
          <w:tcPr>
            <w:tcW w:w="1169" w:type="dxa"/>
          </w:tcPr>
          <w:p w14:paraId="31C84EDE"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0.448</w:t>
            </w:r>
          </w:p>
        </w:tc>
        <w:tc>
          <w:tcPr>
            <w:tcW w:w="1169" w:type="dxa"/>
          </w:tcPr>
          <w:p w14:paraId="6C86720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0.6541</w:t>
            </w:r>
          </w:p>
        </w:tc>
        <w:tc>
          <w:tcPr>
            <w:tcW w:w="1169" w:type="dxa"/>
          </w:tcPr>
          <w:p w14:paraId="7CD0D559"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-3.8</w:t>
            </w:r>
          </w:p>
        </w:tc>
        <w:tc>
          <w:tcPr>
            <w:tcW w:w="1169" w:type="dxa"/>
          </w:tcPr>
          <w:p w14:paraId="7295A5B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6.0</w:t>
            </w:r>
          </w:p>
        </w:tc>
      </w:tr>
      <w:tr w:rsidR="00D8269B" w:rsidRPr="00D8269B" w14:paraId="723AFCEA"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CA53A68" w14:textId="77777777" w:rsidR="00D8269B" w:rsidRPr="00D8269B" w:rsidRDefault="00D8269B" w:rsidP="00674F59">
            <w:r w:rsidRPr="00D8269B">
              <w:t>2000</w:t>
            </w:r>
          </w:p>
        </w:tc>
        <w:tc>
          <w:tcPr>
            <w:tcW w:w="1168" w:type="dxa"/>
          </w:tcPr>
          <w:p w14:paraId="19BE92DB"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5</w:t>
            </w:r>
          </w:p>
        </w:tc>
        <w:tc>
          <w:tcPr>
            <w:tcW w:w="1169" w:type="dxa"/>
          </w:tcPr>
          <w:p w14:paraId="3F14A4C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7.7</w:t>
            </w:r>
          </w:p>
        </w:tc>
        <w:tc>
          <w:tcPr>
            <w:tcW w:w="1169" w:type="dxa"/>
          </w:tcPr>
          <w:p w14:paraId="1601B87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2.0</w:t>
            </w:r>
          </w:p>
        </w:tc>
        <w:tc>
          <w:tcPr>
            <w:tcW w:w="1169" w:type="dxa"/>
          </w:tcPr>
          <w:p w14:paraId="5B0D743B"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3.885</w:t>
            </w:r>
          </w:p>
        </w:tc>
        <w:tc>
          <w:tcPr>
            <w:tcW w:w="1169" w:type="dxa"/>
          </w:tcPr>
          <w:p w14:paraId="2E30E99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0.0001</w:t>
            </w:r>
          </w:p>
        </w:tc>
        <w:tc>
          <w:tcPr>
            <w:tcW w:w="1169" w:type="dxa"/>
          </w:tcPr>
          <w:p w14:paraId="257DAD0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3.8</w:t>
            </w:r>
          </w:p>
        </w:tc>
        <w:tc>
          <w:tcPr>
            <w:tcW w:w="1169" w:type="dxa"/>
          </w:tcPr>
          <w:p w14:paraId="6164C73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11.5</w:t>
            </w:r>
          </w:p>
        </w:tc>
      </w:tr>
      <w:tr w:rsidR="00D8269B" w:rsidRPr="00D8269B" w14:paraId="6CC7183E"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5C0593D8" w14:textId="77777777" w:rsidR="00D8269B" w:rsidRPr="00D8269B" w:rsidRDefault="00D8269B" w:rsidP="00674F59">
            <w:r w:rsidRPr="00D8269B">
              <w:t>2001</w:t>
            </w:r>
          </w:p>
        </w:tc>
        <w:tc>
          <w:tcPr>
            <w:tcW w:w="1168" w:type="dxa"/>
          </w:tcPr>
          <w:p w14:paraId="5D05A29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w:t>
            </w:r>
          </w:p>
        </w:tc>
        <w:tc>
          <w:tcPr>
            <w:tcW w:w="1169" w:type="dxa"/>
          </w:tcPr>
          <w:p w14:paraId="3C3BE5AE"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13.0</w:t>
            </w:r>
          </w:p>
        </w:tc>
        <w:tc>
          <w:tcPr>
            <w:tcW w:w="1169" w:type="dxa"/>
          </w:tcPr>
          <w:p w14:paraId="60E7281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5.0</w:t>
            </w:r>
          </w:p>
        </w:tc>
        <w:tc>
          <w:tcPr>
            <w:tcW w:w="1169" w:type="dxa"/>
          </w:tcPr>
          <w:p w14:paraId="1EF9D91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2.611</w:t>
            </w:r>
          </w:p>
        </w:tc>
        <w:tc>
          <w:tcPr>
            <w:tcW w:w="1169" w:type="dxa"/>
          </w:tcPr>
          <w:p w14:paraId="72092B6D"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0.0090</w:t>
            </w:r>
          </w:p>
        </w:tc>
        <w:tc>
          <w:tcPr>
            <w:tcW w:w="1169" w:type="dxa"/>
          </w:tcPr>
          <w:p w14:paraId="64D3F506"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3.3</w:t>
            </w:r>
          </w:p>
        </w:tc>
        <w:tc>
          <w:tcPr>
            <w:tcW w:w="1169" w:type="dxa"/>
          </w:tcPr>
          <w:p w14:paraId="326BCDE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22.8</w:t>
            </w:r>
          </w:p>
        </w:tc>
      </w:tr>
      <w:tr w:rsidR="00D8269B" w:rsidRPr="00D8269B" w14:paraId="2294C5DF"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CF9EFFF" w14:textId="77777777" w:rsidR="00D8269B" w:rsidRPr="00D8269B" w:rsidRDefault="00D8269B" w:rsidP="00674F59">
            <w:r w:rsidRPr="00D8269B">
              <w:t>2002</w:t>
            </w:r>
          </w:p>
        </w:tc>
        <w:tc>
          <w:tcPr>
            <w:tcW w:w="1168" w:type="dxa"/>
          </w:tcPr>
          <w:p w14:paraId="0B78CBA7"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7</w:t>
            </w:r>
          </w:p>
        </w:tc>
        <w:tc>
          <w:tcPr>
            <w:tcW w:w="1169" w:type="dxa"/>
          </w:tcPr>
          <w:p w14:paraId="34297A1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13.2</w:t>
            </w:r>
          </w:p>
        </w:tc>
        <w:tc>
          <w:tcPr>
            <w:tcW w:w="1169" w:type="dxa"/>
          </w:tcPr>
          <w:p w14:paraId="363EB06F"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3.3</w:t>
            </w:r>
          </w:p>
        </w:tc>
        <w:tc>
          <w:tcPr>
            <w:tcW w:w="1169" w:type="dxa"/>
          </w:tcPr>
          <w:p w14:paraId="1E035C8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4.026</w:t>
            </w:r>
          </w:p>
        </w:tc>
        <w:tc>
          <w:tcPr>
            <w:tcW w:w="1169" w:type="dxa"/>
          </w:tcPr>
          <w:p w14:paraId="020093F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0.0001</w:t>
            </w:r>
          </w:p>
        </w:tc>
        <w:tc>
          <w:tcPr>
            <w:tcW w:w="1169" w:type="dxa"/>
          </w:tcPr>
          <w:p w14:paraId="6B3908B3"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6.8</w:t>
            </w:r>
          </w:p>
        </w:tc>
        <w:tc>
          <w:tcPr>
            <w:tcW w:w="1169" w:type="dxa"/>
          </w:tcPr>
          <w:p w14:paraId="060FAE0C"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19.6</w:t>
            </w:r>
          </w:p>
        </w:tc>
      </w:tr>
      <w:tr w:rsidR="00D8269B" w:rsidRPr="00D8269B" w14:paraId="2D211BE8"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4077C8BD" w14:textId="77777777" w:rsidR="00D8269B" w:rsidRPr="00D8269B" w:rsidRDefault="00D8269B" w:rsidP="00674F59">
            <w:r w:rsidRPr="00D8269B">
              <w:t>2003</w:t>
            </w:r>
          </w:p>
        </w:tc>
        <w:tc>
          <w:tcPr>
            <w:tcW w:w="1168" w:type="dxa"/>
          </w:tcPr>
          <w:p w14:paraId="4E5CD48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8</w:t>
            </w:r>
          </w:p>
        </w:tc>
        <w:tc>
          <w:tcPr>
            <w:tcW w:w="1169" w:type="dxa"/>
          </w:tcPr>
          <w:p w14:paraId="5A51042C"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20.8</w:t>
            </w:r>
          </w:p>
        </w:tc>
        <w:tc>
          <w:tcPr>
            <w:tcW w:w="1169" w:type="dxa"/>
          </w:tcPr>
          <w:p w14:paraId="7119E55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5.2</w:t>
            </w:r>
          </w:p>
        </w:tc>
        <w:tc>
          <w:tcPr>
            <w:tcW w:w="1169" w:type="dxa"/>
          </w:tcPr>
          <w:p w14:paraId="0981621B"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4.034</w:t>
            </w:r>
          </w:p>
        </w:tc>
        <w:tc>
          <w:tcPr>
            <w:tcW w:w="1169" w:type="dxa"/>
          </w:tcPr>
          <w:p w14:paraId="439D4B3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0.0001</w:t>
            </w:r>
          </w:p>
        </w:tc>
        <w:tc>
          <w:tcPr>
            <w:tcW w:w="1169" w:type="dxa"/>
          </w:tcPr>
          <w:p w14:paraId="045AAF8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10.7</w:t>
            </w:r>
          </w:p>
        </w:tc>
        <w:tc>
          <w:tcPr>
            <w:tcW w:w="1169" w:type="dxa"/>
          </w:tcPr>
          <w:p w14:paraId="260BC8B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30.9</w:t>
            </w:r>
          </w:p>
        </w:tc>
      </w:tr>
      <w:tr w:rsidR="00D8269B" w:rsidRPr="00D8269B" w14:paraId="340E483E"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A3868EC" w14:textId="77777777" w:rsidR="00D8269B" w:rsidRPr="00D8269B" w:rsidRDefault="00D8269B" w:rsidP="00674F59">
            <w:r w:rsidRPr="00D8269B">
              <w:t>2004</w:t>
            </w:r>
          </w:p>
        </w:tc>
        <w:tc>
          <w:tcPr>
            <w:tcW w:w="1168" w:type="dxa"/>
          </w:tcPr>
          <w:p w14:paraId="111E172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9</w:t>
            </w:r>
          </w:p>
        </w:tc>
        <w:tc>
          <w:tcPr>
            <w:tcW w:w="1169" w:type="dxa"/>
          </w:tcPr>
          <w:p w14:paraId="4A6BF35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15.9</w:t>
            </w:r>
          </w:p>
        </w:tc>
        <w:tc>
          <w:tcPr>
            <w:tcW w:w="1169" w:type="dxa"/>
          </w:tcPr>
          <w:p w14:paraId="2A6309DA"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3.6</w:t>
            </w:r>
          </w:p>
        </w:tc>
        <w:tc>
          <w:tcPr>
            <w:tcW w:w="1169" w:type="dxa"/>
          </w:tcPr>
          <w:p w14:paraId="347DC158"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4.441</w:t>
            </w:r>
          </w:p>
        </w:tc>
        <w:tc>
          <w:tcPr>
            <w:tcW w:w="1169" w:type="dxa"/>
          </w:tcPr>
          <w:p w14:paraId="576F1BF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5C8FD79F"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8.9</w:t>
            </w:r>
          </w:p>
        </w:tc>
        <w:tc>
          <w:tcPr>
            <w:tcW w:w="1169" w:type="dxa"/>
          </w:tcPr>
          <w:p w14:paraId="154FDE4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23.0</w:t>
            </w:r>
          </w:p>
        </w:tc>
      </w:tr>
      <w:tr w:rsidR="00D8269B" w:rsidRPr="00D8269B" w14:paraId="2B5EC5E0"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22F64A31" w14:textId="77777777" w:rsidR="00D8269B" w:rsidRPr="00D8269B" w:rsidRDefault="00D8269B" w:rsidP="00674F59">
            <w:r w:rsidRPr="00D8269B">
              <w:t>2005</w:t>
            </w:r>
          </w:p>
        </w:tc>
        <w:tc>
          <w:tcPr>
            <w:tcW w:w="1168" w:type="dxa"/>
          </w:tcPr>
          <w:p w14:paraId="5D890135"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10</w:t>
            </w:r>
          </w:p>
        </w:tc>
        <w:tc>
          <w:tcPr>
            <w:tcW w:w="1169" w:type="dxa"/>
          </w:tcPr>
          <w:p w14:paraId="6C002C1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10.3</w:t>
            </w:r>
          </w:p>
        </w:tc>
        <w:tc>
          <w:tcPr>
            <w:tcW w:w="1169" w:type="dxa"/>
          </w:tcPr>
          <w:p w14:paraId="5DA74B89"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2.4</w:t>
            </w:r>
          </w:p>
        </w:tc>
        <w:tc>
          <w:tcPr>
            <w:tcW w:w="1169" w:type="dxa"/>
          </w:tcPr>
          <w:p w14:paraId="7609ABF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4.327</w:t>
            </w:r>
          </w:p>
        </w:tc>
        <w:tc>
          <w:tcPr>
            <w:tcW w:w="1169" w:type="dxa"/>
          </w:tcPr>
          <w:p w14:paraId="6C183EA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7929B2E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5.7</w:t>
            </w:r>
          </w:p>
        </w:tc>
        <w:tc>
          <w:tcPr>
            <w:tcW w:w="1169" w:type="dxa"/>
          </w:tcPr>
          <w:p w14:paraId="4FC09D4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15.0</w:t>
            </w:r>
          </w:p>
        </w:tc>
      </w:tr>
      <w:tr w:rsidR="00D8269B" w:rsidRPr="00D8269B" w14:paraId="0367232F"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DD9D95F" w14:textId="77777777" w:rsidR="00D8269B" w:rsidRPr="00D8269B" w:rsidRDefault="00D8269B" w:rsidP="00674F59">
            <w:r w:rsidRPr="00D8269B">
              <w:t>2006</w:t>
            </w:r>
          </w:p>
        </w:tc>
        <w:tc>
          <w:tcPr>
            <w:tcW w:w="1168" w:type="dxa"/>
          </w:tcPr>
          <w:p w14:paraId="5974F7CA"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11</w:t>
            </w:r>
          </w:p>
        </w:tc>
        <w:tc>
          <w:tcPr>
            <w:tcW w:w="1169" w:type="dxa"/>
          </w:tcPr>
          <w:p w14:paraId="7752D7F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8.6</w:t>
            </w:r>
          </w:p>
        </w:tc>
        <w:tc>
          <w:tcPr>
            <w:tcW w:w="1169" w:type="dxa"/>
          </w:tcPr>
          <w:p w14:paraId="4034524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6.7</w:t>
            </w:r>
          </w:p>
        </w:tc>
        <w:tc>
          <w:tcPr>
            <w:tcW w:w="1169" w:type="dxa"/>
          </w:tcPr>
          <w:p w14:paraId="32448FE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1.267</w:t>
            </w:r>
          </w:p>
        </w:tc>
        <w:tc>
          <w:tcPr>
            <w:tcW w:w="1169" w:type="dxa"/>
          </w:tcPr>
          <w:p w14:paraId="0B51A0A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0.2051</w:t>
            </w:r>
          </w:p>
        </w:tc>
        <w:tc>
          <w:tcPr>
            <w:tcW w:w="1169" w:type="dxa"/>
          </w:tcPr>
          <w:p w14:paraId="558C292A"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-4.7</w:t>
            </w:r>
          </w:p>
        </w:tc>
        <w:tc>
          <w:tcPr>
            <w:tcW w:w="1169" w:type="dxa"/>
          </w:tcPr>
          <w:p w14:paraId="7D14009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21.8</w:t>
            </w:r>
          </w:p>
        </w:tc>
      </w:tr>
      <w:tr w:rsidR="00D8269B" w:rsidRPr="00D8269B" w14:paraId="332CE81C"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26BD6777" w14:textId="77777777" w:rsidR="00D8269B" w:rsidRPr="00D8269B" w:rsidRDefault="00D8269B" w:rsidP="00674F59">
            <w:r w:rsidRPr="00D8269B">
              <w:t>2007</w:t>
            </w:r>
          </w:p>
        </w:tc>
        <w:tc>
          <w:tcPr>
            <w:tcW w:w="1168" w:type="dxa"/>
          </w:tcPr>
          <w:p w14:paraId="4B370C35"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12</w:t>
            </w:r>
          </w:p>
        </w:tc>
        <w:tc>
          <w:tcPr>
            <w:tcW w:w="1169" w:type="dxa"/>
          </w:tcPr>
          <w:p w14:paraId="19DC2E24"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28.6</w:t>
            </w:r>
          </w:p>
        </w:tc>
        <w:tc>
          <w:tcPr>
            <w:tcW w:w="1169" w:type="dxa"/>
          </w:tcPr>
          <w:p w14:paraId="2EE2C93C"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9.0</w:t>
            </w:r>
          </w:p>
        </w:tc>
        <w:tc>
          <w:tcPr>
            <w:tcW w:w="1169" w:type="dxa"/>
          </w:tcPr>
          <w:p w14:paraId="4D4ED87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3.169</w:t>
            </w:r>
          </w:p>
        </w:tc>
        <w:tc>
          <w:tcPr>
            <w:tcW w:w="1169" w:type="dxa"/>
          </w:tcPr>
          <w:p w14:paraId="64D2322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0.0015</w:t>
            </w:r>
          </w:p>
        </w:tc>
        <w:tc>
          <w:tcPr>
            <w:tcW w:w="1169" w:type="dxa"/>
          </w:tcPr>
          <w:p w14:paraId="6ED9F5F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10.9</w:t>
            </w:r>
          </w:p>
        </w:tc>
        <w:tc>
          <w:tcPr>
            <w:tcW w:w="1169" w:type="dxa"/>
          </w:tcPr>
          <w:p w14:paraId="3ABE576E"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46.4</w:t>
            </w:r>
          </w:p>
        </w:tc>
      </w:tr>
      <w:tr w:rsidR="00D8269B" w:rsidRPr="00D8269B" w14:paraId="31FFF9A1"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CD14925" w14:textId="77777777" w:rsidR="00D8269B" w:rsidRPr="00D8269B" w:rsidRDefault="00D8269B" w:rsidP="00674F59">
            <w:r w:rsidRPr="00D8269B">
              <w:t>2008</w:t>
            </w:r>
          </w:p>
        </w:tc>
        <w:tc>
          <w:tcPr>
            <w:tcW w:w="1168" w:type="dxa"/>
          </w:tcPr>
          <w:p w14:paraId="63EFFB83"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13</w:t>
            </w:r>
          </w:p>
        </w:tc>
        <w:tc>
          <w:tcPr>
            <w:tcW w:w="1169" w:type="dxa"/>
          </w:tcPr>
          <w:p w14:paraId="0890C01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33.9</w:t>
            </w:r>
          </w:p>
        </w:tc>
        <w:tc>
          <w:tcPr>
            <w:tcW w:w="1169" w:type="dxa"/>
          </w:tcPr>
          <w:p w14:paraId="3425CA4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9.3</w:t>
            </w:r>
          </w:p>
        </w:tc>
        <w:tc>
          <w:tcPr>
            <w:tcW w:w="1169" w:type="dxa"/>
          </w:tcPr>
          <w:p w14:paraId="28CD1DA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3.658</w:t>
            </w:r>
          </w:p>
        </w:tc>
        <w:tc>
          <w:tcPr>
            <w:tcW w:w="1169" w:type="dxa"/>
          </w:tcPr>
          <w:p w14:paraId="5FF70A5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0.0003</w:t>
            </w:r>
          </w:p>
        </w:tc>
        <w:tc>
          <w:tcPr>
            <w:tcW w:w="1169" w:type="dxa"/>
          </w:tcPr>
          <w:p w14:paraId="2354D62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15.7</w:t>
            </w:r>
          </w:p>
        </w:tc>
        <w:tc>
          <w:tcPr>
            <w:tcW w:w="1169" w:type="dxa"/>
          </w:tcPr>
          <w:p w14:paraId="08A80CC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52.0</w:t>
            </w:r>
          </w:p>
        </w:tc>
      </w:tr>
      <w:tr w:rsidR="00D8269B" w:rsidRPr="00D8269B" w14:paraId="4611106F"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44185135" w14:textId="77777777" w:rsidR="00D8269B" w:rsidRPr="00D8269B" w:rsidRDefault="00D8269B" w:rsidP="00674F59">
            <w:r w:rsidRPr="00D8269B">
              <w:t>2009</w:t>
            </w:r>
          </w:p>
        </w:tc>
        <w:tc>
          <w:tcPr>
            <w:tcW w:w="1168" w:type="dxa"/>
          </w:tcPr>
          <w:p w14:paraId="73F02F2C"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14</w:t>
            </w:r>
          </w:p>
        </w:tc>
        <w:tc>
          <w:tcPr>
            <w:tcW w:w="1169" w:type="dxa"/>
          </w:tcPr>
          <w:p w14:paraId="604EB1C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44.7</w:t>
            </w:r>
          </w:p>
        </w:tc>
        <w:tc>
          <w:tcPr>
            <w:tcW w:w="1169" w:type="dxa"/>
          </w:tcPr>
          <w:p w14:paraId="460716CE"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12.9</w:t>
            </w:r>
          </w:p>
        </w:tc>
        <w:tc>
          <w:tcPr>
            <w:tcW w:w="1169" w:type="dxa"/>
          </w:tcPr>
          <w:p w14:paraId="1902ABD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3.474</w:t>
            </w:r>
          </w:p>
        </w:tc>
        <w:tc>
          <w:tcPr>
            <w:tcW w:w="1169" w:type="dxa"/>
          </w:tcPr>
          <w:p w14:paraId="16860F46"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0.0005</w:t>
            </w:r>
          </w:p>
        </w:tc>
        <w:tc>
          <w:tcPr>
            <w:tcW w:w="1169" w:type="dxa"/>
          </w:tcPr>
          <w:p w14:paraId="3004B99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19.5</w:t>
            </w:r>
          </w:p>
        </w:tc>
        <w:tc>
          <w:tcPr>
            <w:tcW w:w="1169" w:type="dxa"/>
          </w:tcPr>
          <w:p w14:paraId="404F8794"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70.0</w:t>
            </w:r>
          </w:p>
        </w:tc>
      </w:tr>
      <w:tr w:rsidR="00D8269B" w:rsidRPr="00D8269B" w14:paraId="3B8348B9"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7B039BC" w14:textId="77777777" w:rsidR="00D8269B" w:rsidRPr="00D8269B" w:rsidRDefault="00D8269B" w:rsidP="00674F59">
            <w:r w:rsidRPr="00D8269B">
              <w:t>2010</w:t>
            </w:r>
          </w:p>
        </w:tc>
        <w:tc>
          <w:tcPr>
            <w:tcW w:w="1168" w:type="dxa"/>
          </w:tcPr>
          <w:p w14:paraId="5EA398B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w:t>
            </w:r>
          </w:p>
        </w:tc>
        <w:tc>
          <w:tcPr>
            <w:tcW w:w="1169" w:type="dxa"/>
          </w:tcPr>
          <w:p w14:paraId="45279ABF"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47.6</w:t>
            </w:r>
          </w:p>
        </w:tc>
        <w:tc>
          <w:tcPr>
            <w:tcW w:w="1169" w:type="dxa"/>
          </w:tcPr>
          <w:p w14:paraId="1B68768B"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11.3</w:t>
            </w:r>
          </w:p>
        </w:tc>
        <w:tc>
          <w:tcPr>
            <w:tcW w:w="1169" w:type="dxa"/>
          </w:tcPr>
          <w:p w14:paraId="11986E38"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4.217</w:t>
            </w:r>
          </w:p>
        </w:tc>
        <w:tc>
          <w:tcPr>
            <w:tcW w:w="1169" w:type="dxa"/>
          </w:tcPr>
          <w:p w14:paraId="1FC904E8"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7DCDF25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25.5</w:t>
            </w:r>
          </w:p>
        </w:tc>
        <w:tc>
          <w:tcPr>
            <w:tcW w:w="1169" w:type="dxa"/>
          </w:tcPr>
          <w:p w14:paraId="60D737C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69.8</w:t>
            </w:r>
          </w:p>
        </w:tc>
      </w:tr>
      <w:tr w:rsidR="00D8269B" w:rsidRPr="00D8269B" w14:paraId="0B6790A2"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3689B7FA" w14:textId="77777777" w:rsidR="00D8269B" w:rsidRPr="00D8269B" w:rsidRDefault="00D8269B" w:rsidP="00674F59">
            <w:r w:rsidRPr="00D8269B">
              <w:t>2011</w:t>
            </w:r>
          </w:p>
        </w:tc>
        <w:tc>
          <w:tcPr>
            <w:tcW w:w="1168" w:type="dxa"/>
          </w:tcPr>
          <w:p w14:paraId="5C63B255"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16</w:t>
            </w:r>
          </w:p>
        </w:tc>
        <w:tc>
          <w:tcPr>
            <w:tcW w:w="1169" w:type="dxa"/>
          </w:tcPr>
          <w:p w14:paraId="77BD4FC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19.0</w:t>
            </w:r>
          </w:p>
        </w:tc>
        <w:tc>
          <w:tcPr>
            <w:tcW w:w="1169" w:type="dxa"/>
          </w:tcPr>
          <w:p w14:paraId="34AA6A86"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6.3</w:t>
            </w:r>
          </w:p>
        </w:tc>
        <w:tc>
          <w:tcPr>
            <w:tcW w:w="1169" w:type="dxa"/>
          </w:tcPr>
          <w:p w14:paraId="08C5597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3.008</w:t>
            </w:r>
          </w:p>
        </w:tc>
        <w:tc>
          <w:tcPr>
            <w:tcW w:w="1169" w:type="dxa"/>
          </w:tcPr>
          <w:p w14:paraId="160517D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0.0026</w:t>
            </w:r>
          </w:p>
        </w:tc>
        <w:tc>
          <w:tcPr>
            <w:tcW w:w="1169" w:type="dxa"/>
          </w:tcPr>
          <w:p w14:paraId="5C6FAFF9"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6.6</w:t>
            </w:r>
          </w:p>
        </w:tc>
        <w:tc>
          <w:tcPr>
            <w:tcW w:w="1169" w:type="dxa"/>
          </w:tcPr>
          <w:p w14:paraId="43BED7B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31.4</w:t>
            </w:r>
          </w:p>
        </w:tc>
      </w:tr>
      <w:tr w:rsidR="00D8269B" w:rsidRPr="00D8269B" w14:paraId="01146E9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F244CF4" w14:textId="77777777" w:rsidR="00D8269B" w:rsidRPr="00D8269B" w:rsidRDefault="00D8269B" w:rsidP="00674F59">
            <w:r w:rsidRPr="00D8269B">
              <w:t>2012</w:t>
            </w:r>
          </w:p>
        </w:tc>
        <w:tc>
          <w:tcPr>
            <w:tcW w:w="1168" w:type="dxa"/>
          </w:tcPr>
          <w:p w14:paraId="4EA8E5A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17</w:t>
            </w:r>
          </w:p>
        </w:tc>
        <w:tc>
          <w:tcPr>
            <w:tcW w:w="1169" w:type="dxa"/>
          </w:tcPr>
          <w:p w14:paraId="407F670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15.1</w:t>
            </w:r>
          </w:p>
        </w:tc>
        <w:tc>
          <w:tcPr>
            <w:tcW w:w="1169" w:type="dxa"/>
          </w:tcPr>
          <w:p w14:paraId="729F465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4.3</w:t>
            </w:r>
          </w:p>
        </w:tc>
        <w:tc>
          <w:tcPr>
            <w:tcW w:w="1169" w:type="dxa"/>
          </w:tcPr>
          <w:p w14:paraId="635A3B3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3.499</w:t>
            </w:r>
          </w:p>
        </w:tc>
        <w:tc>
          <w:tcPr>
            <w:tcW w:w="1169" w:type="dxa"/>
          </w:tcPr>
          <w:p w14:paraId="179D9AA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0.0005</w:t>
            </w:r>
          </w:p>
        </w:tc>
        <w:tc>
          <w:tcPr>
            <w:tcW w:w="1169" w:type="dxa"/>
          </w:tcPr>
          <w:p w14:paraId="14428F9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6.6</w:t>
            </w:r>
          </w:p>
        </w:tc>
        <w:tc>
          <w:tcPr>
            <w:tcW w:w="1169" w:type="dxa"/>
          </w:tcPr>
          <w:p w14:paraId="588BAA63"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23.6</w:t>
            </w:r>
          </w:p>
        </w:tc>
      </w:tr>
      <w:tr w:rsidR="00D8269B" w:rsidRPr="00D8269B" w14:paraId="270213BC"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07E32313" w14:textId="77777777" w:rsidR="00D8269B" w:rsidRPr="00D8269B" w:rsidRDefault="00D8269B" w:rsidP="00674F59">
            <w:r w:rsidRPr="00D8269B">
              <w:t>2013</w:t>
            </w:r>
          </w:p>
        </w:tc>
        <w:tc>
          <w:tcPr>
            <w:tcW w:w="1168" w:type="dxa"/>
          </w:tcPr>
          <w:p w14:paraId="2FC5345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18</w:t>
            </w:r>
          </w:p>
        </w:tc>
        <w:tc>
          <w:tcPr>
            <w:tcW w:w="1169" w:type="dxa"/>
          </w:tcPr>
          <w:p w14:paraId="3B74F76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25.9</w:t>
            </w:r>
          </w:p>
        </w:tc>
        <w:tc>
          <w:tcPr>
            <w:tcW w:w="1169" w:type="dxa"/>
          </w:tcPr>
          <w:p w14:paraId="1144292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8.2</w:t>
            </w:r>
          </w:p>
        </w:tc>
        <w:tc>
          <w:tcPr>
            <w:tcW w:w="1169" w:type="dxa"/>
          </w:tcPr>
          <w:p w14:paraId="7EEBD9E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3.163</w:t>
            </w:r>
          </w:p>
        </w:tc>
        <w:tc>
          <w:tcPr>
            <w:tcW w:w="1169" w:type="dxa"/>
          </w:tcPr>
          <w:p w14:paraId="3913E5E9"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0.0016</w:t>
            </w:r>
          </w:p>
        </w:tc>
        <w:tc>
          <w:tcPr>
            <w:tcW w:w="1169" w:type="dxa"/>
          </w:tcPr>
          <w:p w14:paraId="4B67F7E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9.8</w:t>
            </w:r>
          </w:p>
        </w:tc>
        <w:tc>
          <w:tcPr>
            <w:tcW w:w="1169" w:type="dxa"/>
          </w:tcPr>
          <w:p w14:paraId="6E9D6394"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41.9</w:t>
            </w:r>
          </w:p>
        </w:tc>
      </w:tr>
      <w:tr w:rsidR="00D8269B" w:rsidRPr="00D8269B" w14:paraId="69A8D25F"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5BBED97" w14:textId="77777777" w:rsidR="00D8269B" w:rsidRPr="00D8269B" w:rsidRDefault="00D8269B" w:rsidP="00674F59">
            <w:r w:rsidRPr="00D8269B">
              <w:t>2014</w:t>
            </w:r>
          </w:p>
        </w:tc>
        <w:tc>
          <w:tcPr>
            <w:tcW w:w="1168" w:type="dxa"/>
          </w:tcPr>
          <w:p w14:paraId="6596689C"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19</w:t>
            </w:r>
          </w:p>
        </w:tc>
        <w:tc>
          <w:tcPr>
            <w:tcW w:w="1169" w:type="dxa"/>
          </w:tcPr>
          <w:p w14:paraId="56380FB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43.5</w:t>
            </w:r>
          </w:p>
        </w:tc>
        <w:tc>
          <w:tcPr>
            <w:tcW w:w="1169" w:type="dxa"/>
          </w:tcPr>
          <w:p w14:paraId="3FBF168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10.8</w:t>
            </w:r>
          </w:p>
        </w:tc>
        <w:tc>
          <w:tcPr>
            <w:tcW w:w="1169" w:type="dxa"/>
          </w:tcPr>
          <w:p w14:paraId="20CF097D"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4.013</w:t>
            </w:r>
          </w:p>
        </w:tc>
        <w:tc>
          <w:tcPr>
            <w:tcW w:w="1169" w:type="dxa"/>
          </w:tcPr>
          <w:p w14:paraId="41ABC3D9"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0.0001</w:t>
            </w:r>
          </w:p>
        </w:tc>
        <w:tc>
          <w:tcPr>
            <w:tcW w:w="1169" w:type="dxa"/>
          </w:tcPr>
          <w:p w14:paraId="7585219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22.2</w:t>
            </w:r>
          </w:p>
        </w:tc>
        <w:tc>
          <w:tcPr>
            <w:tcW w:w="1169" w:type="dxa"/>
          </w:tcPr>
          <w:p w14:paraId="0F667BD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64.7</w:t>
            </w:r>
          </w:p>
        </w:tc>
      </w:tr>
      <w:tr w:rsidR="00D8269B" w:rsidRPr="00D8269B" w14:paraId="62FE7B06"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0C9B715D" w14:textId="77777777" w:rsidR="00D8269B" w:rsidRPr="00D8269B" w:rsidRDefault="00D8269B" w:rsidP="00674F59">
            <w:r w:rsidRPr="00D8269B">
              <w:t>2015</w:t>
            </w:r>
          </w:p>
        </w:tc>
        <w:tc>
          <w:tcPr>
            <w:tcW w:w="1168" w:type="dxa"/>
          </w:tcPr>
          <w:p w14:paraId="4258B10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20</w:t>
            </w:r>
          </w:p>
        </w:tc>
        <w:tc>
          <w:tcPr>
            <w:tcW w:w="1169" w:type="dxa"/>
          </w:tcPr>
          <w:p w14:paraId="5F8B8AB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66.8</w:t>
            </w:r>
          </w:p>
        </w:tc>
        <w:tc>
          <w:tcPr>
            <w:tcW w:w="1169" w:type="dxa"/>
          </w:tcPr>
          <w:p w14:paraId="07558B64"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10.6</w:t>
            </w:r>
          </w:p>
        </w:tc>
        <w:tc>
          <w:tcPr>
            <w:tcW w:w="1169" w:type="dxa"/>
          </w:tcPr>
          <w:p w14:paraId="77D126E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6.304</w:t>
            </w:r>
          </w:p>
        </w:tc>
        <w:tc>
          <w:tcPr>
            <w:tcW w:w="1169" w:type="dxa"/>
          </w:tcPr>
          <w:p w14:paraId="2DCF941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0F70F42D"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46.0</w:t>
            </w:r>
          </w:p>
        </w:tc>
        <w:tc>
          <w:tcPr>
            <w:tcW w:w="1169" w:type="dxa"/>
          </w:tcPr>
          <w:p w14:paraId="7B54103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87.6</w:t>
            </w:r>
          </w:p>
        </w:tc>
      </w:tr>
      <w:tr w:rsidR="00D8269B" w:rsidRPr="00D8269B" w14:paraId="1B0413F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7C270D1" w14:textId="77777777" w:rsidR="00D8269B" w:rsidRPr="00D8269B" w:rsidRDefault="00D8269B" w:rsidP="00674F59">
            <w:r w:rsidRPr="00D8269B">
              <w:t>2016</w:t>
            </w:r>
          </w:p>
        </w:tc>
        <w:tc>
          <w:tcPr>
            <w:tcW w:w="1168" w:type="dxa"/>
          </w:tcPr>
          <w:p w14:paraId="596EE16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21</w:t>
            </w:r>
          </w:p>
        </w:tc>
        <w:tc>
          <w:tcPr>
            <w:tcW w:w="1169" w:type="dxa"/>
          </w:tcPr>
          <w:p w14:paraId="0DC9562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51.8</w:t>
            </w:r>
          </w:p>
        </w:tc>
        <w:tc>
          <w:tcPr>
            <w:tcW w:w="1169" w:type="dxa"/>
          </w:tcPr>
          <w:p w14:paraId="7FFBD39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11.7</w:t>
            </w:r>
          </w:p>
        </w:tc>
        <w:tc>
          <w:tcPr>
            <w:tcW w:w="1169" w:type="dxa"/>
          </w:tcPr>
          <w:p w14:paraId="7AF025A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4.412</w:t>
            </w:r>
          </w:p>
        </w:tc>
        <w:tc>
          <w:tcPr>
            <w:tcW w:w="1169" w:type="dxa"/>
          </w:tcPr>
          <w:p w14:paraId="69E0AE7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6B91D36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28.8</w:t>
            </w:r>
          </w:p>
        </w:tc>
        <w:tc>
          <w:tcPr>
            <w:tcW w:w="1169" w:type="dxa"/>
          </w:tcPr>
          <w:p w14:paraId="546753BB"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74.8</w:t>
            </w:r>
          </w:p>
        </w:tc>
      </w:tr>
      <w:tr w:rsidR="00D8269B" w:rsidRPr="00D8269B" w14:paraId="4D8310CA"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067E94D8" w14:textId="77777777" w:rsidR="00D8269B" w:rsidRPr="00D8269B" w:rsidRDefault="00D8269B" w:rsidP="00674F59">
            <w:r w:rsidRPr="00D8269B">
              <w:t>2017</w:t>
            </w:r>
          </w:p>
        </w:tc>
        <w:tc>
          <w:tcPr>
            <w:tcW w:w="1168" w:type="dxa"/>
          </w:tcPr>
          <w:p w14:paraId="4120D91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22</w:t>
            </w:r>
          </w:p>
        </w:tc>
        <w:tc>
          <w:tcPr>
            <w:tcW w:w="1169" w:type="dxa"/>
          </w:tcPr>
          <w:p w14:paraId="24353128"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13.1</w:t>
            </w:r>
          </w:p>
        </w:tc>
        <w:tc>
          <w:tcPr>
            <w:tcW w:w="1169" w:type="dxa"/>
          </w:tcPr>
          <w:p w14:paraId="27AB914B"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4.1</w:t>
            </w:r>
          </w:p>
        </w:tc>
        <w:tc>
          <w:tcPr>
            <w:tcW w:w="1169" w:type="dxa"/>
          </w:tcPr>
          <w:p w14:paraId="7BF1A1D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3.229</w:t>
            </w:r>
          </w:p>
        </w:tc>
        <w:tc>
          <w:tcPr>
            <w:tcW w:w="1169" w:type="dxa"/>
          </w:tcPr>
          <w:p w14:paraId="7FDAACC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0.0012</w:t>
            </w:r>
          </w:p>
        </w:tc>
        <w:tc>
          <w:tcPr>
            <w:tcW w:w="1169" w:type="dxa"/>
          </w:tcPr>
          <w:p w14:paraId="0322B83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5.2</w:t>
            </w:r>
          </w:p>
        </w:tc>
        <w:tc>
          <w:tcPr>
            <w:tcW w:w="1169" w:type="dxa"/>
          </w:tcPr>
          <w:p w14:paraId="6600F34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21.1</w:t>
            </w:r>
          </w:p>
        </w:tc>
      </w:tr>
      <w:tr w:rsidR="00D8269B" w:rsidRPr="00D8269B" w14:paraId="40D1839C"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828063A" w14:textId="77777777" w:rsidR="00D8269B" w:rsidRPr="00D8269B" w:rsidRDefault="00D8269B" w:rsidP="00674F59">
            <w:r w:rsidRPr="00D8269B">
              <w:t>2018</w:t>
            </w:r>
          </w:p>
        </w:tc>
        <w:tc>
          <w:tcPr>
            <w:tcW w:w="1168" w:type="dxa"/>
          </w:tcPr>
          <w:p w14:paraId="7283A7AC"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23</w:t>
            </w:r>
          </w:p>
        </w:tc>
        <w:tc>
          <w:tcPr>
            <w:tcW w:w="1169" w:type="dxa"/>
          </w:tcPr>
          <w:p w14:paraId="3FC4721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42.8</w:t>
            </w:r>
          </w:p>
        </w:tc>
        <w:tc>
          <w:tcPr>
            <w:tcW w:w="1169" w:type="dxa"/>
          </w:tcPr>
          <w:p w14:paraId="6E589DF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18.6</w:t>
            </w:r>
          </w:p>
        </w:tc>
        <w:tc>
          <w:tcPr>
            <w:tcW w:w="1169" w:type="dxa"/>
          </w:tcPr>
          <w:p w14:paraId="58B0D183"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2.295</w:t>
            </w:r>
          </w:p>
        </w:tc>
        <w:tc>
          <w:tcPr>
            <w:tcW w:w="1169" w:type="dxa"/>
          </w:tcPr>
          <w:p w14:paraId="1262853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0.0217</w:t>
            </w:r>
          </w:p>
        </w:tc>
        <w:tc>
          <w:tcPr>
            <w:tcW w:w="1169" w:type="dxa"/>
          </w:tcPr>
          <w:p w14:paraId="689CE3F8"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6.2</w:t>
            </w:r>
          </w:p>
        </w:tc>
        <w:tc>
          <w:tcPr>
            <w:tcW w:w="1169" w:type="dxa"/>
          </w:tcPr>
          <w:p w14:paraId="65E2974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79.3</w:t>
            </w:r>
          </w:p>
        </w:tc>
      </w:tr>
      <w:tr w:rsidR="00D8269B" w:rsidRPr="00D8269B" w14:paraId="59F2002F"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40B2E032" w14:textId="77777777" w:rsidR="00D8269B" w:rsidRPr="00D8269B" w:rsidRDefault="00D8269B" w:rsidP="00674F59">
            <w:r w:rsidRPr="00D8269B">
              <w:t>2019</w:t>
            </w:r>
          </w:p>
        </w:tc>
        <w:tc>
          <w:tcPr>
            <w:tcW w:w="1168" w:type="dxa"/>
          </w:tcPr>
          <w:p w14:paraId="294FC6E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24</w:t>
            </w:r>
          </w:p>
        </w:tc>
        <w:tc>
          <w:tcPr>
            <w:tcW w:w="1169" w:type="dxa"/>
          </w:tcPr>
          <w:p w14:paraId="748ED64C"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56.4</w:t>
            </w:r>
          </w:p>
        </w:tc>
        <w:tc>
          <w:tcPr>
            <w:tcW w:w="1169" w:type="dxa"/>
          </w:tcPr>
          <w:p w14:paraId="26C012E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15.6</w:t>
            </w:r>
          </w:p>
        </w:tc>
        <w:tc>
          <w:tcPr>
            <w:tcW w:w="1169" w:type="dxa"/>
          </w:tcPr>
          <w:p w14:paraId="31A1F3F9"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3.613</w:t>
            </w:r>
          </w:p>
        </w:tc>
        <w:tc>
          <w:tcPr>
            <w:tcW w:w="1169" w:type="dxa"/>
          </w:tcPr>
          <w:p w14:paraId="2D1958F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0.0003</w:t>
            </w:r>
          </w:p>
        </w:tc>
        <w:tc>
          <w:tcPr>
            <w:tcW w:w="1169" w:type="dxa"/>
          </w:tcPr>
          <w:p w14:paraId="40760C5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25.8</w:t>
            </w:r>
          </w:p>
        </w:tc>
        <w:tc>
          <w:tcPr>
            <w:tcW w:w="1169" w:type="dxa"/>
          </w:tcPr>
          <w:p w14:paraId="0BC32F15"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87.0</w:t>
            </w:r>
          </w:p>
        </w:tc>
      </w:tr>
      <w:tr w:rsidR="00D8269B" w:rsidRPr="00D8269B" w14:paraId="78D0BF90"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3FDF6D2" w14:textId="77777777" w:rsidR="00D8269B" w:rsidRPr="00D8269B" w:rsidRDefault="00D8269B" w:rsidP="00674F59">
            <w:r w:rsidRPr="00D8269B">
              <w:lastRenderedPageBreak/>
              <w:t>2020</w:t>
            </w:r>
          </w:p>
        </w:tc>
        <w:tc>
          <w:tcPr>
            <w:tcW w:w="1168" w:type="dxa"/>
          </w:tcPr>
          <w:p w14:paraId="30F2B7C6"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25</w:t>
            </w:r>
          </w:p>
        </w:tc>
        <w:tc>
          <w:tcPr>
            <w:tcW w:w="1169" w:type="dxa"/>
          </w:tcPr>
          <w:p w14:paraId="6A80E677"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18.3</w:t>
            </w:r>
          </w:p>
        </w:tc>
        <w:tc>
          <w:tcPr>
            <w:tcW w:w="1169" w:type="dxa"/>
          </w:tcPr>
          <w:p w14:paraId="6E1664A1"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9.7</w:t>
            </w:r>
          </w:p>
        </w:tc>
        <w:tc>
          <w:tcPr>
            <w:tcW w:w="1169" w:type="dxa"/>
          </w:tcPr>
          <w:p w14:paraId="6C1F68ED"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1.886</w:t>
            </w:r>
          </w:p>
        </w:tc>
        <w:tc>
          <w:tcPr>
            <w:tcW w:w="1169" w:type="dxa"/>
          </w:tcPr>
          <w:p w14:paraId="0C09306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0.0594</w:t>
            </w:r>
          </w:p>
        </w:tc>
        <w:tc>
          <w:tcPr>
            <w:tcW w:w="1169" w:type="dxa"/>
          </w:tcPr>
          <w:p w14:paraId="5793A7D4"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-0.7</w:t>
            </w:r>
          </w:p>
        </w:tc>
        <w:tc>
          <w:tcPr>
            <w:tcW w:w="1169" w:type="dxa"/>
          </w:tcPr>
          <w:p w14:paraId="569A4EE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37.3</w:t>
            </w:r>
          </w:p>
        </w:tc>
      </w:tr>
      <w:tr w:rsidR="00D8269B" w:rsidRPr="00D8269B" w14:paraId="7A938239"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7B51EF7F" w14:textId="77777777" w:rsidR="00D8269B" w:rsidRPr="00D8269B" w:rsidRDefault="00D8269B" w:rsidP="00674F59">
            <w:r w:rsidRPr="00D8269B">
              <w:t>2021</w:t>
            </w:r>
          </w:p>
        </w:tc>
        <w:tc>
          <w:tcPr>
            <w:tcW w:w="1168" w:type="dxa"/>
          </w:tcPr>
          <w:p w14:paraId="115DC27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26</w:t>
            </w:r>
          </w:p>
        </w:tc>
        <w:tc>
          <w:tcPr>
            <w:tcW w:w="1169" w:type="dxa"/>
          </w:tcPr>
          <w:p w14:paraId="54FA154A"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16.9</w:t>
            </w:r>
          </w:p>
        </w:tc>
        <w:tc>
          <w:tcPr>
            <w:tcW w:w="1169" w:type="dxa"/>
          </w:tcPr>
          <w:p w14:paraId="190F8B5B"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7.7</w:t>
            </w:r>
          </w:p>
        </w:tc>
        <w:tc>
          <w:tcPr>
            <w:tcW w:w="1169" w:type="dxa"/>
          </w:tcPr>
          <w:p w14:paraId="0461E2E0"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2.206</w:t>
            </w:r>
          </w:p>
        </w:tc>
        <w:tc>
          <w:tcPr>
            <w:tcW w:w="1169" w:type="dxa"/>
          </w:tcPr>
          <w:p w14:paraId="3A49636C"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0.0274</w:t>
            </w:r>
          </w:p>
        </w:tc>
        <w:tc>
          <w:tcPr>
            <w:tcW w:w="1169" w:type="dxa"/>
          </w:tcPr>
          <w:p w14:paraId="2C77FAFB"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1.9</w:t>
            </w:r>
          </w:p>
        </w:tc>
        <w:tc>
          <w:tcPr>
            <w:tcW w:w="1169" w:type="dxa"/>
          </w:tcPr>
          <w:p w14:paraId="11E4335F"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31.9</w:t>
            </w:r>
          </w:p>
        </w:tc>
      </w:tr>
      <w:tr w:rsidR="00D8269B" w:rsidRPr="00D8269B" w14:paraId="492E80FC"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07F7C630" w14:textId="77777777" w:rsidR="00D8269B" w:rsidRPr="00D8269B" w:rsidRDefault="00D8269B" w:rsidP="00674F59">
            <w:r w:rsidRPr="00D8269B">
              <w:t>2022</w:t>
            </w:r>
          </w:p>
        </w:tc>
        <w:tc>
          <w:tcPr>
            <w:tcW w:w="1168" w:type="dxa"/>
          </w:tcPr>
          <w:p w14:paraId="477ACE1E"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27</w:t>
            </w:r>
          </w:p>
        </w:tc>
        <w:tc>
          <w:tcPr>
            <w:tcW w:w="1169" w:type="dxa"/>
          </w:tcPr>
          <w:p w14:paraId="4D4234F5"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15.7</w:t>
            </w:r>
          </w:p>
        </w:tc>
        <w:tc>
          <w:tcPr>
            <w:tcW w:w="1169" w:type="dxa"/>
          </w:tcPr>
          <w:p w14:paraId="7FF66F98"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7.6</w:t>
            </w:r>
          </w:p>
        </w:tc>
        <w:tc>
          <w:tcPr>
            <w:tcW w:w="1169" w:type="dxa"/>
          </w:tcPr>
          <w:p w14:paraId="2C241D32"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2.072</w:t>
            </w:r>
          </w:p>
        </w:tc>
        <w:tc>
          <w:tcPr>
            <w:tcW w:w="1169" w:type="dxa"/>
          </w:tcPr>
          <w:p w14:paraId="0080CE2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0.0383</w:t>
            </w:r>
          </w:p>
        </w:tc>
        <w:tc>
          <w:tcPr>
            <w:tcW w:w="1169" w:type="dxa"/>
          </w:tcPr>
          <w:p w14:paraId="687055A0"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0.8</w:t>
            </w:r>
          </w:p>
        </w:tc>
        <w:tc>
          <w:tcPr>
            <w:tcW w:w="1169" w:type="dxa"/>
          </w:tcPr>
          <w:p w14:paraId="3891B737" w14:textId="77777777" w:rsidR="00D8269B" w:rsidRPr="00D8269B" w:rsidRDefault="00D8269B" w:rsidP="00674F59">
            <w:pPr>
              <w:cnfStyle w:val="000000100000" w:firstRow="0" w:lastRow="0" w:firstColumn="0" w:lastColumn="0" w:oddVBand="0" w:evenVBand="0" w:oddHBand="1" w:evenHBand="0" w:firstRowFirstColumn="0" w:firstRowLastColumn="0" w:lastRowFirstColumn="0" w:lastRowLastColumn="0"/>
            </w:pPr>
            <w:r w:rsidRPr="00D8269B">
              <w:t>30.6</w:t>
            </w:r>
          </w:p>
        </w:tc>
      </w:tr>
      <w:tr w:rsidR="00D8269B" w:rsidRPr="00D8269B" w14:paraId="6FD7736F"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181732BE" w14:textId="77777777" w:rsidR="00D8269B" w:rsidRPr="00D8269B" w:rsidRDefault="00D8269B" w:rsidP="00674F59">
            <w:r w:rsidRPr="00D8269B">
              <w:t>2023</w:t>
            </w:r>
          </w:p>
        </w:tc>
        <w:tc>
          <w:tcPr>
            <w:tcW w:w="1168" w:type="dxa"/>
          </w:tcPr>
          <w:p w14:paraId="4D026BC7"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28</w:t>
            </w:r>
          </w:p>
        </w:tc>
        <w:tc>
          <w:tcPr>
            <w:tcW w:w="1169" w:type="dxa"/>
          </w:tcPr>
          <w:p w14:paraId="70ED997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3.0</w:t>
            </w:r>
          </w:p>
        </w:tc>
        <w:tc>
          <w:tcPr>
            <w:tcW w:w="1169" w:type="dxa"/>
          </w:tcPr>
          <w:p w14:paraId="6624705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6.1</w:t>
            </w:r>
          </w:p>
        </w:tc>
        <w:tc>
          <w:tcPr>
            <w:tcW w:w="1169" w:type="dxa"/>
          </w:tcPr>
          <w:p w14:paraId="1EF5E5C3"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0.482</w:t>
            </w:r>
          </w:p>
        </w:tc>
        <w:tc>
          <w:tcPr>
            <w:tcW w:w="1169" w:type="dxa"/>
          </w:tcPr>
          <w:p w14:paraId="5A7C39DD"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0.6297</w:t>
            </w:r>
          </w:p>
        </w:tc>
        <w:tc>
          <w:tcPr>
            <w:tcW w:w="1169" w:type="dxa"/>
          </w:tcPr>
          <w:p w14:paraId="6AC4ACD2"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-9.1</w:t>
            </w:r>
          </w:p>
        </w:tc>
        <w:tc>
          <w:tcPr>
            <w:tcW w:w="1169" w:type="dxa"/>
          </w:tcPr>
          <w:p w14:paraId="1626F6D1" w14:textId="77777777" w:rsidR="00D8269B" w:rsidRPr="00D8269B" w:rsidRDefault="00D8269B" w:rsidP="00674F59">
            <w:pPr>
              <w:cnfStyle w:val="000000000000" w:firstRow="0" w:lastRow="0" w:firstColumn="0" w:lastColumn="0" w:oddVBand="0" w:evenVBand="0" w:oddHBand="0" w:evenHBand="0" w:firstRowFirstColumn="0" w:firstRowLastColumn="0" w:lastRowFirstColumn="0" w:lastRowLastColumn="0"/>
            </w:pPr>
            <w:r w:rsidRPr="00D8269B">
              <w:t>15.0</w:t>
            </w:r>
          </w:p>
        </w:tc>
      </w:tr>
    </w:tbl>
    <w:p w14:paraId="6328F449" w14:textId="77777777" w:rsidR="0051314E" w:rsidRDefault="0051314E" w:rsidP="00DC40BB">
      <w:pPr>
        <w:pStyle w:val="AppendixSubheading"/>
        <w:numPr>
          <w:ilvl w:val="0"/>
          <w:numId w:val="0"/>
        </w:numPr>
        <w:ind w:left="360"/>
      </w:pPr>
    </w:p>
    <w:p w14:paraId="425537BB" w14:textId="2EFAB61B" w:rsidR="009C1DA9" w:rsidRDefault="00CD66CB" w:rsidP="00DC40BB">
      <w:pPr>
        <w:pStyle w:val="AppendixSubheading"/>
      </w:pPr>
      <w:r>
        <w:t xml:space="preserve">Coal Premium </w:t>
      </w:r>
      <w:r w:rsidR="009C1DA9">
        <w:t>Difference in Differences</w:t>
      </w:r>
      <w:bookmarkEnd w:id="30"/>
    </w:p>
    <w:p w14:paraId="0D72C7F2" w14:textId="32A7203C" w:rsidR="00282CAE" w:rsidRDefault="00282CAE" w:rsidP="0051314E">
      <w:pPr>
        <w:spacing w:after="0" w:line="480" w:lineRule="auto"/>
        <w:ind w:firstLine="720"/>
      </w:pPr>
      <w:r>
        <w:fldChar w:fldCharType="begin"/>
      </w:r>
      <w:r>
        <w:instrText xml:space="preserve"> REF _Ref209093987 \h </w:instrText>
      </w:r>
      <w:r w:rsidR="0051314E">
        <w:instrText xml:space="preserve"> \* MERGEFORMAT </w:instrText>
      </w:r>
      <w:r>
        <w:fldChar w:fldCharType="separate"/>
      </w:r>
      <w:r w:rsidR="00CD17CC">
        <w:t xml:space="preserve">Figure </w:t>
      </w:r>
      <w:r w:rsidR="00CD17CC">
        <w:rPr>
          <w:noProof/>
        </w:rPr>
        <w:t>11</w:t>
      </w:r>
      <w:r>
        <w:fldChar w:fldCharType="end"/>
      </w:r>
      <w:r>
        <w:t xml:space="preserve"> plots the average capital balance over time for coal plants as well as a series of a weighted-average capital balance for gas and nuclear plants. It shows that coal plants’ nominal capital accounts, on a per MW basis, increased from $0.47 million in 1995 to $1.25 million in 2023, whereas the weighted average of gas and nuclear capital accounts increased from $0.64 million to $0.92 million. The difference in differences between these two series over the period is $0.5 million per MW, which</w:t>
      </w:r>
      <w:r w:rsidR="00333762">
        <w:t xml:space="preserve">, after multiplying $0.5 million per MW by average of total coal capacity across the sample period (281 GW), </w:t>
      </w:r>
      <w:r>
        <w:t>translates to $141 billion ($15.6 billion per year) of additional nominal capital spend on coal plants in the sample relative to the other three technologies on average from 1995-2023.</w:t>
      </w:r>
    </w:p>
    <w:p w14:paraId="076D459E" w14:textId="77777777" w:rsidR="00282CAE" w:rsidRDefault="00282CAE" w:rsidP="00282CAE">
      <w:pPr>
        <w:keepNext/>
      </w:pPr>
      <w:r>
        <w:rPr>
          <w:noProof/>
        </w:rPr>
        <w:drawing>
          <wp:inline distT="0" distB="0" distL="0" distR="0" wp14:anchorId="57114AB0" wp14:editId="4D6B2046">
            <wp:extent cx="5926455" cy="2480945"/>
            <wp:effectExtent l="0" t="0" r="0" b="0"/>
            <wp:docPr id="151504888" name="Picture 14"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888" name="Picture 14" descr="Chart, line char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6455" cy="2480945"/>
                    </a:xfrm>
                    <a:prstGeom prst="rect">
                      <a:avLst/>
                    </a:prstGeom>
                    <a:noFill/>
                    <a:ln>
                      <a:noFill/>
                    </a:ln>
                  </pic:spPr>
                </pic:pic>
              </a:graphicData>
            </a:graphic>
          </wp:inline>
        </w:drawing>
      </w:r>
    </w:p>
    <w:p w14:paraId="06146271" w14:textId="40B2F1FC" w:rsidR="00282CAE" w:rsidRDefault="00282CAE" w:rsidP="006300E4">
      <w:pPr>
        <w:pStyle w:val="Caption"/>
      </w:pPr>
      <w:bookmarkStart w:id="31" w:name="_Ref209093987"/>
      <w:bookmarkStart w:id="32" w:name="_Ref209093984"/>
      <w:r>
        <w:t xml:space="preserve">Figure </w:t>
      </w:r>
      <w:r w:rsidR="00BF3A2E">
        <w:fldChar w:fldCharType="begin"/>
      </w:r>
      <w:r w:rsidR="00BF3A2E">
        <w:instrText xml:space="preserve"> SEQ Figure \* ARABIC </w:instrText>
      </w:r>
      <w:r w:rsidR="00BF3A2E">
        <w:fldChar w:fldCharType="separate"/>
      </w:r>
      <w:r w:rsidR="00CD17CC">
        <w:rPr>
          <w:noProof/>
        </w:rPr>
        <w:t>11</w:t>
      </w:r>
      <w:r w:rsidR="00BF3A2E">
        <w:rPr>
          <w:noProof/>
        </w:rPr>
        <w:fldChar w:fldCharType="end"/>
      </w:r>
      <w:bookmarkEnd w:id="31"/>
      <w:r>
        <w:t xml:space="preserve"> Average capital account balances for coal plants and a weighted average of natural gas combined cycle, combustion turbine, and nuclear plants.</w:t>
      </w:r>
      <w:bookmarkEnd w:id="32"/>
    </w:p>
    <w:p w14:paraId="0965642D" w14:textId="20FD9E68" w:rsidR="00282CAE" w:rsidRDefault="00CD66CB" w:rsidP="00DC40BB">
      <w:pPr>
        <w:pStyle w:val="AppendixSubheading"/>
      </w:pPr>
      <w:bookmarkStart w:id="33" w:name="_Ref214025712"/>
      <w:r>
        <w:lastRenderedPageBreak/>
        <w:t>Econometric Control Sample Robustness Checks</w:t>
      </w:r>
      <w:bookmarkEnd w:id="33"/>
    </w:p>
    <w:p w14:paraId="32F96F19" w14:textId="06472AF6" w:rsidR="00CD66CB" w:rsidRDefault="00CD66CB" w:rsidP="0051314E">
      <w:pPr>
        <w:spacing w:after="0" w:line="480" w:lineRule="auto"/>
        <w:ind w:firstLine="720"/>
      </w:pPr>
      <w:r>
        <w:t xml:space="preserve">Two alternative </w:t>
      </w:r>
      <w:r w:rsidR="002D1548">
        <w:t>models</w:t>
      </w:r>
      <w:r>
        <w:t xml:space="preserve"> were estimated that restricted the control group to specific technology types, to test whether the coal investment premium patterns depend on the composition of the comparison group. The first robustness check  </w:t>
      </w:r>
      <w:r w:rsidR="00104022">
        <w:t>restricted the control group to natural gas plants (including 7087 observations across 380 plants), while the second used only nuclear plants (3422 observations across 164 plants).</w:t>
      </w:r>
    </w:p>
    <w:p w14:paraId="4DB2D124" w14:textId="058DA36F" w:rsidR="002E70C6" w:rsidRDefault="002D1548" w:rsidP="0051314E">
      <w:pPr>
        <w:keepNext/>
        <w:spacing w:after="0" w:line="480" w:lineRule="auto"/>
        <w:ind w:firstLine="720"/>
      </w:pPr>
      <w:r>
        <w:t>The results</w:t>
      </w:r>
      <w:r w:rsidR="002E70C6">
        <w:t xml:space="preserve"> for each control group specification</w:t>
      </w:r>
      <w:r>
        <w:t xml:space="preserve">, displayed in </w:t>
      </w:r>
      <w:r w:rsidR="002E70C6">
        <w:fldChar w:fldCharType="begin"/>
      </w:r>
      <w:r w:rsidR="002E70C6">
        <w:instrText xml:space="preserve"> REF _Ref213925975 \h </w:instrText>
      </w:r>
      <w:r w:rsidR="0051314E">
        <w:instrText xml:space="preserve"> \* MERGEFORMAT </w:instrText>
      </w:r>
      <w:r w:rsidR="002E70C6">
        <w:fldChar w:fldCharType="separate"/>
      </w:r>
      <w:r w:rsidR="00CD17CC">
        <w:t xml:space="preserve">Figure </w:t>
      </w:r>
      <w:r w:rsidR="00CD17CC">
        <w:rPr>
          <w:noProof/>
        </w:rPr>
        <w:t>12</w:t>
      </w:r>
      <w:r w:rsidR="002E70C6">
        <w:fldChar w:fldCharType="end"/>
      </w:r>
      <w:r w:rsidR="002E70C6">
        <w:t xml:space="preserve"> and </w:t>
      </w:r>
      <w:r w:rsidR="002E70C6">
        <w:fldChar w:fldCharType="begin"/>
      </w:r>
      <w:r w:rsidR="002E70C6">
        <w:instrText xml:space="preserve"> REF _Ref213925978 \h </w:instrText>
      </w:r>
      <w:r w:rsidR="0051314E">
        <w:instrText xml:space="preserve"> \* MERGEFORMAT </w:instrText>
      </w:r>
      <w:r w:rsidR="002E70C6">
        <w:fldChar w:fldCharType="separate"/>
      </w:r>
      <w:r w:rsidR="00CD17CC">
        <w:t xml:space="preserve">Figure </w:t>
      </w:r>
      <w:r w:rsidR="00CD17CC">
        <w:rPr>
          <w:noProof/>
        </w:rPr>
        <w:t>13</w:t>
      </w:r>
      <w:r w:rsidR="002E70C6">
        <w:fldChar w:fldCharType="end"/>
      </w:r>
      <w:r w:rsidR="002E70C6">
        <w:t>, appear nearly identical to the main model’s results. As already reported, the cumulative coal investment premium for the average coal plant from 2007-2019 in the main model  results was $489.2 million. The corresponding cumulative premium for the natural gas control group specification is $484.9 million, and for the nuclear control group it is 491.6 million.</w:t>
      </w:r>
      <w:r w:rsidR="00757131">
        <w:t xml:space="preserve"> Because each robustness specification restricts the comparison group to a single fuel type, the number of observations decrease relative to the main model, from 7,668 observations to 7,087 for the natural-gas-only sample and 3,422 for the nuclear-only sample. </w:t>
      </w:r>
    </w:p>
    <w:p w14:paraId="0DD3D454" w14:textId="784B659D" w:rsidR="002E70C6" w:rsidRDefault="002E70C6" w:rsidP="0051314E">
      <w:pPr>
        <w:keepNext/>
        <w:spacing w:after="0" w:line="480" w:lineRule="auto"/>
        <w:ind w:firstLine="720"/>
      </w:pPr>
      <w:r>
        <w:t xml:space="preserve">The consistency in results across different control groups suggests that both gas and nuclear plants followed similar underlying investment trends relative to the coal plants. Any </w:t>
      </w:r>
      <w:proofErr w:type="spellStart"/>
      <w:r>
        <w:t>macro economic</w:t>
      </w:r>
      <w:proofErr w:type="spellEnd"/>
      <w:r>
        <w:t xml:space="preserve"> and industry wide factors a well-captured by year-specific indicator variables, </w:t>
      </w:r>
      <w:r>
        <w:lastRenderedPageBreak/>
        <w:t>and there is not a systematic difference in how gas vs. nuclear plants responded to these general market conditions across the sample period.</w:t>
      </w:r>
    </w:p>
    <w:p w14:paraId="16CEEAB8" w14:textId="2DA0D338" w:rsidR="002E70C6" w:rsidRDefault="002D1548" w:rsidP="002E70C6">
      <w:pPr>
        <w:keepNext/>
      </w:pPr>
      <w:r>
        <w:rPr>
          <w:noProof/>
        </w:rPr>
        <w:drawing>
          <wp:inline distT="0" distB="0" distL="0" distR="0" wp14:anchorId="407662C8" wp14:editId="4D0D36B9">
            <wp:extent cx="5852160" cy="3323727"/>
            <wp:effectExtent l="0" t="0" r="0" b="0"/>
            <wp:docPr id="8053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2519" cy="3323931"/>
                    </a:xfrm>
                    <a:prstGeom prst="rect">
                      <a:avLst/>
                    </a:prstGeom>
                    <a:noFill/>
                    <a:ln>
                      <a:noFill/>
                    </a:ln>
                  </pic:spPr>
                </pic:pic>
              </a:graphicData>
            </a:graphic>
          </wp:inline>
        </w:drawing>
      </w:r>
    </w:p>
    <w:p w14:paraId="1B0F4F24" w14:textId="286E2814" w:rsidR="002E70C6" w:rsidRDefault="002E70C6" w:rsidP="006300E4">
      <w:pPr>
        <w:pStyle w:val="Caption"/>
      </w:pPr>
      <w:bookmarkStart w:id="34" w:name="_Ref213925975"/>
      <w:r>
        <w:t xml:space="preserve">Figure </w:t>
      </w:r>
      <w:r w:rsidR="00BF3A2E">
        <w:fldChar w:fldCharType="begin"/>
      </w:r>
      <w:r w:rsidR="00BF3A2E">
        <w:instrText xml:space="preserve"> SEQ Figure \* ARABIC </w:instrText>
      </w:r>
      <w:r w:rsidR="00BF3A2E">
        <w:fldChar w:fldCharType="separate"/>
      </w:r>
      <w:r w:rsidR="00CD17CC">
        <w:rPr>
          <w:noProof/>
        </w:rPr>
        <w:t>12</w:t>
      </w:r>
      <w:r w:rsidR="00BF3A2E">
        <w:rPr>
          <w:noProof/>
        </w:rPr>
        <w:fldChar w:fldCharType="end"/>
      </w:r>
      <w:bookmarkEnd w:id="34"/>
      <w:r w:rsidR="000A4B10">
        <w:t xml:space="preserve"> Annual coal plant investment premium from event study model that restricted the control group to natural gas plants.</w:t>
      </w:r>
    </w:p>
    <w:p w14:paraId="6004D597" w14:textId="77777777" w:rsidR="002E70C6" w:rsidRDefault="002D1548" w:rsidP="002E70C6">
      <w:pPr>
        <w:keepNext/>
      </w:pPr>
      <w:r>
        <w:rPr>
          <w:noProof/>
        </w:rPr>
        <w:lastRenderedPageBreak/>
        <w:drawing>
          <wp:inline distT="0" distB="0" distL="0" distR="0" wp14:anchorId="161D9954" wp14:editId="2DD4855E">
            <wp:extent cx="5943600" cy="3375660"/>
            <wp:effectExtent l="0" t="0" r="0" b="0"/>
            <wp:docPr id="119363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7C00C7EB" w14:textId="6E94BC9E" w:rsidR="002D1548" w:rsidRDefault="002E70C6" w:rsidP="006300E4">
      <w:pPr>
        <w:pStyle w:val="Caption"/>
      </w:pPr>
      <w:bookmarkStart w:id="35" w:name="_Ref213925978"/>
      <w:r>
        <w:t xml:space="preserve">Figure </w:t>
      </w:r>
      <w:r w:rsidR="00BF3A2E">
        <w:fldChar w:fldCharType="begin"/>
      </w:r>
      <w:r w:rsidR="00BF3A2E">
        <w:instrText xml:space="preserve"> SEQ Figure \* ARABIC </w:instrText>
      </w:r>
      <w:r w:rsidR="00BF3A2E">
        <w:fldChar w:fldCharType="separate"/>
      </w:r>
      <w:r w:rsidR="00CD17CC">
        <w:rPr>
          <w:noProof/>
        </w:rPr>
        <w:t>13</w:t>
      </w:r>
      <w:r w:rsidR="00BF3A2E">
        <w:rPr>
          <w:noProof/>
        </w:rPr>
        <w:fldChar w:fldCharType="end"/>
      </w:r>
      <w:bookmarkEnd w:id="35"/>
      <w:r w:rsidR="000A4B10">
        <w:t xml:space="preserve"> Annual coal plant investment premium from event study model that restricted the control group to nuclear plants.</w:t>
      </w:r>
    </w:p>
    <w:p w14:paraId="6C19CF99" w14:textId="77777777" w:rsidR="000E7015" w:rsidRDefault="000E7015" w:rsidP="00CD66CB"/>
    <w:p w14:paraId="6FE02546" w14:textId="43467921" w:rsidR="00282CAE" w:rsidRDefault="00D8269B" w:rsidP="00282CAE">
      <w:pPr>
        <w:rPr>
          <w:b/>
          <w:bCs/>
        </w:rPr>
      </w:pPr>
      <w:r>
        <w:rPr>
          <w:b/>
          <w:bCs/>
        </w:rPr>
        <w:t>Detailed Results for Natural Gas Control Group Model</w:t>
      </w:r>
    </w:p>
    <w:tbl>
      <w:tblPr>
        <w:tblStyle w:val="ListTable3"/>
        <w:tblW w:w="0" w:type="auto"/>
        <w:tblLook w:val="04A0" w:firstRow="1" w:lastRow="0" w:firstColumn="1" w:lastColumn="0" w:noHBand="0" w:noVBand="1"/>
      </w:tblPr>
      <w:tblGrid>
        <w:gridCol w:w="2592"/>
        <w:gridCol w:w="1296"/>
      </w:tblGrid>
      <w:tr w:rsidR="00D8269B" w:rsidRPr="00D8269B" w14:paraId="609297A7" w14:textId="77777777" w:rsidTr="00D82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2" w:type="dxa"/>
          </w:tcPr>
          <w:p w14:paraId="693DCECB" w14:textId="77777777" w:rsidR="00D8269B" w:rsidRPr="00D8269B" w:rsidRDefault="00D8269B" w:rsidP="00A72B25">
            <w:pPr>
              <w:rPr>
                <w:b w:val="0"/>
                <w:bCs w:val="0"/>
              </w:rPr>
            </w:pPr>
            <w:r w:rsidRPr="00D8269B">
              <w:t>Statistic</w:t>
            </w:r>
          </w:p>
        </w:tc>
        <w:tc>
          <w:tcPr>
            <w:tcW w:w="1296" w:type="dxa"/>
          </w:tcPr>
          <w:p w14:paraId="033342B4" w14:textId="77777777" w:rsidR="00D8269B" w:rsidRPr="00D8269B" w:rsidRDefault="00D8269B" w:rsidP="00A72B25">
            <w:pPr>
              <w:cnfStyle w:val="100000000000" w:firstRow="1" w:lastRow="0" w:firstColumn="0" w:lastColumn="0" w:oddVBand="0" w:evenVBand="0" w:oddHBand="0" w:evenHBand="0" w:firstRowFirstColumn="0" w:firstRowLastColumn="0" w:lastRowFirstColumn="0" w:lastRowLastColumn="0"/>
              <w:rPr>
                <w:b w:val="0"/>
                <w:bCs w:val="0"/>
              </w:rPr>
            </w:pPr>
            <w:r w:rsidRPr="00D8269B">
              <w:t>Value</w:t>
            </w:r>
          </w:p>
        </w:tc>
      </w:tr>
      <w:tr w:rsidR="00D8269B" w:rsidRPr="00D8269B" w14:paraId="2250CD2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2D0DE93" w14:textId="77777777" w:rsidR="00D8269B" w:rsidRPr="00D8269B" w:rsidRDefault="00D8269B" w:rsidP="00A72B25">
            <w:pPr>
              <w:rPr>
                <w:b w:val="0"/>
                <w:bCs w:val="0"/>
              </w:rPr>
            </w:pPr>
            <w:r w:rsidRPr="00D8269B">
              <w:rPr>
                <w:b w:val="0"/>
                <w:bCs w:val="0"/>
              </w:rPr>
              <w:t>Observations</w:t>
            </w:r>
          </w:p>
        </w:tc>
        <w:tc>
          <w:tcPr>
            <w:tcW w:w="1296" w:type="dxa"/>
          </w:tcPr>
          <w:p w14:paraId="51F79660"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7,087</w:t>
            </w:r>
          </w:p>
        </w:tc>
      </w:tr>
      <w:tr w:rsidR="00D8269B" w:rsidRPr="00D8269B" w14:paraId="37C9EB0E"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10DAF057" w14:textId="77777777" w:rsidR="00D8269B" w:rsidRPr="00D8269B" w:rsidRDefault="00D8269B" w:rsidP="00A72B25">
            <w:pPr>
              <w:rPr>
                <w:b w:val="0"/>
                <w:bCs w:val="0"/>
              </w:rPr>
            </w:pPr>
            <w:r w:rsidRPr="00D8269B">
              <w:rPr>
                <w:b w:val="0"/>
                <w:bCs w:val="0"/>
              </w:rPr>
              <w:t>Entities</w:t>
            </w:r>
          </w:p>
        </w:tc>
        <w:tc>
          <w:tcPr>
            <w:tcW w:w="1296" w:type="dxa"/>
          </w:tcPr>
          <w:p w14:paraId="3A4302A9"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380.0</w:t>
            </w:r>
          </w:p>
        </w:tc>
      </w:tr>
      <w:tr w:rsidR="00D8269B" w:rsidRPr="00D8269B" w14:paraId="386D9A1D"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84B53DF" w14:textId="77777777" w:rsidR="00D8269B" w:rsidRPr="00D8269B" w:rsidRDefault="00D8269B" w:rsidP="00A72B25">
            <w:pPr>
              <w:rPr>
                <w:b w:val="0"/>
                <w:bCs w:val="0"/>
              </w:rPr>
            </w:pPr>
            <w:r w:rsidRPr="00D8269B">
              <w:rPr>
                <w:b w:val="0"/>
                <w:bCs w:val="0"/>
              </w:rPr>
              <w:t>Time Periods</w:t>
            </w:r>
          </w:p>
        </w:tc>
        <w:tc>
          <w:tcPr>
            <w:tcW w:w="1296" w:type="dxa"/>
          </w:tcPr>
          <w:p w14:paraId="5CDD7F68"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29.0</w:t>
            </w:r>
          </w:p>
        </w:tc>
      </w:tr>
      <w:tr w:rsidR="00D8269B" w:rsidRPr="00D8269B" w14:paraId="21B9A4FC"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5FBE2280" w14:textId="77777777" w:rsidR="00D8269B" w:rsidRPr="00D8269B" w:rsidRDefault="00D8269B" w:rsidP="00A72B25">
            <w:pPr>
              <w:rPr>
                <w:b w:val="0"/>
                <w:bCs w:val="0"/>
              </w:rPr>
            </w:pPr>
            <w:r w:rsidRPr="00D8269B">
              <w:rPr>
                <w:b w:val="0"/>
                <w:bCs w:val="0"/>
              </w:rPr>
              <w:t>R-squared</w:t>
            </w:r>
          </w:p>
        </w:tc>
        <w:tc>
          <w:tcPr>
            <w:tcW w:w="1296" w:type="dxa"/>
          </w:tcPr>
          <w:p w14:paraId="1C3E6BC8"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0.1998</w:t>
            </w:r>
          </w:p>
        </w:tc>
      </w:tr>
      <w:tr w:rsidR="00D8269B" w:rsidRPr="00D8269B" w14:paraId="2A5D9938"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9FB1C67" w14:textId="77777777" w:rsidR="00D8269B" w:rsidRPr="00D8269B" w:rsidRDefault="00D8269B" w:rsidP="00A72B25">
            <w:pPr>
              <w:rPr>
                <w:b w:val="0"/>
                <w:bCs w:val="0"/>
              </w:rPr>
            </w:pPr>
            <w:r w:rsidRPr="00D8269B">
              <w:rPr>
                <w:b w:val="0"/>
                <w:bCs w:val="0"/>
              </w:rPr>
              <w:t>R-squared (Within)</w:t>
            </w:r>
          </w:p>
        </w:tc>
        <w:tc>
          <w:tcPr>
            <w:tcW w:w="1296" w:type="dxa"/>
          </w:tcPr>
          <w:p w14:paraId="617D98D9"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0.1710</w:t>
            </w:r>
          </w:p>
        </w:tc>
      </w:tr>
      <w:tr w:rsidR="00D8269B" w:rsidRPr="00D8269B" w14:paraId="779E33DA"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63CBD1C2" w14:textId="77777777" w:rsidR="00D8269B" w:rsidRPr="00D8269B" w:rsidRDefault="00D8269B" w:rsidP="00A72B25">
            <w:pPr>
              <w:rPr>
                <w:b w:val="0"/>
                <w:bCs w:val="0"/>
              </w:rPr>
            </w:pPr>
            <w:r w:rsidRPr="00D8269B">
              <w:rPr>
                <w:b w:val="0"/>
                <w:bCs w:val="0"/>
              </w:rPr>
              <w:t>R-squared (Between)</w:t>
            </w:r>
          </w:p>
        </w:tc>
        <w:tc>
          <w:tcPr>
            <w:tcW w:w="1296" w:type="dxa"/>
          </w:tcPr>
          <w:p w14:paraId="1D3AE635"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0.3421</w:t>
            </w:r>
          </w:p>
        </w:tc>
      </w:tr>
      <w:tr w:rsidR="00D8269B" w:rsidRPr="00D8269B" w14:paraId="0982E42B"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B381FAB" w14:textId="77777777" w:rsidR="00D8269B" w:rsidRPr="00D8269B" w:rsidRDefault="00D8269B" w:rsidP="00A72B25">
            <w:pPr>
              <w:rPr>
                <w:b w:val="0"/>
                <w:bCs w:val="0"/>
              </w:rPr>
            </w:pPr>
            <w:r w:rsidRPr="00D8269B">
              <w:rPr>
                <w:b w:val="0"/>
                <w:bCs w:val="0"/>
              </w:rPr>
              <w:t>R-squared (Overall)</w:t>
            </w:r>
          </w:p>
        </w:tc>
        <w:tc>
          <w:tcPr>
            <w:tcW w:w="1296" w:type="dxa"/>
          </w:tcPr>
          <w:p w14:paraId="0323A523"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0.1998</w:t>
            </w:r>
          </w:p>
        </w:tc>
      </w:tr>
      <w:tr w:rsidR="00D8269B" w:rsidRPr="00D8269B" w14:paraId="02EF228F"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7D77FECA" w14:textId="77777777" w:rsidR="00D8269B" w:rsidRPr="00D8269B" w:rsidRDefault="00D8269B" w:rsidP="00A72B25">
            <w:pPr>
              <w:rPr>
                <w:b w:val="0"/>
                <w:bCs w:val="0"/>
              </w:rPr>
            </w:pPr>
            <w:r w:rsidRPr="00D8269B">
              <w:rPr>
                <w:b w:val="0"/>
                <w:bCs w:val="0"/>
              </w:rPr>
              <w:t>F-statistic</w:t>
            </w:r>
          </w:p>
        </w:tc>
        <w:tc>
          <w:tcPr>
            <w:tcW w:w="1296" w:type="dxa"/>
          </w:tcPr>
          <w:p w14:paraId="7F7692EA"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60.7792</w:t>
            </w:r>
          </w:p>
        </w:tc>
      </w:tr>
      <w:tr w:rsidR="00D8269B" w:rsidRPr="00D8269B" w14:paraId="591A286B"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B0D6BB1" w14:textId="77777777" w:rsidR="00D8269B" w:rsidRPr="00D8269B" w:rsidRDefault="00D8269B" w:rsidP="00A72B25">
            <w:pPr>
              <w:rPr>
                <w:b w:val="0"/>
                <w:bCs w:val="0"/>
              </w:rPr>
            </w:pPr>
            <w:r w:rsidRPr="00D8269B">
              <w:rPr>
                <w:b w:val="0"/>
                <w:bCs w:val="0"/>
              </w:rPr>
              <w:t>F-statistic p-value</w:t>
            </w:r>
          </w:p>
        </w:tc>
        <w:tc>
          <w:tcPr>
            <w:tcW w:w="1296" w:type="dxa"/>
          </w:tcPr>
          <w:p w14:paraId="3CE9316E"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0.000000</w:t>
            </w:r>
          </w:p>
        </w:tc>
      </w:tr>
      <w:tr w:rsidR="00D8269B" w:rsidRPr="00D8269B" w14:paraId="413290D0"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5B8D7A72" w14:textId="77777777" w:rsidR="00D8269B" w:rsidRPr="00D8269B" w:rsidRDefault="00D8269B" w:rsidP="00A72B25">
            <w:pPr>
              <w:rPr>
                <w:b w:val="0"/>
                <w:bCs w:val="0"/>
              </w:rPr>
            </w:pPr>
            <w:r w:rsidRPr="00D8269B">
              <w:rPr>
                <w:b w:val="0"/>
                <w:bCs w:val="0"/>
              </w:rPr>
              <w:t>Log-likelihood</w:t>
            </w:r>
          </w:p>
        </w:tc>
        <w:tc>
          <w:tcPr>
            <w:tcW w:w="1296" w:type="dxa"/>
          </w:tcPr>
          <w:p w14:paraId="5D9F3EA1"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-1.37e+05</w:t>
            </w:r>
          </w:p>
        </w:tc>
      </w:tr>
      <w:tr w:rsidR="00D8269B" w:rsidRPr="00D8269B" w14:paraId="1B3C49DA"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EA4BBC" w14:textId="77777777" w:rsidR="00D8269B" w:rsidRPr="00D8269B" w:rsidRDefault="00D8269B" w:rsidP="00A72B25">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Entity</w:t>
            </w:r>
          </w:p>
        </w:tc>
        <w:tc>
          <w:tcPr>
            <w:tcW w:w="1296" w:type="dxa"/>
          </w:tcPr>
          <w:p w14:paraId="766852C5" w14:textId="77777777" w:rsidR="00D8269B" w:rsidRPr="00D8269B" w:rsidRDefault="00D8269B" w:rsidP="00A72B25">
            <w:pPr>
              <w:cnfStyle w:val="000000100000" w:firstRow="0" w:lastRow="0" w:firstColumn="0" w:lastColumn="0" w:oddVBand="0" w:evenVBand="0" w:oddHBand="1" w:evenHBand="0" w:firstRowFirstColumn="0" w:firstRowLastColumn="0" w:lastRowFirstColumn="0" w:lastRowLastColumn="0"/>
            </w:pPr>
            <w:r w:rsidRPr="00D8269B">
              <w:t>18.6</w:t>
            </w:r>
          </w:p>
        </w:tc>
      </w:tr>
      <w:tr w:rsidR="00D8269B" w:rsidRPr="00D8269B" w14:paraId="737EF294"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72E9F474" w14:textId="77777777" w:rsidR="00D8269B" w:rsidRPr="00D8269B" w:rsidRDefault="00D8269B" w:rsidP="00A72B25">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Time</w:t>
            </w:r>
          </w:p>
        </w:tc>
        <w:tc>
          <w:tcPr>
            <w:tcW w:w="1296" w:type="dxa"/>
          </w:tcPr>
          <w:p w14:paraId="1453F231" w14:textId="77777777" w:rsidR="00D8269B" w:rsidRPr="00D8269B" w:rsidRDefault="00D8269B" w:rsidP="00A72B25">
            <w:pPr>
              <w:cnfStyle w:val="000000000000" w:firstRow="0" w:lastRow="0" w:firstColumn="0" w:lastColumn="0" w:oddVBand="0" w:evenVBand="0" w:oddHBand="0" w:evenHBand="0" w:firstRowFirstColumn="0" w:firstRowLastColumn="0" w:lastRowFirstColumn="0" w:lastRowLastColumn="0"/>
            </w:pPr>
            <w:r w:rsidRPr="00D8269B">
              <w:t>244.4</w:t>
            </w:r>
          </w:p>
        </w:tc>
      </w:tr>
    </w:tbl>
    <w:p w14:paraId="6F894A8D" w14:textId="77777777" w:rsidR="00D8269B" w:rsidRDefault="00D8269B" w:rsidP="00282CAE">
      <w:pPr>
        <w:rPr>
          <w:b/>
          <w:bCs/>
        </w:rPr>
      </w:pPr>
    </w:p>
    <w:tbl>
      <w:tblPr>
        <w:tblStyle w:val="ListTable3"/>
        <w:tblW w:w="0" w:type="auto"/>
        <w:tblLook w:val="04A0" w:firstRow="1" w:lastRow="0" w:firstColumn="1" w:lastColumn="0" w:noHBand="0" w:noVBand="1"/>
      </w:tblPr>
      <w:tblGrid>
        <w:gridCol w:w="1132"/>
        <w:gridCol w:w="1153"/>
        <w:gridCol w:w="1347"/>
        <w:gridCol w:w="1140"/>
        <w:gridCol w:w="1138"/>
        <w:gridCol w:w="1148"/>
        <w:gridCol w:w="1146"/>
        <w:gridCol w:w="1146"/>
      </w:tblGrid>
      <w:tr w:rsidR="00D8269B" w:rsidRPr="00D8269B" w14:paraId="559E0406" w14:textId="77777777" w:rsidTr="00D82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tcPr>
          <w:p w14:paraId="5419B13A" w14:textId="77777777" w:rsidR="00D8269B" w:rsidRPr="00D8269B" w:rsidRDefault="00D8269B" w:rsidP="009B7896">
            <w:pPr>
              <w:rPr>
                <w:b w:val="0"/>
                <w:bCs w:val="0"/>
              </w:rPr>
            </w:pPr>
            <w:r w:rsidRPr="00D8269B">
              <w:t>Year</w:t>
            </w:r>
          </w:p>
        </w:tc>
        <w:tc>
          <w:tcPr>
            <w:tcW w:w="1168" w:type="dxa"/>
          </w:tcPr>
          <w:p w14:paraId="78B0D835"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D8269B">
              <w:t>Event_t</w:t>
            </w:r>
            <w:proofErr w:type="spellEnd"/>
          </w:p>
        </w:tc>
        <w:tc>
          <w:tcPr>
            <w:tcW w:w="1169" w:type="dxa"/>
          </w:tcPr>
          <w:p w14:paraId="336356CD"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Coefficient ($M)</w:t>
            </w:r>
          </w:p>
        </w:tc>
        <w:tc>
          <w:tcPr>
            <w:tcW w:w="1169" w:type="dxa"/>
          </w:tcPr>
          <w:p w14:paraId="0505BF88"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Std Error ($M)</w:t>
            </w:r>
          </w:p>
        </w:tc>
        <w:tc>
          <w:tcPr>
            <w:tcW w:w="1169" w:type="dxa"/>
          </w:tcPr>
          <w:p w14:paraId="48917BB4"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t-stat</w:t>
            </w:r>
          </w:p>
        </w:tc>
        <w:tc>
          <w:tcPr>
            <w:tcW w:w="1169" w:type="dxa"/>
          </w:tcPr>
          <w:p w14:paraId="1043842E"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P-value</w:t>
            </w:r>
          </w:p>
        </w:tc>
        <w:tc>
          <w:tcPr>
            <w:tcW w:w="1169" w:type="dxa"/>
          </w:tcPr>
          <w:p w14:paraId="09329FBF"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CI Lower ($M)</w:t>
            </w:r>
          </w:p>
        </w:tc>
        <w:tc>
          <w:tcPr>
            <w:tcW w:w="1169" w:type="dxa"/>
          </w:tcPr>
          <w:p w14:paraId="76271D5A" w14:textId="77777777" w:rsidR="00D8269B" w:rsidRPr="00D8269B" w:rsidRDefault="00D8269B" w:rsidP="009B7896">
            <w:pPr>
              <w:cnfStyle w:val="100000000000" w:firstRow="1" w:lastRow="0" w:firstColumn="0" w:lastColumn="0" w:oddVBand="0" w:evenVBand="0" w:oddHBand="0" w:evenHBand="0" w:firstRowFirstColumn="0" w:firstRowLastColumn="0" w:lastRowFirstColumn="0" w:lastRowLastColumn="0"/>
              <w:rPr>
                <w:b w:val="0"/>
                <w:bCs w:val="0"/>
              </w:rPr>
            </w:pPr>
            <w:r w:rsidRPr="00D8269B">
              <w:t>CI Upper ($M)</w:t>
            </w:r>
          </w:p>
        </w:tc>
      </w:tr>
      <w:tr w:rsidR="00D8269B" w:rsidRPr="00D8269B" w14:paraId="636C99B0"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A0D3D9C" w14:textId="77777777" w:rsidR="00D8269B" w:rsidRPr="00D8269B" w:rsidRDefault="00D8269B" w:rsidP="009B7896">
            <w:pPr>
              <w:rPr>
                <w:b w:val="0"/>
                <w:bCs w:val="0"/>
              </w:rPr>
            </w:pPr>
            <w:r w:rsidRPr="00D8269B">
              <w:rPr>
                <w:b w:val="0"/>
                <w:bCs w:val="0"/>
              </w:rPr>
              <w:t>1996</w:t>
            </w:r>
          </w:p>
        </w:tc>
        <w:tc>
          <w:tcPr>
            <w:tcW w:w="1168" w:type="dxa"/>
          </w:tcPr>
          <w:p w14:paraId="590164EF"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w:t>
            </w:r>
          </w:p>
        </w:tc>
        <w:tc>
          <w:tcPr>
            <w:tcW w:w="1169" w:type="dxa"/>
          </w:tcPr>
          <w:p w14:paraId="258A07C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16.7</w:t>
            </w:r>
          </w:p>
        </w:tc>
        <w:tc>
          <w:tcPr>
            <w:tcW w:w="1169" w:type="dxa"/>
          </w:tcPr>
          <w:p w14:paraId="3B5A41A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5.3</w:t>
            </w:r>
          </w:p>
        </w:tc>
        <w:tc>
          <w:tcPr>
            <w:tcW w:w="1169" w:type="dxa"/>
          </w:tcPr>
          <w:p w14:paraId="1095790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3.124</w:t>
            </w:r>
          </w:p>
        </w:tc>
        <w:tc>
          <w:tcPr>
            <w:tcW w:w="1169" w:type="dxa"/>
          </w:tcPr>
          <w:p w14:paraId="51503DA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0.0018</w:t>
            </w:r>
          </w:p>
        </w:tc>
        <w:tc>
          <w:tcPr>
            <w:tcW w:w="1169" w:type="dxa"/>
          </w:tcPr>
          <w:p w14:paraId="0E5A408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6.2</w:t>
            </w:r>
          </w:p>
        </w:tc>
        <w:tc>
          <w:tcPr>
            <w:tcW w:w="1169" w:type="dxa"/>
          </w:tcPr>
          <w:p w14:paraId="376972F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27.2</w:t>
            </w:r>
          </w:p>
        </w:tc>
      </w:tr>
      <w:tr w:rsidR="00D8269B" w:rsidRPr="00D8269B" w14:paraId="4C456017"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5850EFF8" w14:textId="77777777" w:rsidR="00D8269B" w:rsidRPr="00D8269B" w:rsidRDefault="00D8269B" w:rsidP="009B7896">
            <w:pPr>
              <w:rPr>
                <w:b w:val="0"/>
                <w:bCs w:val="0"/>
              </w:rPr>
            </w:pPr>
            <w:r w:rsidRPr="00D8269B">
              <w:rPr>
                <w:b w:val="0"/>
                <w:bCs w:val="0"/>
              </w:rPr>
              <w:t>1997</w:t>
            </w:r>
          </w:p>
        </w:tc>
        <w:tc>
          <w:tcPr>
            <w:tcW w:w="1168" w:type="dxa"/>
          </w:tcPr>
          <w:p w14:paraId="3412E0A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w:t>
            </w:r>
          </w:p>
        </w:tc>
        <w:tc>
          <w:tcPr>
            <w:tcW w:w="1169" w:type="dxa"/>
          </w:tcPr>
          <w:p w14:paraId="53420FA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4.0</w:t>
            </w:r>
          </w:p>
        </w:tc>
        <w:tc>
          <w:tcPr>
            <w:tcW w:w="1169" w:type="dxa"/>
          </w:tcPr>
          <w:p w14:paraId="2860875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0.8</w:t>
            </w:r>
          </w:p>
        </w:tc>
        <w:tc>
          <w:tcPr>
            <w:tcW w:w="1169" w:type="dxa"/>
          </w:tcPr>
          <w:p w14:paraId="1A33E0A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4.735</w:t>
            </w:r>
          </w:p>
        </w:tc>
        <w:tc>
          <w:tcPr>
            <w:tcW w:w="1169" w:type="dxa"/>
          </w:tcPr>
          <w:p w14:paraId="533D4EC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72046E1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2.3</w:t>
            </w:r>
          </w:p>
        </w:tc>
        <w:tc>
          <w:tcPr>
            <w:tcW w:w="1169" w:type="dxa"/>
          </w:tcPr>
          <w:p w14:paraId="2F00C9A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5.7</w:t>
            </w:r>
          </w:p>
        </w:tc>
      </w:tr>
      <w:tr w:rsidR="00D8269B" w:rsidRPr="00D8269B" w14:paraId="73680629"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C842A53" w14:textId="77777777" w:rsidR="00D8269B" w:rsidRPr="00D8269B" w:rsidRDefault="00D8269B" w:rsidP="009B7896">
            <w:pPr>
              <w:rPr>
                <w:b w:val="0"/>
                <w:bCs w:val="0"/>
              </w:rPr>
            </w:pPr>
            <w:r w:rsidRPr="00D8269B">
              <w:rPr>
                <w:b w:val="0"/>
                <w:bCs w:val="0"/>
              </w:rPr>
              <w:lastRenderedPageBreak/>
              <w:t>1998</w:t>
            </w:r>
          </w:p>
        </w:tc>
        <w:tc>
          <w:tcPr>
            <w:tcW w:w="1168" w:type="dxa"/>
          </w:tcPr>
          <w:p w14:paraId="15586F1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w:t>
            </w:r>
          </w:p>
        </w:tc>
        <w:tc>
          <w:tcPr>
            <w:tcW w:w="1169" w:type="dxa"/>
          </w:tcPr>
          <w:p w14:paraId="7CA9D2DD"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1.0</w:t>
            </w:r>
          </w:p>
        </w:tc>
        <w:tc>
          <w:tcPr>
            <w:tcW w:w="1169" w:type="dxa"/>
          </w:tcPr>
          <w:p w14:paraId="1A0B5383"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1.2</w:t>
            </w:r>
          </w:p>
        </w:tc>
        <w:tc>
          <w:tcPr>
            <w:tcW w:w="1169" w:type="dxa"/>
          </w:tcPr>
          <w:p w14:paraId="3F8F795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0.816</w:t>
            </w:r>
          </w:p>
        </w:tc>
        <w:tc>
          <w:tcPr>
            <w:tcW w:w="1169" w:type="dxa"/>
          </w:tcPr>
          <w:p w14:paraId="7E2FEE80"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0.4145</w:t>
            </w:r>
          </w:p>
        </w:tc>
        <w:tc>
          <w:tcPr>
            <w:tcW w:w="1169" w:type="dxa"/>
          </w:tcPr>
          <w:p w14:paraId="0FDD9F2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-1.3</w:t>
            </w:r>
          </w:p>
        </w:tc>
        <w:tc>
          <w:tcPr>
            <w:tcW w:w="1169" w:type="dxa"/>
          </w:tcPr>
          <w:p w14:paraId="442FA8B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3.3</w:t>
            </w:r>
          </w:p>
        </w:tc>
      </w:tr>
      <w:tr w:rsidR="00D8269B" w:rsidRPr="00D8269B" w14:paraId="27783C11"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78C14E00" w14:textId="77777777" w:rsidR="00D8269B" w:rsidRPr="00D8269B" w:rsidRDefault="00D8269B" w:rsidP="009B7896">
            <w:pPr>
              <w:rPr>
                <w:b w:val="0"/>
                <w:bCs w:val="0"/>
              </w:rPr>
            </w:pPr>
            <w:r w:rsidRPr="00D8269B">
              <w:rPr>
                <w:b w:val="0"/>
                <w:bCs w:val="0"/>
              </w:rPr>
              <w:t>1999</w:t>
            </w:r>
          </w:p>
        </w:tc>
        <w:tc>
          <w:tcPr>
            <w:tcW w:w="1168" w:type="dxa"/>
          </w:tcPr>
          <w:p w14:paraId="2ADA40A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w:t>
            </w:r>
          </w:p>
        </w:tc>
        <w:tc>
          <w:tcPr>
            <w:tcW w:w="1169" w:type="dxa"/>
          </w:tcPr>
          <w:p w14:paraId="11EDFFE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0.4</w:t>
            </w:r>
          </w:p>
        </w:tc>
        <w:tc>
          <w:tcPr>
            <w:tcW w:w="1169" w:type="dxa"/>
          </w:tcPr>
          <w:p w14:paraId="727E5F0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2.6</w:t>
            </w:r>
          </w:p>
        </w:tc>
        <w:tc>
          <w:tcPr>
            <w:tcW w:w="1169" w:type="dxa"/>
          </w:tcPr>
          <w:p w14:paraId="7511BA1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0.162</w:t>
            </w:r>
          </w:p>
        </w:tc>
        <w:tc>
          <w:tcPr>
            <w:tcW w:w="1169" w:type="dxa"/>
          </w:tcPr>
          <w:p w14:paraId="441DA128"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0.8715</w:t>
            </w:r>
          </w:p>
        </w:tc>
        <w:tc>
          <w:tcPr>
            <w:tcW w:w="1169" w:type="dxa"/>
          </w:tcPr>
          <w:p w14:paraId="3FBC6568"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-4.7</w:t>
            </w:r>
          </w:p>
        </w:tc>
        <w:tc>
          <w:tcPr>
            <w:tcW w:w="1169" w:type="dxa"/>
          </w:tcPr>
          <w:p w14:paraId="398B1382"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5.5</w:t>
            </w:r>
          </w:p>
        </w:tc>
      </w:tr>
      <w:tr w:rsidR="00D8269B" w:rsidRPr="00D8269B" w14:paraId="41F8C10D"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4AA529D9" w14:textId="77777777" w:rsidR="00D8269B" w:rsidRPr="00D8269B" w:rsidRDefault="00D8269B" w:rsidP="009B7896">
            <w:pPr>
              <w:rPr>
                <w:b w:val="0"/>
                <w:bCs w:val="0"/>
              </w:rPr>
            </w:pPr>
            <w:r w:rsidRPr="00D8269B">
              <w:rPr>
                <w:b w:val="0"/>
                <w:bCs w:val="0"/>
              </w:rPr>
              <w:t>2000</w:t>
            </w:r>
          </w:p>
        </w:tc>
        <w:tc>
          <w:tcPr>
            <w:tcW w:w="1168" w:type="dxa"/>
          </w:tcPr>
          <w:p w14:paraId="3D43433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5</w:t>
            </w:r>
          </w:p>
        </w:tc>
        <w:tc>
          <w:tcPr>
            <w:tcW w:w="1169" w:type="dxa"/>
          </w:tcPr>
          <w:p w14:paraId="5876AFE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7.7</w:t>
            </w:r>
          </w:p>
        </w:tc>
        <w:tc>
          <w:tcPr>
            <w:tcW w:w="1169" w:type="dxa"/>
          </w:tcPr>
          <w:p w14:paraId="5C482F93"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2.0</w:t>
            </w:r>
          </w:p>
        </w:tc>
        <w:tc>
          <w:tcPr>
            <w:tcW w:w="1169" w:type="dxa"/>
          </w:tcPr>
          <w:p w14:paraId="58560CB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3.884</w:t>
            </w:r>
          </w:p>
        </w:tc>
        <w:tc>
          <w:tcPr>
            <w:tcW w:w="1169" w:type="dxa"/>
          </w:tcPr>
          <w:p w14:paraId="7833B5E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0.0001</w:t>
            </w:r>
          </w:p>
        </w:tc>
        <w:tc>
          <w:tcPr>
            <w:tcW w:w="1169" w:type="dxa"/>
          </w:tcPr>
          <w:p w14:paraId="72D659CC"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3.8</w:t>
            </w:r>
          </w:p>
        </w:tc>
        <w:tc>
          <w:tcPr>
            <w:tcW w:w="1169" w:type="dxa"/>
          </w:tcPr>
          <w:p w14:paraId="243FE31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11.5</w:t>
            </w:r>
          </w:p>
        </w:tc>
      </w:tr>
      <w:tr w:rsidR="00D8269B" w:rsidRPr="00D8269B" w14:paraId="769F2EEF"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7F12F0AD" w14:textId="77777777" w:rsidR="00D8269B" w:rsidRPr="00D8269B" w:rsidRDefault="00D8269B" w:rsidP="009B7896">
            <w:pPr>
              <w:rPr>
                <w:b w:val="0"/>
                <w:bCs w:val="0"/>
              </w:rPr>
            </w:pPr>
            <w:r w:rsidRPr="00D8269B">
              <w:rPr>
                <w:b w:val="0"/>
                <w:bCs w:val="0"/>
              </w:rPr>
              <w:t>2001</w:t>
            </w:r>
          </w:p>
        </w:tc>
        <w:tc>
          <w:tcPr>
            <w:tcW w:w="1168" w:type="dxa"/>
          </w:tcPr>
          <w:p w14:paraId="14A81EB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w:t>
            </w:r>
          </w:p>
        </w:tc>
        <w:tc>
          <w:tcPr>
            <w:tcW w:w="1169" w:type="dxa"/>
          </w:tcPr>
          <w:p w14:paraId="10AE8AA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12.6</w:t>
            </w:r>
          </w:p>
        </w:tc>
        <w:tc>
          <w:tcPr>
            <w:tcW w:w="1169" w:type="dxa"/>
          </w:tcPr>
          <w:p w14:paraId="1308EE8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5.5</w:t>
            </w:r>
          </w:p>
        </w:tc>
        <w:tc>
          <w:tcPr>
            <w:tcW w:w="1169" w:type="dxa"/>
          </w:tcPr>
          <w:p w14:paraId="58B4433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2.307</w:t>
            </w:r>
          </w:p>
        </w:tc>
        <w:tc>
          <w:tcPr>
            <w:tcW w:w="1169" w:type="dxa"/>
          </w:tcPr>
          <w:p w14:paraId="168313A2"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0.0211</w:t>
            </w:r>
          </w:p>
        </w:tc>
        <w:tc>
          <w:tcPr>
            <w:tcW w:w="1169" w:type="dxa"/>
          </w:tcPr>
          <w:p w14:paraId="3D94FD5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1.9</w:t>
            </w:r>
          </w:p>
        </w:tc>
        <w:tc>
          <w:tcPr>
            <w:tcW w:w="1169" w:type="dxa"/>
          </w:tcPr>
          <w:p w14:paraId="17C834D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23.3</w:t>
            </w:r>
          </w:p>
        </w:tc>
      </w:tr>
      <w:tr w:rsidR="00D8269B" w:rsidRPr="00D8269B" w14:paraId="1180BE3D"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3D86E13" w14:textId="77777777" w:rsidR="00D8269B" w:rsidRPr="00D8269B" w:rsidRDefault="00D8269B" w:rsidP="009B7896">
            <w:pPr>
              <w:rPr>
                <w:b w:val="0"/>
                <w:bCs w:val="0"/>
              </w:rPr>
            </w:pPr>
            <w:r w:rsidRPr="00D8269B">
              <w:rPr>
                <w:b w:val="0"/>
                <w:bCs w:val="0"/>
              </w:rPr>
              <w:t>2002</w:t>
            </w:r>
          </w:p>
        </w:tc>
        <w:tc>
          <w:tcPr>
            <w:tcW w:w="1168" w:type="dxa"/>
          </w:tcPr>
          <w:p w14:paraId="3103B46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w:t>
            </w:r>
          </w:p>
        </w:tc>
        <w:tc>
          <w:tcPr>
            <w:tcW w:w="1169" w:type="dxa"/>
          </w:tcPr>
          <w:p w14:paraId="762DBE8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13.4</w:t>
            </w:r>
          </w:p>
        </w:tc>
        <w:tc>
          <w:tcPr>
            <w:tcW w:w="1169" w:type="dxa"/>
          </w:tcPr>
          <w:p w14:paraId="53F2D6FF"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3.4</w:t>
            </w:r>
          </w:p>
        </w:tc>
        <w:tc>
          <w:tcPr>
            <w:tcW w:w="1169" w:type="dxa"/>
          </w:tcPr>
          <w:p w14:paraId="262ED70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3.900</w:t>
            </w:r>
          </w:p>
        </w:tc>
        <w:tc>
          <w:tcPr>
            <w:tcW w:w="1169" w:type="dxa"/>
          </w:tcPr>
          <w:p w14:paraId="6DFBA13F"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0.0001</w:t>
            </w:r>
          </w:p>
        </w:tc>
        <w:tc>
          <w:tcPr>
            <w:tcW w:w="1169" w:type="dxa"/>
          </w:tcPr>
          <w:p w14:paraId="6965E43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6.7</w:t>
            </w:r>
          </w:p>
        </w:tc>
        <w:tc>
          <w:tcPr>
            <w:tcW w:w="1169" w:type="dxa"/>
          </w:tcPr>
          <w:p w14:paraId="04F04B2D"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20.1</w:t>
            </w:r>
          </w:p>
        </w:tc>
      </w:tr>
      <w:tr w:rsidR="00D8269B" w:rsidRPr="00D8269B" w14:paraId="67F303CD"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130EE92E" w14:textId="77777777" w:rsidR="00D8269B" w:rsidRPr="00D8269B" w:rsidRDefault="00D8269B" w:rsidP="009B7896">
            <w:pPr>
              <w:rPr>
                <w:b w:val="0"/>
                <w:bCs w:val="0"/>
              </w:rPr>
            </w:pPr>
            <w:r w:rsidRPr="00D8269B">
              <w:rPr>
                <w:b w:val="0"/>
                <w:bCs w:val="0"/>
              </w:rPr>
              <w:t>2003</w:t>
            </w:r>
          </w:p>
        </w:tc>
        <w:tc>
          <w:tcPr>
            <w:tcW w:w="1168" w:type="dxa"/>
          </w:tcPr>
          <w:p w14:paraId="3E1433F9"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8</w:t>
            </w:r>
          </w:p>
        </w:tc>
        <w:tc>
          <w:tcPr>
            <w:tcW w:w="1169" w:type="dxa"/>
          </w:tcPr>
          <w:p w14:paraId="281A9C0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23.3</w:t>
            </w:r>
          </w:p>
        </w:tc>
        <w:tc>
          <w:tcPr>
            <w:tcW w:w="1169" w:type="dxa"/>
          </w:tcPr>
          <w:p w14:paraId="1FE0270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5.9</w:t>
            </w:r>
          </w:p>
        </w:tc>
        <w:tc>
          <w:tcPr>
            <w:tcW w:w="1169" w:type="dxa"/>
          </w:tcPr>
          <w:p w14:paraId="75456498"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3.985</w:t>
            </w:r>
          </w:p>
        </w:tc>
        <w:tc>
          <w:tcPr>
            <w:tcW w:w="1169" w:type="dxa"/>
          </w:tcPr>
          <w:p w14:paraId="0231188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0.0001</w:t>
            </w:r>
          </w:p>
        </w:tc>
        <w:tc>
          <w:tcPr>
            <w:tcW w:w="1169" w:type="dxa"/>
          </w:tcPr>
          <w:p w14:paraId="3085B4F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11.8</w:t>
            </w:r>
          </w:p>
        </w:tc>
        <w:tc>
          <w:tcPr>
            <w:tcW w:w="1169" w:type="dxa"/>
          </w:tcPr>
          <w:p w14:paraId="147BAEF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34.8</w:t>
            </w:r>
          </w:p>
        </w:tc>
      </w:tr>
      <w:tr w:rsidR="00D8269B" w:rsidRPr="00D8269B" w14:paraId="4DC0131C"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0E5CEC6" w14:textId="77777777" w:rsidR="00D8269B" w:rsidRPr="00D8269B" w:rsidRDefault="00D8269B" w:rsidP="009B7896">
            <w:pPr>
              <w:rPr>
                <w:b w:val="0"/>
                <w:bCs w:val="0"/>
              </w:rPr>
            </w:pPr>
            <w:r w:rsidRPr="00D8269B">
              <w:rPr>
                <w:b w:val="0"/>
                <w:bCs w:val="0"/>
              </w:rPr>
              <w:t>2004</w:t>
            </w:r>
          </w:p>
        </w:tc>
        <w:tc>
          <w:tcPr>
            <w:tcW w:w="1168" w:type="dxa"/>
          </w:tcPr>
          <w:p w14:paraId="3B3A731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9</w:t>
            </w:r>
          </w:p>
        </w:tc>
        <w:tc>
          <w:tcPr>
            <w:tcW w:w="1169" w:type="dxa"/>
          </w:tcPr>
          <w:p w14:paraId="4C5D5E2B"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16.1</w:t>
            </w:r>
          </w:p>
        </w:tc>
        <w:tc>
          <w:tcPr>
            <w:tcW w:w="1169" w:type="dxa"/>
          </w:tcPr>
          <w:p w14:paraId="34F26F4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3.6</w:t>
            </w:r>
          </w:p>
        </w:tc>
        <w:tc>
          <w:tcPr>
            <w:tcW w:w="1169" w:type="dxa"/>
          </w:tcPr>
          <w:p w14:paraId="53A4314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4.420</w:t>
            </w:r>
          </w:p>
        </w:tc>
        <w:tc>
          <w:tcPr>
            <w:tcW w:w="1169" w:type="dxa"/>
          </w:tcPr>
          <w:p w14:paraId="5D03C1B1"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742A8D06"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8.9</w:t>
            </w:r>
          </w:p>
        </w:tc>
        <w:tc>
          <w:tcPr>
            <w:tcW w:w="1169" w:type="dxa"/>
          </w:tcPr>
          <w:p w14:paraId="1F710456"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23.2</w:t>
            </w:r>
          </w:p>
        </w:tc>
      </w:tr>
      <w:tr w:rsidR="00D8269B" w:rsidRPr="00D8269B" w14:paraId="535245C4"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5CA9F808" w14:textId="77777777" w:rsidR="00D8269B" w:rsidRPr="00D8269B" w:rsidRDefault="00D8269B" w:rsidP="009B7896">
            <w:pPr>
              <w:rPr>
                <w:b w:val="0"/>
                <w:bCs w:val="0"/>
              </w:rPr>
            </w:pPr>
            <w:r w:rsidRPr="00D8269B">
              <w:rPr>
                <w:b w:val="0"/>
                <w:bCs w:val="0"/>
              </w:rPr>
              <w:t>2005</w:t>
            </w:r>
          </w:p>
        </w:tc>
        <w:tc>
          <w:tcPr>
            <w:tcW w:w="1168" w:type="dxa"/>
          </w:tcPr>
          <w:p w14:paraId="7F9D2318"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10</w:t>
            </w:r>
          </w:p>
        </w:tc>
        <w:tc>
          <w:tcPr>
            <w:tcW w:w="1169" w:type="dxa"/>
          </w:tcPr>
          <w:p w14:paraId="4A5847E7"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10.1</w:t>
            </w:r>
          </w:p>
        </w:tc>
        <w:tc>
          <w:tcPr>
            <w:tcW w:w="1169" w:type="dxa"/>
          </w:tcPr>
          <w:p w14:paraId="37CB503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2.4</w:t>
            </w:r>
          </w:p>
        </w:tc>
        <w:tc>
          <w:tcPr>
            <w:tcW w:w="1169" w:type="dxa"/>
          </w:tcPr>
          <w:p w14:paraId="0DD246E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4.166</w:t>
            </w:r>
          </w:p>
        </w:tc>
        <w:tc>
          <w:tcPr>
            <w:tcW w:w="1169" w:type="dxa"/>
          </w:tcPr>
          <w:p w14:paraId="56F5A58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28DB7DE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5.4</w:t>
            </w:r>
          </w:p>
        </w:tc>
        <w:tc>
          <w:tcPr>
            <w:tcW w:w="1169" w:type="dxa"/>
          </w:tcPr>
          <w:p w14:paraId="07794B8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14.9</w:t>
            </w:r>
          </w:p>
        </w:tc>
      </w:tr>
      <w:tr w:rsidR="00D8269B" w:rsidRPr="00D8269B" w14:paraId="3AE85C60"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64B48FF" w14:textId="77777777" w:rsidR="00D8269B" w:rsidRPr="00D8269B" w:rsidRDefault="00D8269B" w:rsidP="009B7896">
            <w:pPr>
              <w:rPr>
                <w:b w:val="0"/>
                <w:bCs w:val="0"/>
              </w:rPr>
            </w:pPr>
            <w:r w:rsidRPr="00D8269B">
              <w:rPr>
                <w:b w:val="0"/>
                <w:bCs w:val="0"/>
              </w:rPr>
              <w:t>2006</w:t>
            </w:r>
          </w:p>
        </w:tc>
        <w:tc>
          <w:tcPr>
            <w:tcW w:w="1168" w:type="dxa"/>
          </w:tcPr>
          <w:p w14:paraId="613C1B7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11</w:t>
            </w:r>
          </w:p>
        </w:tc>
        <w:tc>
          <w:tcPr>
            <w:tcW w:w="1169" w:type="dxa"/>
          </w:tcPr>
          <w:p w14:paraId="59F7040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8.5</w:t>
            </w:r>
          </w:p>
        </w:tc>
        <w:tc>
          <w:tcPr>
            <w:tcW w:w="1169" w:type="dxa"/>
          </w:tcPr>
          <w:p w14:paraId="7462E2F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6.7</w:t>
            </w:r>
          </w:p>
        </w:tc>
        <w:tc>
          <w:tcPr>
            <w:tcW w:w="1169" w:type="dxa"/>
          </w:tcPr>
          <w:p w14:paraId="10AA678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1.265</w:t>
            </w:r>
          </w:p>
        </w:tc>
        <w:tc>
          <w:tcPr>
            <w:tcW w:w="1169" w:type="dxa"/>
          </w:tcPr>
          <w:p w14:paraId="7451EC9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0.2057</w:t>
            </w:r>
          </w:p>
        </w:tc>
        <w:tc>
          <w:tcPr>
            <w:tcW w:w="1169" w:type="dxa"/>
          </w:tcPr>
          <w:p w14:paraId="05ED910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-4.7</w:t>
            </w:r>
          </w:p>
        </w:tc>
        <w:tc>
          <w:tcPr>
            <w:tcW w:w="1169" w:type="dxa"/>
          </w:tcPr>
          <w:p w14:paraId="05E19A4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21.8</w:t>
            </w:r>
          </w:p>
        </w:tc>
      </w:tr>
      <w:tr w:rsidR="00D8269B" w:rsidRPr="00D8269B" w14:paraId="425F6D65"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7F2CACC2" w14:textId="77777777" w:rsidR="00D8269B" w:rsidRPr="00D8269B" w:rsidRDefault="00D8269B" w:rsidP="009B7896">
            <w:pPr>
              <w:rPr>
                <w:b w:val="0"/>
                <w:bCs w:val="0"/>
              </w:rPr>
            </w:pPr>
            <w:r w:rsidRPr="00D8269B">
              <w:rPr>
                <w:b w:val="0"/>
                <w:bCs w:val="0"/>
              </w:rPr>
              <w:t>2007</w:t>
            </w:r>
          </w:p>
        </w:tc>
        <w:tc>
          <w:tcPr>
            <w:tcW w:w="1168" w:type="dxa"/>
          </w:tcPr>
          <w:p w14:paraId="6FEC7F2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12</w:t>
            </w:r>
          </w:p>
        </w:tc>
        <w:tc>
          <w:tcPr>
            <w:tcW w:w="1169" w:type="dxa"/>
          </w:tcPr>
          <w:p w14:paraId="5ED775A7"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27.3</w:t>
            </w:r>
          </w:p>
        </w:tc>
        <w:tc>
          <w:tcPr>
            <w:tcW w:w="1169" w:type="dxa"/>
          </w:tcPr>
          <w:p w14:paraId="0AC96A3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8.9</w:t>
            </w:r>
          </w:p>
        </w:tc>
        <w:tc>
          <w:tcPr>
            <w:tcW w:w="1169" w:type="dxa"/>
          </w:tcPr>
          <w:p w14:paraId="6BFBFAE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3.062</w:t>
            </w:r>
          </w:p>
        </w:tc>
        <w:tc>
          <w:tcPr>
            <w:tcW w:w="1169" w:type="dxa"/>
          </w:tcPr>
          <w:p w14:paraId="3CD5114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0.0022</w:t>
            </w:r>
          </w:p>
        </w:tc>
        <w:tc>
          <w:tcPr>
            <w:tcW w:w="1169" w:type="dxa"/>
          </w:tcPr>
          <w:p w14:paraId="55040ABC"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9.8</w:t>
            </w:r>
          </w:p>
        </w:tc>
        <w:tc>
          <w:tcPr>
            <w:tcW w:w="1169" w:type="dxa"/>
          </w:tcPr>
          <w:p w14:paraId="171CAE82"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44.8</w:t>
            </w:r>
          </w:p>
        </w:tc>
      </w:tr>
      <w:tr w:rsidR="00D8269B" w:rsidRPr="00D8269B" w14:paraId="2743044D"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1F4900F" w14:textId="77777777" w:rsidR="00D8269B" w:rsidRPr="00D8269B" w:rsidRDefault="00D8269B" w:rsidP="009B7896">
            <w:pPr>
              <w:rPr>
                <w:b w:val="0"/>
                <w:bCs w:val="0"/>
              </w:rPr>
            </w:pPr>
            <w:r w:rsidRPr="00D8269B">
              <w:rPr>
                <w:b w:val="0"/>
                <w:bCs w:val="0"/>
              </w:rPr>
              <w:t>2008</w:t>
            </w:r>
          </w:p>
        </w:tc>
        <w:tc>
          <w:tcPr>
            <w:tcW w:w="1168" w:type="dxa"/>
          </w:tcPr>
          <w:p w14:paraId="7E477D8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13</w:t>
            </w:r>
          </w:p>
        </w:tc>
        <w:tc>
          <w:tcPr>
            <w:tcW w:w="1169" w:type="dxa"/>
          </w:tcPr>
          <w:p w14:paraId="17A72AA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33.4</w:t>
            </w:r>
          </w:p>
        </w:tc>
        <w:tc>
          <w:tcPr>
            <w:tcW w:w="1169" w:type="dxa"/>
          </w:tcPr>
          <w:p w14:paraId="031B887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9.3</w:t>
            </w:r>
          </w:p>
        </w:tc>
        <w:tc>
          <w:tcPr>
            <w:tcW w:w="1169" w:type="dxa"/>
          </w:tcPr>
          <w:p w14:paraId="524EB0CB"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3.605</w:t>
            </w:r>
          </w:p>
        </w:tc>
        <w:tc>
          <w:tcPr>
            <w:tcW w:w="1169" w:type="dxa"/>
          </w:tcPr>
          <w:p w14:paraId="2FE12FBF"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0.0003</w:t>
            </w:r>
          </w:p>
        </w:tc>
        <w:tc>
          <w:tcPr>
            <w:tcW w:w="1169" w:type="dxa"/>
          </w:tcPr>
          <w:p w14:paraId="6CF16E41"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15.2</w:t>
            </w:r>
          </w:p>
        </w:tc>
        <w:tc>
          <w:tcPr>
            <w:tcW w:w="1169" w:type="dxa"/>
          </w:tcPr>
          <w:p w14:paraId="051F927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51.5</w:t>
            </w:r>
          </w:p>
        </w:tc>
      </w:tr>
      <w:tr w:rsidR="00D8269B" w:rsidRPr="00D8269B" w14:paraId="6056A805"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5108B75E" w14:textId="77777777" w:rsidR="00D8269B" w:rsidRPr="00D8269B" w:rsidRDefault="00D8269B" w:rsidP="009B7896">
            <w:pPr>
              <w:rPr>
                <w:b w:val="0"/>
                <w:bCs w:val="0"/>
              </w:rPr>
            </w:pPr>
            <w:r w:rsidRPr="00D8269B">
              <w:rPr>
                <w:b w:val="0"/>
                <w:bCs w:val="0"/>
              </w:rPr>
              <w:t>2009</w:t>
            </w:r>
          </w:p>
        </w:tc>
        <w:tc>
          <w:tcPr>
            <w:tcW w:w="1168" w:type="dxa"/>
          </w:tcPr>
          <w:p w14:paraId="566F703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14</w:t>
            </w:r>
          </w:p>
        </w:tc>
        <w:tc>
          <w:tcPr>
            <w:tcW w:w="1169" w:type="dxa"/>
          </w:tcPr>
          <w:p w14:paraId="0C317488"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44.8</w:t>
            </w:r>
          </w:p>
        </w:tc>
        <w:tc>
          <w:tcPr>
            <w:tcW w:w="1169" w:type="dxa"/>
          </w:tcPr>
          <w:p w14:paraId="60504AD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12.9</w:t>
            </w:r>
          </w:p>
        </w:tc>
        <w:tc>
          <w:tcPr>
            <w:tcW w:w="1169" w:type="dxa"/>
          </w:tcPr>
          <w:p w14:paraId="0354E8B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3.468</w:t>
            </w:r>
          </w:p>
        </w:tc>
        <w:tc>
          <w:tcPr>
            <w:tcW w:w="1169" w:type="dxa"/>
          </w:tcPr>
          <w:p w14:paraId="6B71561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0.0005</w:t>
            </w:r>
          </w:p>
        </w:tc>
        <w:tc>
          <w:tcPr>
            <w:tcW w:w="1169" w:type="dxa"/>
          </w:tcPr>
          <w:p w14:paraId="760018A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19.5</w:t>
            </w:r>
          </w:p>
        </w:tc>
        <w:tc>
          <w:tcPr>
            <w:tcW w:w="1169" w:type="dxa"/>
          </w:tcPr>
          <w:p w14:paraId="7CBFACD7"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70.2</w:t>
            </w:r>
          </w:p>
        </w:tc>
      </w:tr>
      <w:tr w:rsidR="00D8269B" w:rsidRPr="00D8269B" w14:paraId="5ADFAF63"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778A1A7" w14:textId="77777777" w:rsidR="00D8269B" w:rsidRPr="00D8269B" w:rsidRDefault="00D8269B" w:rsidP="009B7896">
            <w:pPr>
              <w:rPr>
                <w:b w:val="0"/>
                <w:bCs w:val="0"/>
              </w:rPr>
            </w:pPr>
            <w:r w:rsidRPr="00D8269B">
              <w:rPr>
                <w:b w:val="0"/>
                <w:bCs w:val="0"/>
              </w:rPr>
              <w:t>2010</w:t>
            </w:r>
          </w:p>
        </w:tc>
        <w:tc>
          <w:tcPr>
            <w:tcW w:w="1168" w:type="dxa"/>
          </w:tcPr>
          <w:p w14:paraId="69DE7BB3"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15</w:t>
            </w:r>
          </w:p>
        </w:tc>
        <w:tc>
          <w:tcPr>
            <w:tcW w:w="1169" w:type="dxa"/>
          </w:tcPr>
          <w:p w14:paraId="173C81EF"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47.2</w:t>
            </w:r>
          </w:p>
        </w:tc>
        <w:tc>
          <w:tcPr>
            <w:tcW w:w="1169" w:type="dxa"/>
          </w:tcPr>
          <w:p w14:paraId="075163A0"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11.2</w:t>
            </w:r>
          </w:p>
        </w:tc>
        <w:tc>
          <w:tcPr>
            <w:tcW w:w="1169" w:type="dxa"/>
          </w:tcPr>
          <w:p w14:paraId="5867B4A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4.213</w:t>
            </w:r>
          </w:p>
        </w:tc>
        <w:tc>
          <w:tcPr>
            <w:tcW w:w="1169" w:type="dxa"/>
          </w:tcPr>
          <w:p w14:paraId="1D899DF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437D006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25.2</w:t>
            </w:r>
          </w:p>
        </w:tc>
        <w:tc>
          <w:tcPr>
            <w:tcW w:w="1169" w:type="dxa"/>
          </w:tcPr>
          <w:p w14:paraId="2D84CE00"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69.2</w:t>
            </w:r>
          </w:p>
        </w:tc>
      </w:tr>
      <w:tr w:rsidR="00D8269B" w:rsidRPr="00D8269B" w14:paraId="55150DE1"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52585D8D" w14:textId="77777777" w:rsidR="00D8269B" w:rsidRPr="00D8269B" w:rsidRDefault="00D8269B" w:rsidP="009B7896">
            <w:pPr>
              <w:rPr>
                <w:b w:val="0"/>
                <w:bCs w:val="0"/>
              </w:rPr>
            </w:pPr>
            <w:r w:rsidRPr="00D8269B">
              <w:rPr>
                <w:b w:val="0"/>
                <w:bCs w:val="0"/>
              </w:rPr>
              <w:t>2011</w:t>
            </w:r>
          </w:p>
        </w:tc>
        <w:tc>
          <w:tcPr>
            <w:tcW w:w="1168" w:type="dxa"/>
          </w:tcPr>
          <w:p w14:paraId="2309DC57"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16</w:t>
            </w:r>
          </w:p>
        </w:tc>
        <w:tc>
          <w:tcPr>
            <w:tcW w:w="1169" w:type="dxa"/>
          </w:tcPr>
          <w:p w14:paraId="4C56C19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18.7</w:t>
            </w:r>
          </w:p>
        </w:tc>
        <w:tc>
          <w:tcPr>
            <w:tcW w:w="1169" w:type="dxa"/>
          </w:tcPr>
          <w:p w14:paraId="374D520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6.4</w:t>
            </w:r>
          </w:p>
        </w:tc>
        <w:tc>
          <w:tcPr>
            <w:tcW w:w="1169" w:type="dxa"/>
          </w:tcPr>
          <w:p w14:paraId="2C50119C"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2.925</w:t>
            </w:r>
          </w:p>
        </w:tc>
        <w:tc>
          <w:tcPr>
            <w:tcW w:w="1169" w:type="dxa"/>
          </w:tcPr>
          <w:p w14:paraId="16C0635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0.0035</w:t>
            </w:r>
          </w:p>
        </w:tc>
        <w:tc>
          <w:tcPr>
            <w:tcW w:w="1169" w:type="dxa"/>
          </w:tcPr>
          <w:p w14:paraId="6DAEE58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6.2</w:t>
            </w:r>
          </w:p>
        </w:tc>
        <w:tc>
          <w:tcPr>
            <w:tcW w:w="1169" w:type="dxa"/>
          </w:tcPr>
          <w:p w14:paraId="69A75FD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31.3</w:t>
            </w:r>
          </w:p>
        </w:tc>
      </w:tr>
      <w:tr w:rsidR="00D8269B" w:rsidRPr="00D8269B" w14:paraId="1DFD938A"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3C248DB" w14:textId="77777777" w:rsidR="00D8269B" w:rsidRPr="00D8269B" w:rsidRDefault="00D8269B" w:rsidP="009B7896">
            <w:pPr>
              <w:rPr>
                <w:b w:val="0"/>
                <w:bCs w:val="0"/>
              </w:rPr>
            </w:pPr>
            <w:r w:rsidRPr="00D8269B">
              <w:rPr>
                <w:b w:val="0"/>
                <w:bCs w:val="0"/>
              </w:rPr>
              <w:t>2012</w:t>
            </w:r>
          </w:p>
        </w:tc>
        <w:tc>
          <w:tcPr>
            <w:tcW w:w="1168" w:type="dxa"/>
          </w:tcPr>
          <w:p w14:paraId="6F71C46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17</w:t>
            </w:r>
          </w:p>
        </w:tc>
        <w:tc>
          <w:tcPr>
            <w:tcW w:w="1169" w:type="dxa"/>
          </w:tcPr>
          <w:p w14:paraId="7A88DB9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15.6</w:t>
            </w:r>
          </w:p>
        </w:tc>
        <w:tc>
          <w:tcPr>
            <w:tcW w:w="1169" w:type="dxa"/>
          </w:tcPr>
          <w:p w14:paraId="6F5D1BF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4.3</w:t>
            </w:r>
          </w:p>
        </w:tc>
        <w:tc>
          <w:tcPr>
            <w:tcW w:w="1169" w:type="dxa"/>
          </w:tcPr>
          <w:p w14:paraId="620723DB"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3.656</w:t>
            </w:r>
          </w:p>
        </w:tc>
        <w:tc>
          <w:tcPr>
            <w:tcW w:w="1169" w:type="dxa"/>
          </w:tcPr>
          <w:p w14:paraId="46F760E6"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0.0003</w:t>
            </w:r>
          </w:p>
        </w:tc>
        <w:tc>
          <w:tcPr>
            <w:tcW w:w="1169" w:type="dxa"/>
          </w:tcPr>
          <w:p w14:paraId="1B4D3751"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7.2</w:t>
            </w:r>
          </w:p>
        </w:tc>
        <w:tc>
          <w:tcPr>
            <w:tcW w:w="1169" w:type="dxa"/>
          </w:tcPr>
          <w:p w14:paraId="7C4FD72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24.0</w:t>
            </w:r>
          </w:p>
        </w:tc>
      </w:tr>
      <w:tr w:rsidR="00D8269B" w:rsidRPr="00D8269B" w14:paraId="745DD1CA"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2411DA98" w14:textId="77777777" w:rsidR="00D8269B" w:rsidRPr="00D8269B" w:rsidRDefault="00D8269B" w:rsidP="009B7896">
            <w:pPr>
              <w:rPr>
                <w:b w:val="0"/>
                <w:bCs w:val="0"/>
              </w:rPr>
            </w:pPr>
            <w:r w:rsidRPr="00D8269B">
              <w:rPr>
                <w:b w:val="0"/>
                <w:bCs w:val="0"/>
              </w:rPr>
              <w:t>2013</w:t>
            </w:r>
          </w:p>
        </w:tc>
        <w:tc>
          <w:tcPr>
            <w:tcW w:w="1168" w:type="dxa"/>
          </w:tcPr>
          <w:p w14:paraId="5BFBBB4E"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18</w:t>
            </w:r>
          </w:p>
        </w:tc>
        <w:tc>
          <w:tcPr>
            <w:tcW w:w="1169" w:type="dxa"/>
          </w:tcPr>
          <w:p w14:paraId="634D811E"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23.5</w:t>
            </w:r>
          </w:p>
        </w:tc>
        <w:tc>
          <w:tcPr>
            <w:tcW w:w="1169" w:type="dxa"/>
          </w:tcPr>
          <w:p w14:paraId="2F5F375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6.1</w:t>
            </w:r>
          </w:p>
        </w:tc>
        <w:tc>
          <w:tcPr>
            <w:tcW w:w="1169" w:type="dxa"/>
          </w:tcPr>
          <w:p w14:paraId="72D9C29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3.839</w:t>
            </w:r>
          </w:p>
        </w:tc>
        <w:tc>
          <w:tcPr>
            <w:tcW w:w="1169" w:type="dxa"/>
          </w:tcPr>
          <w:p w14:paraId="270BF6F9"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0.0001</w:t>
            </w:r>
          </w:p>
        </w:tc>
        <w:tc>
          <w:tcPr>
            <w:tcW w:w="1169" w:type="dxa"/>
          </w:tcPr>
          <w:p w14:paraId="110E84B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11.5</w:t>
            </w:r>
          </w:p>
        </w:tc>
        <w:tc>
          <w:tcPr>
            <w:tcW w:w="1169" w:type="dxa"/>
          </w:tcPr>
          <w:p w14:paraId="7505A37C"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35.5</w:t>
            </w:r>
          </w:p>
        </w:tc>
      </w:tr>
      <w:tr w:rsidR="00D8269B" w:rsidRPr="00D8269B" w14:paraId="28E6BDD4"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4E463B6D" w14:textId="77777777" w:rsidR="00D8269B" w:rsidRPr="00D8269B" w:rsidRDefault="00D8269B" w:rsidP="009B7896">
            <w:pPr>
              <w:rPr>
                <w:b w:val="0"/>
                <w:bCs w:val="0"/>
              </w:rPr>
            </w:pPr>
            <w:r w:rsidRPr="00D8269B">
              <w:rPr>
                <w:b w:val="0"/>
                <w:bCs w:val="0"/>
              </w:rPr>
              <w:t>2014</w:t>
            </w:r>
          </w:p>
        </w:tc>
        <w:tc>
          <w:tcPr>
            <w:tcW w:w="1168" w:type="dxa"/>
          </w:tcPr>
          <w:p w14:paraId="7762A6F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19</w:t>
            </w:r>
          </w:p>
        </w:tc>
        <w:tc>
          <w:tcPr>
            <w:tcW w:w="1169" w:type="dxa"/>
          </w:tcPr>
          <w:p w14:paraId="1EACB19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40.4</w:t>
            </w:r>
          </w:p>
        </w:tc>
        <w:tc>
          <w:tcPr>
            <w:tcW w:w="1169" w:type="dxa"/>
          </w:tcPr>
          <w:p w14:paraId="6226CA5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11.4</w:t>
            </w:r>
          </w:p>
        </w:tc>
        <w:tc>
          <w:tcPr>
            <w:tcW w:w="1169" w:type="dxa"/>
          </w:tcPr>
          <w:p w14:paraId="052D8AE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3.558</w:t>
            </w:r>
          </w:p>
        </w:tc>
        <w:tc>
          <w:tcPr>
            <w:tcW w:w="1169" w:type="dxa"/>
          </w:tcPr>
          <w:p w14:paraId="3F36A03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0.0004</w:t>
            </w:r>
          </w:p>
        </w:tc>
        <w:tc>
          <w:tcPr>
            <w:tcW w:w="1169" w:type="dxa"/>
          </w:tcPr>
          <w:p w14:paraId="2DACAE0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18.2</w:t>
            </w:r>
          </w:p>
        </w:tc>
        <w:tc>
          <w:tcPr>
            <w:tcW w:w="1169" w:type="dxa"/>
          </w:tcPr>
          <w:p w14:paraId="549D12C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62.7</w:t>
            </w:r>
          </w:p>
        </w:tc>
      </w:tr>
      <w:tr w:rsidR="00D8269B" w:rsidRPr="00D8269B" w14:paraId="01887440"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370D3DD1" w14:textId="77777777" w:rsidR="00D8269B" w:rsidRPr="00D8269B" w:rsidRDefault="00D8269B" w:rsidP="009B7896">
            <w:pPr>
              <w:rPr>
                <w:b w:val="0"/>
                <w:bCs w:val="0"/>
              </w:rPr>
            </w:pPr>
            <w:r w:rsidRPr="00D8269B">
              <w:rPr>
                <w:b w:val="0"/>
                <w:bCs w:val="0"/>
              </w:rPr>
              <w:t>2015</w:t>
            </w:r>
          </w:p>
        </w:tc>
        <w:tc>
          <w:tcPr>
            <w:tcW w:w="1168" w:type="dxa"/>
          </w:tcPr>
          <w:p w14:paraId="12093F9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20</w:t>
            </w:r>
          </w:p>
        </w:tc>
        <w:tc>
          <w:tcPr>
            <w:tcW w:w="1169" w:type="dxa"/>
          </w:tcPr>
          <w:p w14:paraId="07D8397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67.7</w:t>
            </w:r>
          </w:p>
        </w:tc>
        <w:tc>
          <w:tcPr>
            <w:tcW w:w="1169" w:type="dxa"/>
          </w:tcPr>
          <w:p w14:paraId="0D21BFB6"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10.7</w:t>
            </w:r>
          </w:p>
        </w:tc>
        <w:tc>
          <w:tcPr>
            <w:tcW w:w="1169" w:type="dxa"/>
          </w:tcPr>
          <w:p w14:paraId="62C45A0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6.357</w:t>
            </w:r>
          </w:p>
        </w:tc>
        <w:tc>
          <w:tcPr>
            <w:tcW w:w="1169" w:type="dxa"/>
          </w:tcPr>
          <w:p w14:paraId="21BF494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0.0000</w:t>
            </w:r>
          </w:p>
        </w:tc>
        <w:tc>
          <w:tcPr>
            <w:tcW w:w="1169" w:type="dxa"/>
          </w:tcPr>
          <w:p w14:paraId="426B67E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46.8</w:t>
            </w:r>
          </w:p>
        </w:tc>
        <w:tc>
          <w:tcPr>
            <w:tcW w:w="1169" w:type="dxa"/>
          </w:tcPr>
          <w:p w14:paraId="2D7F23A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88.6</w:t>
            </w:r>
          </w:p>
        </w:tc>
      </w:tr>
      <w:tr w:rsidR="00D8269B" w:rsidRPr="00D8269B" w14:paraId="3255E7A7"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AE06AE7" w14:textId="77777777" w:rsidR="00D8269B" w:rsidRPr="00D8269B" w:rsidRDefault="00D8269B" w:rsidP="009B7896">
            <w:pPr>
              <w:rPr>
                <w:b w:val="0"/>
                <w:bCs w:val="0"/>
              </w:rPr>
            </w:pPr>
            <w:r w:rsidRPr="00D8269B">
              <w:rPr>
                <w:b w:val="0"/>
                <w:bCs w:val="0"/>
              </w:rPr>
              <w:t>2016</w:t>
            </w:r>
          </w:p>
        </w:tc>
        <w:tc>
          <w:tcPr>
            <w:tcW w:w="1168" w:type="dxa"/>
          </w:tcPr>
          <w:p w14:paraId="3E720DD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21</w:t>
            </w:r>
          </w:p>
        </w:tc>
        <w:tc>
          <w:tcPr>
            <w:tcW w:w="1169" w:type="dxa"/>
          </w:tcPr>
          <w:p w14:paraId="3889C21B"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52.0</w:t>
            </w:r>
          </w:p>
        </w:tc>
        <w:tc>
          <w:tcPr>
            <w:tcW w:w="1169" w:type="dxa"/>
          </w:tcPr>
          <w:p w14:paraId="17E846D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11.7</w:t>
            </w:r>
          </w:p>
        </w:tc>
        <w:tc>
          <w:tcPr>
            <w:tcW w:w="1169" w:type="dxa"/>
          </w:tcPr>
          <w:p w14:paraId="44F2BFC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4.432</w:t>
            </w:r>
          </w:p>
        </w:tc>
        <w:tc>
          <w:tcPr>
            <w:tcW w:w="1169" w:type="dxa"/>
          </w:tcPr>
          <w:p w14:paraId="2FB44A6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0.0000</w:t>
            </w:r>
          </w:p>
        </w:tc>
        <w:tc>
          <w:tcPr>
            <w:tcW w:w="1169" w:type="dxa"/>
          </w:tcPr>
          <w:p w14:paraId="329716B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29.0</w:t>
            </w:r>
          </w:p>
        </w:tc>
        <w:tc>
          <w:tcPr>
            <w:tcW w:w="1169" w:type="dxa"/>
          </w:tcPr>
          <w:p w14:paraId="694FB81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75.0</w:t>
            </w:r>
          </w:p>
        </w:tc>
      </w:tr>
      <w:tr w:rsidR="00D8269B" w:rsidRPr="00D8269B" w14:paraId="1306C942"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24A4CC55" w14:textId="77777777" w:rsidR="00D8269B" w:rsidRPr="00D8269B" w:rsidRDefault="00D8269B" w:rsidP="009B7896">
            <w:pPr>
              <w:rPr>
                <w:b w:val="0"/>
                <w:bCs w:val="0"/>
              </w:rPr>
            </w:pPr>
            <w:r w:rsidRPr="00D8269B">
              <w:rPr>
                <w:b w:val="0"/>
                <w:bCs w:val="0"/>
              </w:rPr>
              <w:t>2017</w:t>
            </w:r>
          </w:p>
        </w:tc>
        <w:tc>
          <w:tcPr>
            <w:tcW w:w="1168" w:type="dxa"/>
          </w:tcPr>
          <w:p w14:paraId="613FAA79"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22</w:t>
            </w:r>
          </w:p>
        </w:tc>
        <w:tc>
          <w:tcPr>
            <w:tcW w:w="1169" w:type="dxa"/>
          </w:tcPr>
          <w:p w14:paraId="627BDCB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14.3</w:t>
            </w:r>
          </w:p>
        </w:tc>
        <w:tc>
          <w:tcPr>
            <w:tcW w:w="1169" w:type="dxa"/>
          </w:tcPr>
          <w:p w14:paraId="44D0375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3.8</w:t>
            </w:r>
          </w:p>
        </w:tc>
        <w:tc>
          <w:tcPr>
            <w:tcW w:w="1169" w:type="dxa"/>
          </w:tcPr>
          <w:p w14:paraId="02E902E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3.804</w:t>
            </w:r>
          </w:p>
        </w:tc>
        <w:tc>
          <w:tcPr>
            <w:tcW w:w="1169" w:type="dxa"/>
          </w:tcPr>
          <w:p w14:paraId="4020B45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0.0001</w:t>
            </w:r>
          </w:p>
        </w:tc>
        <w:tc>
          <w:tcPr>
            <w:tcW w:w="1169" w:type="dxa"/>
          </w:tcPr>
          <w:p w14:paraId="41B2C9A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6.9</w:t>
            </w:r>
          </w:p>
        </w:tc>
        <w:tc>
          <w:tcPr>
            <w:tcW w:w="1169" w:type="dxa"/>
          </w:tcPr>
          <w:p w14:paraId="02EE823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21.7</w:t>
            </w:r>
          </w:p>
        </w:tc>
      </w:tr>
      <w:tr w:rsidR="00D8269B" w:rsidRPr="00D8269B" w14:paraId="26B2856A"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0663A8D2" w14:textId="77777777" w:rsidR="00D8269B" w:rsidRPr="00D8269B" w:rsidRDefault="00D8269B" w:rsidP="009B7896">
            <w:pPr>
              <w:rPr>
                <w:b w:val="0"/>
                <w:bCs w:val="0"/>
              </w:rPr>
            </w:pPr>
            <w:r w:rsidRPr="00D8269B">
              <w:rPr>
                <w:b w:val="0"/>
                <w:bCs w:val="0"/>
              </w:rPr>
              <w:t>2018</w:t>
            </w:r>
          </w:p>
        </w:tc>
        <w:tc>
          <w:tcPr>
            <w:tcW w:w="1168" w:type="dxa"/>
          </w:tcPr>
          <w:p w14:paraId="3850417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23</w:t>
            </w:r>
          </w:p>
        </w:tc>
        <w:tc>
          <w:tcPr>
            <w:tcW w:w="1169" w:type="dxa"/>
          </w:tcPr>
          <w:p w14:paraId="79ECC035"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43.0</w:t>
            </w:r>
          </w:p>
        </w:tc>
        <w:tc>
          <w:tcPr>
            <w:tcW w:w="1169" w:type="dxa"/>
          </w:tcPr>
          <w:p w14:paraId="0A9697C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18.6</w:t>
            </w:r>
          </w:p>
        </w:tc>
        <w:tc>
          <w:tcPr>
            <w:tcW w:w="1169" w:type="dxa"/>
          </w:tcPr>
          <w:p w14:paraId="4E48B38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2.304</w:t>
            </w:r>
          </w:p>
        </w:tc>
        <w:tc>
          <w:tcPr>
            <w:tcW w:w="1169" w:type="dxa"/>
          </w:tcPr>
          <w:p w14:paraId="561C623D"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0.0212</w:t>
            </w:r>
          </w:p>
        </w:tc>
        <w:tc>
          <w:tcPr>
            <w:tcW w:w="1169" w:type="dxa"/>
          </w:tcPr>
          <w:p w14:paraId="19F1A55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6.4</w:t>
            </w:r>
          </w:p>
        </w:tc>
        <w:tc>
          <w:tcPr>
            <w:tcW w:w="1169" w:type="dxa"/>
          </w:tcPr>
          <w:p w14:paraId="6660B2A6"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79.5</w:t>
            </w:r>
          </w:p>
        </w:tc>
      </w:tr>
      <w:tr w:rsidR="00D8269B" w:rsidRPr="00D8269B" w14:paraId="5CDDAD31"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29B4F7B2" w14:textId="77777777" w:rsidR="00D8269B" w:rsidRPr="00D8269B" w:rsidRDefault="00D8269B" w:rsidP="009B7896">
            <w:pPr>
              <w:rPr>
                <w:b w:val="0"/>
                <w:bCs w:val="0"/>
              </w:rPr>
            </w:pPr>
            <w:r w:rsidRPr="00D8269B">
              <w:rPr>
                <w:b w:val="0"/>
                <w:bCs w:val="0"/>
              </w:rPr>
              <w:t>2019</w:t>
            </w:r>
          </w:p>
        </w:tc>
        <w:tc>
          <w:tcPr>
            <w:tcW w:w="1168" w:type="dxa"/>
          </w:tcPr>
          <w:p w14:paraId="1E8F2662"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24</w:t>
            </w:r>
          </w:p>
        </w:tc>
        <w:tc>
          <w:tcPr>
            <w:tcW w:w="1169" w:type="dxa"/>
          </w:tcPr>
          <w:p w14:paraId="74C03259"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57.0</w:t>
            </w:r>
          </w:p>
        </w:tc>
        <w:tc>
          <w:tcPr>
            <w:tcW w:w="1169" w:type="dxa"/>
          </w:tcPr>
          <w:p w14:paraId="0C587BBE"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15.7</w:t>
            </w:r>
          </w:p>
        </w:tc>
        <w:tc>
          <w:tcPr>
            <w:tcW w:w="1169" w:type="dxa"/>
          </w:tcPr>
          <w:p w14:paraId="398FE1CB"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3.637</w:t>
            </w:r>
          </w:p>
        </w:tc>
        <w:tc>
          <w:tcPr>
            <w:tcW w:w="1169" w:type="dxa"/>
          </w:tcPr>
          <w:p w14:paraId="5FD6044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0.0003</w:t>
            </w:r>
          </w:p>
        </w:tc>
        <w:tc>
          <w:tcPr>
            <w:tcW w:w="1169" w:type="dxa"/>
          </w:tcPr>
          <w:p w14:paraId="3070233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26.3</w:t>
            </w:r>
          </w:p>
        </w:tc>
        <w:tc>
          <w:tcPr>
            <w:tcW w:w="1169" w:type="dxa"/>
          </w:tcPr>
          <w:p w14:paraId="5902D622"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87.7</w:t>
            </w:r>
          </w:p>
        </w:tc>
      </w:tr>
      <w:tr w:rsidR="00D8269B" w:rsidRPr="00D8269B" w14:paraId="2C7D819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F4A1EA5" w14:textId="77777777" w:rsidR="00D8269B" w:rsidRPr="00D8269B" w:rsidRDefault="00D8269B" w:rsidP="009B7896">
            <w:pPr>
              <w:rPr>
                <w:b w:val="0"/>
                <w:bCs w:val="0"/>
              </w:rPr>
            </w:pPr>
            <w:r w:rsidRPr="00D8269B">
              <w:rPr>
                <w:b w:val="0"/>
                <w:bCs w:val="0"/>
              </w:rPr>
              <w:t>2020</w:t>
            </w:r>
          </w:p>
        </w:tc>
        <w:tc>
          <w:tcPr>
            <w:tcW w:w="1168" w:type="dxa"/>
          </w:tcPr>
          <w:p w14:paraId="198684B9"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25</w:t>
            </w:r>
          </w:p>
        </w:tc>
        <w:tc>
          <w:tcPr>
            <w:tcW w:w="1169" w:type="dxa"/>
          </w:tcPr>
          <w:p w14:paraId="589E6C7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18.4</w:t>
            </w:r>
          </w:p>
        </w:tc>
        <w:tc>
          <w:tcPr>
            <w:tcW w:w="1169" w:type="dxa"/>
          </w:tcPr>
          <w:p w14:paraId="50B336F1"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9.3</w:t>
            </w:r>
          </w:p>
        </w:tc>
        <w:tc>
          <w:tcPr>
            <w:tcW w:w="1169" w:type="dxa"/>
          </w:tcPr>
          <w:p w14:paraId="064F9A1D"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1.964</w:t>
            </w:r>
          </w:p>
        </w:tc>
        <w:tc>
          <w:tcPr>
            <w:tcW w:w="1169" w:type="dxa"/>
          </w:tcPr>
          <w:p w14:paraId="36D806DA"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0.0496</w:t>
            </w:r>
          </w:p>
        </w:tc>
        <w:tc>
          <w:tcPr>
            <w:tcW w:w="1169" w:type="dxa"/>
          </w:tcPr>
          <w:p w14:paraId="188BBB81"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w:t>
            </w:r>
          </w:p>
        </w:tc>
        <w:tc>
          <w:tcPr>
            <w:tcW w:w="1169" w:type="dxa"/>
          </w:tcPr>
          <w:p w14:paraId="43A50354"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36.7</w:t>
            </w:r>
          </w:p>
        </w:tc>
      </w:tr>
      <w:tr w:rsidR="00D8269B" w:rsidRPr="00D8269B" w14:paraId="3ED3F381"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65E129B0" w14:textId="77777777" w:rsidR="00D8269B" w:rsidRPr="00D8269B" w:rsidRDefault="00D8269B" w:rsidP="009B7896">
            <w:pPr>
              <w:rPr>
                <w:b w:val="0"/>
                <w:bCs w:val="0"/>
              </w:rPr>
            </w:pPr>
            <w:r w:rsidRPr="00D8269B">
              <w:rPr>
                <w:b w:val="0"/>
                <w:bCs w:val="0"/>
              </w:rPr>
              <w:t>2021</w:t>
            </w:r>
          </w:p>
        </w:tc>
        <w:tc>
          <w:tcPr>
            <w:tcW w:w="1168" w:type="dxa"/>
          </w:tcPr>
          <w:p w14:paraId="0A0928B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26</w:t>
            </w:r>
          </w:p>
        </w:tc>
        <w:tc>
          <w:tcPr>
            <w:tcW w:w="1169" w:type="dxa"/>
          </w:tcPr>
          <w:p w14:paraId="1C6CD8C4"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20.2</w:t>
            </w:r>
          </w:p>
        </w:tc>
        <w:tc>
          <w:tcPr>
            <w:tcW w:w="1169" w:type="dxa"/>
          </w:tcPr>
          <w:p w14:paraId="16C4A59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7.2</w:t>
            </w:r>
          </w:p>
        </w:tc>
        <w:tc>
          <w:tcPr>
            <w:tcW w:w="1169" w:type="dxa"/>
          </w:tcPr>
          <w:p w14:paraId="1110F875"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2.802</w:t>
            </w:r>
          </w:p>
        </w:tc>
        <w:tc>
          <w:tcPr>
            <w:tcW w:w="1169" w:type="dxa"/>
          </w:tcPr>
          <w:p w14:paraId="5318643D"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0.0051</w:t>
            </w:r>
          </w:p>
        </w:tc>
        <w:tc>
          <w:tcPr>
            <w:tcW w:w="1169" w:type="dxa"/>
          </w:tcPr>
          <w:p w14:paraId="69CA59C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6.1</w:t>
            </w:r>
          </w:p>
        </w:tc>
        <w:tc>
          <w:tcPr>
            <w:tcW w:w="1169" w:type="dxa"/>
          </w:tcPr>
          <w:p w14:paraId="12E38E3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34.3</w:t>
            </w:r>
          </w:p>
        </w:tc>
      </w:tr>
      <w:tr w:rsidR="00D8269B" w:rsidRPr="00D8269B" w14:paraId="54F8203C"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4316AB0" w14:textId="77777777" w:rsidR="00D8269B" w:rsidRPr="00D8269B" w:rsidRDefault="00D8269B" w:rsidP="009B7896">
            <w:pPr>
              <w:rPr>
                <w:b w:val="0"/>
                <w:bCs w:val="0"/>
              </w:rPr>
            </w:pPr>
            <w:r w:rsidRPr="00D8269B">
              <w:rPr>
                <w:b w:val="0"/>
                <w:bCs w:val="0"/>
              </w:rPr>
              <w:t>2022</w:t>
            </w:r>
          </w:p>
        </w:tc>
        <w:tc>
          <w:tcPr>
            <w:tcW w:w="1168" w:type="dxa"/>
          </w:tcPr>
          <w:p w14:paraId="56D6BF13"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27</w:t>
            </w:r>
          </w:p>
        </w:tc>
        <w:tc>
          <w:tcPr>
            <w:tcW w:w="1169" w:type="dxa"/>
          </w:tcPr>
          <w:p w14:paraId="076D0D4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15.8</w:t>
            </w:r>
          </w:p>
        </w:tc>
        <w:tc>
          <w:tcPr>
            <w:tcW w:w="1169" w:type="dxa"/>
          </w:tcPr>
          <w:p w14:paraId="7DA31A4E"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7.6</w:t>
            </w:r>
          </w:p>
        </w:tc>
        <w:tc>
          <w:tcPr>
            <w:tcW w:w="1169" w:type="dxa"/>
          </w:tcPr>
          <w:p w14:paraId="7535276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2.074</w:t>
            </w:r>
          </w:p>
        </w:tc>
        <w:tc>
          <w:tcPr>
            <w:tcW w:w="1169" w:type="dxa"/>
          </w:tcPr>
          <w:p w14:paraId="1335B167"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0.0381</w:t>
            </w:r>
          </w:p>
        </w:tc>
        <w:tc>
          <w:tcPr>
            <w:tcW w:w="1169" w:type="dxa"/>
          </w:tcPr>
          <w:p w14:paraId="0DE37032"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0.9</w:t>
            </w:r>
          </w:p>
        </w:tc>
        <w:tc>
          <w:tcPr>
            <w:tcW w:w="1169" w:type="dxa"/>
          </w:tcPr>
          <w:p w14:paraId="6953F558" w14:textId="77777777" w:rsidR="00D8269B" w:rsidRPr="00D8269B" w:rsidRDefault="00D8269B" w:rsidP="009B7896">
            <w:pPr>
              <w:cnfStyle w:val="000000100000" w:firstRow="0" w:lastRow="0" w:firstColumn="0" w:lastColumn="0" w:oddVBand="0" w:evenVBand="0" w:oddHBand="1" w:evenHBand="0" w:firstRowFirstColumn="0" w:firstRowLastColumn="0" w:lastRowFirstColumn="0" w:lastRowLastColumn="0"/>
            </w:pPr>
            <w:r w:rsidRPr="00D8269B">
              <w:t>30.6</w:t>
            </w:r>
          </w:p>
        </w:tc>
      </w:tr>
      <w:tr w:rsidR="00D8269B" w:rsidRPr="00D8269B" w14:paraId="296FC34B" w14:textId="77777777" w:rsidTr="00D8269B">
        <w:tc>
          <w:tcPr>
            <w:cnfStyle w:val="001000000000" w:firstRow="0" w:lastRow="0" w:firstColumn="1" w:lastColumn="0" w:oddVBand="0" w:evenVBand="0" w:oddHBand="0" w:evenHBand="0" w:firstRowFirstColumn="0" w:firstRowLastColumn="0" w:lastRowFirstColumn="0" w:lastRowLastColumn="0"/>
            <w:tcW w:w="1168" w:type="dxa"/>
          </w:tcPr>
          <w:p w14:paraId="4DF993E2" w14:textId="77777777" w:rsidR="00D8269B" w:rsidRPr="00D8269B" w:rsidRDefault="00D8269B" w:rsidP="009B7896">
            <w:pPr>
              <w:rPr>
                <w:b w:val="0"/>
                <w:bCs w:val="0"/>
              </w:rPr>
            </w:pPr>
            <w:r w:rsidRPr="00D8269B">
              <w:rPr>
                <w:b w:val="0"/>
                <w:bCs w:val="0"/>
              </w:rPr>
              <w:t>2023</w:t>
            </w:r>
          </w:p>
        </w:tc>
        <w:tc>
          <w:tcPr>
            <w:tcW w:w="1168" w:type="dxa"/>
          </w:tcPr>
          <w:p w14:paraId="7AAB2921"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28</w:t>
            </w:r>
          </w:p>
        </w:tc>
        <w:tc>
          <w:tcPr>
            <w:tcW w:w="1169" w:type="dxa"/>
          </w:tcPr>
          <w:p w14:paraId="1355C3A3"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3.7</w:t>
            </w:r>
          </w:p>
        </w:tc>
        <w:tc>
          <w:tcPr>
            <w:tcW w:w="1169" w:type="dxa"/>
          </w:tcPr>
          <w:p w14:paraId="5C3F066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5.7</w:t>
            </w:r>
          </w:p>
        </w:tc>
        <w:tc>
          <w:tcPr>
            <w:tcW w:w="1169" w:type="dxa"/>
          </w:tcPr>
          <w:p w14:paraId="78E4799F"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0.650</w:t>
            </w:r>
          </w:p>
        </w:tc>
        <w:tc>
          <w:tcPr>
            <w:tcW w:w="1169" w:type="dxa"/>
          </w:tcPr>
          <w:p w14:paraId="701AC66A"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0.5158</w:t>
            </w:r>
          </w:p>
        </w:tc>
        <w:tc>
          <w:tcPr>
            <w:tcW w:w="1169" w:type="dxa"/>
          </w:tcPr>
          <w:p w14:paraId="4E3AC1E0"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-7.5</w:t>
            </w:r>
          </w:p>
        </w:tc>
        <w:tc>
          <w:tcPr>
            <w:tcW w:w="1169" w:type="dxa"/>
          </w:tcPr>
          <w:p w14:paraId="3F2C8179" w14:textId="77777777" w:rsidR="00D8269B" w:rsidRPr="00D8269B" w:rsidRDefault="00D8269B" w:rsidP="009B7896">
            <w:pPr>
              <w:cnfStyle w:val="000000000000" w:firstRow="0" w:lastRow="0" w:firstColumn="0" w:lastColumn="0" w:oddVBand="0" w:evenVBand="0" w:oddHBand="0" w:evenHBand="0" w:firstRowFirstColumn="0" w:firstRowLastColumn="0" w:lastRowFirstColumn="0" w:lastRowLastColumn="0"/>
            </w:pPr>
            <w:r w:rsidRPr="00D8269B">
              <w:t>15.0</w:t>
            </w:r>
          </w:p>
        </w:tc>
      </w:tr>
    </w:tbl>
    <w:p w14:paraId="24D696E1" w14:textId="77777777" w:rsidR="00D8269B" w:rsidRDefault="00D8269B" w:rsidP="00282CAE">
      <w:pPr>
        <w:rPr>
          <w:b/>
          <w:bCs/>
        </w:rPr>
      </w:pPr>
    </w:p>
    <w:p w14:paraId="3572368F" w14:textId="679D9E81" w:rsidR="00D8269B" w:rsidRPr="00D8269B" w:rsidRDefault="00D8269B" w:rsidP="00282CAE">
      <w:pPr>
        <w:rPr>
          <w:b/>
          <w:bCs/>
        </w:rPr>
      </w:pPr>
      <w:r>
        <w:rPr>
          <w:b/>
          <w:bCs/>
        </w:rPr>
        <w:t>Detailed Results for Nuclear Control Group Model</w:t>
      </w:r>
    </w:p>
    <w:tbl>
      <w:tblPr>
        <w:tblStyle w:val="ListTable3"/>
        <w:tblW w:w="0" w:type="auto"/>
        <w:tblLook w:val="04A0" w:firstRow="1" w:lastRow="0" w:firstColumn="1" w:lastColumn="0" w:noHBand="0" w:noVBand="1"/>
      </w:tblPr>
      <w:tblGrid>
        <w:gridCol w:w="2592"/>
        <w:gridCol w:w="1296"/>
      </w:tblGrid>
      <w:tr w:rsidR="00D8269B" w:rsidRPr="00D8269B" w14:paraId="69C52503" w14:textId="77777777" w:rsidTr="00D82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2" w:type="dxa"/>
          </w:tcPr>
          <w:p w14:paraId="7ADB5F4E" w14:textId="77777777" w:rsidR="00D8269B" w:rsidRPr="00D8269B" w:rsidRDefault="00D8269B" w:rsidP="009938A6">
            <w:r w:rsidRPr="00D8269B">
              <w:t>Statistic</w:t>
            </w:r>
          </w:p>
        </w:tc>
        <w:tc>
          <w:tcPr>
            <w:tcW w:w="1296" w:type="dxa"/>
          </w:tcPr>
          <w:p w14:paraId="4CE434A9" w14:textId="77777777" w:rsidR="00D8269B" w:rsidRPr="00D8269B" w:rsidRDefault="00D8269B" w:rsidP="009938A6">
            <w:pPr>
              <w:cnfStyle w:val="100000000000" w:firstRow="1" w:lastRow="0" w:firstColumn="0" w:lastColumn="0" w:oddVBand="0" w:evenVBand="0" w:oddHBand="0" w:evenHBand="0" w:firstRowFirstColumn="0" w:firstRowLastColumn="0" w:lastRowFirstColumn="0" w:lastRowLastColumn="0"/>
            </w:pPr>
            <w:r w:rsidRPr="00D8269B">
              <w:t>Value</w:t>
            </w:r>
          </w:p>
        </w:tc>
      </w:tr>
      <w:tr w:rsidR="00D8269B" w:rsidRPr="00D8269B" w14:paraId="47A4274D"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29DA54" w14:textId="77777777" w:rsidR="00D8269B" w:rsidRPr="00D8269B" w:rsidRDefault="00D8269B" w:rsidP="009938A6">
            <w:pPr>
              <w:rPr>
                <w:b w:val="0"/>
                <w:bCs w:val="0"/>
              </w:rPr>
            </w:pPr>
            <w:r w:rsidRPr="00D8269B">
              <w:rPr>
                <w:b w:val="0"/>
                <w:bCs w:val="0"/>
              </w:rPr>
              <w:t>Observations</w:t>
            </w:r>
          </w:p>
        </w:tc>
        <w:tc>
          <w:tcPr>
            <w:tcW w:w="1296" w:type="dxa"/>
          </w:tcPr>
          <w:p w14:paraId="1FA9941F"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3,422</w:t>
            </w:r>
          </w:p>
        </w:tc>
      </w:tr>
      <w:tr w:rsidR="00D8269B" w:rsidRPr="00D8269B" w14:paraId="4FA4A008"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7F849E18" w14:textId="77777777" w:rsidR="00D8269B" w:rsidRPr="00D8269B" w:rsidRDefault="00D8269B" w:rsidP="009938A6">
            <w:pPr>
              <w:rPr>
                <w:b w:val="0"/>
                <w:bCs w:val="0"/>
              </w:rPr>
            </w:pPr>
            <w:r w:rsidRPr="00D8269B">
              <w:rPr>
                <w:b w:val="0"/>
                <w:bCs w:val="0"/>
              </w:rPr>
              <w:t>Entities</w:t>
            </w:r>
          </w:p>
        </w:tc>
        <w:tc>
          <w:tcPr>
            <w:tcW w:w="1296" w:type="dxa"/>
          </w:tcPr>
          <w:p w14:paraId="1DB1F8DB"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164.0</w:t>
            </w:r>
          </w:p>
        </w:tc>
      </w:tr>
      <w:tr w:rsidR="00D8269B" w:rsidRPr="00D8269B" w14:paraId="5D6ADCF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99C2EC4" w14:textId="77777777" w:rsidR="00D8269B" w:rsidRPr="00D8269B" w:rsidRDefault="00D8269B" w:rsidP="009938A6">
            <w:pPr>
              <w:rPr>
                <w:b w:val="0"/>
                <w:bCs w:val="0"/>
              </w:rPr>
            </w:pPr>
            <w:r w:rsidRPr="00D8269B">
              <w:rPr>
                <w:b w:val="0"/>
                <w:bCs w:val="0"/>
              </w:rPr>
              <w:t>Time Periods</w:t>
            </w:r>
          </w:p>
        </w:tc>
        <w:tc>
          <w:tcPr>
            <w:tcW w:w="1296" w:type="dxa"/>
          </w:tcPr>
          <w:p w14:paraId="77BB0990"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29.0</w:t>
            </w:r>
          </w:p>
        </w:tc>
      </w:tr>
      <w:tr w:rsidR="00D8269B" w:rsidRPr="00D8269B" w14:paraId="20FB6E66"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67ABA8C0" w14:textId="77777777" w:rsidR="00D8269B" w:rsidRPr="00D8269B" w:rsidRDefault="00D8269B" w:rsidP="009938A6">
            <w:pPr>
              <w:rPr>
                <w:b w:val="0"/>
                <w:bCs w:val="0"/>
              </w:rPr>
            </w:pPr>
            <w:r w:rsidRPr="00D8269B">
              <w:rPr>
                <w:b w:val="0"/>
                <w:bCs w:val="0"/>
              </w:rPr>
              <w:t>R-squared</w:t>
            </w:r>
          </w:p>
        </w:tc>
        <w:tc>
          <w:tcPr>
            <w:tcW w:w="1296" w:type="dxa"/>
          </w:tcPr>
          <w:p w14:paraId="3F75B05B"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0.0585</w:t>
            </w:r>
          </w:p>
        </w:tc>
      </w:tr>
      <w:tr w:rsidR="00D8269B" w:rsidRPr="00D8269B" w14:paraId="33B25026"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8C702A3" w14:textId="77777777" w:rsidR="00D8269B" w:rsidRPr="00D8269B" w:rsidRDefault="00D8269B" w:rsidP="009938A6">
            <w:pPr>
              <w:rPr>
                <w:b w:val="0"/>
                <w:bCs w:val="0"/>
              </w:rPr>
            </w:pPr>
            <w:r w:rsidRPr="00D8269B">
              <w:rPr>
                <w:b w:val="0"/>
                <w:bCs w:val="0"/>
              </w:rPr>
              <w:t>R-squared (Within)</w:t>
            </w:r>
          </w:p>
        </w:tc>
        <w:tc>
          <w:tcPr>
            <w:tcW w:w="1296" w:type="dxa"/>
          </w:tcPr>
          <w:p w14:paraId="35BD2146"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0.0354</w:t>
            </w:r>
          </w:p>
        </w:tc>
      </w:tr>
      <w:tr w:rsidR="00D8269B" w:rsidRPr="00D8269B" w14:paraId="25F88DCC"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5AB993DA" w14:textId="77777777" w:rsidR="00D8269B" w:rsidRPr="00D8269B" w:rsidRDefault="00D8269B" w:rsidP="009938A6">
            <w:pPr>
              <w:rPr>
                <w:b w:val="0"/>
                <w:bCs w:val="0"/>
              </w:rPr>
            </w:pPr>
            <w:r w:rsidRPr="00D8269B">
              <w:rPr>
                <w:b w:val="0"/>
                <w:bCs w:val="0"/>
              </w:rPr>
              <w:t>R-squared (Between)</w:t>
            </w:r>
          </w:p>
        </w:tc>
        <w:tc>
          <w:tcPr>
            <w:tcW w:w="1296" w:type="dxa"/>
          </w:tcPr>
          <w:p w14:paraId="1C69E811"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0.2242</w:t>
            </w:r>
          </w:p>
        </w:tc>
      </w:tr>
      <w:tr w:rsidR="00D8269B" w:rsidRPr="00D8269B" w14:paraId="6F190A7C"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6498BC" w14:textId="77777777" w:rsidR="00D8269B" w:rsidRPr="00D8269B" w:rsidRDefault="00D8269B" w:rsidP="009938A6">
            <w:pPr>
              <w:rPr>
                <w:b w:val="0"/>
                <w:bCs w:val="0"/>
              </w:rPr>
            </w:pPr>
            <w:r w:rsidRPr="00D8269B">
              <w:rPr>
                <w:b w:val="0"/>
                <w:bCs w:val="0"/>
              </w:rPr>
              <w:t>R-squared (Overall)</w:t>
            </w:r>
          </w:p>
        </w:tc>
        <w:tc>
          <w:tcPr>
            <w:tcW w:w="1296" w:type="dxa"/>
          </w:tcPr>
          <w:p w14:paraId="6D444507"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0.0585</w:t>
            </w:r>
          </w:p>
        </w:tc>
      </w:tr>
      <w:tr w:rsidR="00D8269B" w:rsidRPr="00D8269B" w14:paraId="264837E0"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2EB43B72" w14:textId="77777777" w:rsidR="00D8269B" w:rsidRPr="00D8269B" w:rsidRDefault="00D8269B" w:rsidP="009938A6">
            <w:pPr>
              <w:rPr>
                <w:b w:val="0"/>
                <w:bCs w:val="0"/>
              </w:rPr>
            </w:pPr>
            <w:r w:rsidRPr="00D8269B">
              <w:rPr>
                <w:b w:val="0"/>
                <w:bCs w:val="0"/>
              </w:rPr>
              <w:t>F-statistic</w:t>
            </w:r>
          </w:p>
        </w:tc>
        <w:tc>
          <w:tcPr>
            <w:tcW w:w="1296" w:type="dxa"/>
          </w:tcPr>
          <w:p w14:paraId="53595CC1"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7.2634</w:t>
            </w:r>
          </w:p>
        </w:tc>
      </w:tr>
      <w:tr w:rsidR="00D8269B" w:rsidRPr="00D8269B" w14:paraId="1D459563"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B944519" w14:textId="77777777" w:rsidR="00D8269B" w:rsidRPr="00D8269B" w:rsidRDefault="00D8269B" w:rsidP="009938A6">
            <w:pPr>
              <w:rPr>
                <w:b w:val="0"/>
                <w:bCs w:val="0"/>
              </w:rPr>
            </w:pPr>
            <w:r w:rsidRPr="00D8269B">
              <w:rPr>
                <w:b w:val="0"/>
                <w:bCs w:val="0"/>
              </w:rPr>
              <w:t>F-statistic p-value</w:t>
            </w:r>
          </w:p>
        </w:tc>
        <w:tc>
          <w:tcPr>
            <w:tcW w:w="1296" w:type="dxa"/>
          </w:tcPr>
          <w:p w14:paraId="422B96D1"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0.000000</w:t>
            </w:r>
          </w:p>
        </w:tc>
      </w:tr>
      <w:tr w:rsidR="00D8269B" w:rsidRPr="00D8269B" w14:paraId="70A17546"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1180B90E" w14:textId="77777777" w:rsidR="00D8269B" w:rsidRPr="00D8269B" w:rsidRDefault="00D8269B" w:rsidP="009938A6">
            <w:pPr>
              <w:rPr>
                <w:b w:val="0"/>
                <w:bCs w:val="0"/>
              </w:rPr>
            </w:pPr>
            <w:r w:rsidRPr="00D8269B">
              <w:rPr>
                <w:b w:val="0"/>
                <w:bCs w:val="0"/>
              </w:rPr>
              <w:t>Log-likelihood</w:t>
            </w:r>
          </w:p>
        </w:tc>
        <w:tc>
          <w:tcPr>
            <w:tcW w:w="1296" w:type="dxa"/>
          </w:tcPr>
          <w:p w14:paraId="12480982"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-6.86e+04</w:t>
            </w:r>
          </w:p>
        </w:tc>
      </w:tr>
      <w:tr w:rsidR="00D8269B" w:rsidRPr="00D8269B" w14:paraId="3E5A9252" w14:textId="77777777" w:rsidTr="00D82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1CEF58" w14:textId="77777777" w:rsidR="00D8269B" w:rsidRPr="00D8269B" w:rsidRDefault="00D8269B" w:rsidP="009938A6">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Entity</w:t>
            </w:r>
          </w:p>
        </w:tc>
        <w:tc>
          <w:tcPr>
            <w:tcW w:w="1296" w:type="dxa"/>
          </w:tcPr>
          <w:p w14:paraId="5A16F8FB" w14:textId="77777777" w:rsidR="00D8269B" w:rsidRPr="00D8269B" w:rsidRDefault="00D8269B" w:rsidP="009938A6">
            <w:pPr>
              <w:cnfStyle w:val="000000100000" w:firstRow="0" w:lastRow="0" w:firstColumn="0" w:lastColumn="0" w:oddVBand="0" w:evenVBand="0" w:oddHBand="1" w:evenHBand="0" w:firstRowFirstColumn="0" w:firstRowLastColumn="0" w:lastRowFirstColumn="0" w:lastRowLastColumn="0"/>
            </w:pPr>
            <w:r w:rsidRPr="00D8269B">
              <w:t>20.9</w:t>
            </w:r>
          </w:p>
        </w:tc>
      </w:tr>
      <w:tr w:rsidR="00D8269B" w:rsidRPr="00D8269B" w14:paraId="08BE7FA5" w14:textId="77777777" w:rsidTr="00D8269B">
        <w:tc>
          <w:tcPr>
            <w:cnfStyle w:val="001000000000" w:firstRow="0" w:lastRow="0" w:firstColumn="1" w:lastColumn="0" w:oddVBand="0" w:evenVBand="0" w:oddHBand="0" w:evenHBand="0" w:firstRowFirstColumn="0" w:firstRowLastColumn="0" w:lastRowFirstColumn="0" w:lastRowLastColumn="0"/>
            <w:tcW w:w="2592" w:type="dxa"/>
          </w:tcPr>
          <w:p w14:paraId="33AC252A" w14:textId="77777777" w:rsidR="00D8269B" w:rsidRPr="00D8269B" w:rsidRDefault="00D8269B" w:rsidP="009938A6">
            <w:pPr>
              <w:rPr>
                <w:b w:val="0"/>
                <w:bCs w:val="0"/>
              </w:rPr>
            </w:pPr>
            <w:r w:rsidRPr="00D8269B">
              <w:rPr>
                <w:b w:val="0"/>
                <w:bCs w:val="0"/>
              </w:rPr>
              <w:t xml:space="preserve">Average </w:t>
            </w:r>
            <w:proofErr w:type="spellStart"/>
            <w:r w:rsidRPr="00D8269B">
              <w:rPr>
                <w:b w:val="0"/>
                <w:bCs w:val="0"/>
              </w:rPr>
              <w:t>Obs</w:t>
            </w:r>
            <w:proofErr w:type="spellEnd"/>
            <w:r w:rsidRPr="00D8269B">
              <w:rPr>
                <w:b w:val="0"/>
                <w:bCs w:val="0"/>
              </w:rPr>
              <w:t xml:space="preserve"> per Time</w:t>
            </w:r>
          </w:p>
        </w:tc>
        <w:tc>
          <w:tcPr>
            <w:tcW w:w="1296" w:type="dxa"/>
          </w:tcPr>
          <w:p w14:paraId="6E1A79C5" w14:textId="77777777" w:rsidR="00D8269B" w:rsidRPr="00D8269B" w:rsidRDefault="00D8269B" w:rsidP="009938A6">
            <w:pPr>
              <w:cnfStyle w:val="000000000000" w:firstRow="0" w:lastRow="0" w:firstColumn="0" w:lastColumn="0" w:oddVBand="0" w:evenVBand="0" w:oddHBand="0" w:evenHBand="0" w:firstRowFirstColumn="0" w:firstRowLastColumn="0" w:lastRowFirstColumn="0" w:lastRowLastColumn="0"/>
            </w:pPr>
            <w:r w:rsidRPr="00D8269B">
              <w:t>118.0</w:t>
            </w:r>
          </w:p>
        </w:tc>
      </w:tr>
    </w:tbl>
    <w:p w14:paraId="6E237467" w14:textId="77777777" w:rsidR="002C5E5B" w:rsidRDefault="002C5E5B" w:rsidP="003B6A0E"/>
    <w:tbl>
      <w:tblPr>
        <w:tblStyle w:val="ListTable3"/>
        <w:tblW w:w="0" w:type="auto"/>
        <w:tblLook w:val="04A0" w:firstRow="1" w:lastRow="0" w:firstColumn="1" w:lastColumn="0" w:noHBand="0" w:noVBand="1"/>
      </w:tblPr>
      <w:tblGrid>
        <w:gridCol w:w="1132"/>
        <w:gridCol w:w="1153"/>
        <w:gridCol w:w="1347"/>
        <w:gridCol w:w="1140"/>
        <w:gridCol w:w="1138"/>
        <w:gridCol w:w="1148"/>
        <w:gridCol w:w="1146"/>
        <w:gridCol w:w="1146"/>
      </w:tblGrid>
      <w:tr w:rsidR="00A71EA5" w:rsidRPr="00A71EA5" w14:paraId="3F8E9DF8" w14:textId="77777777" w:rsidTr="00A7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tcPr>
          <w:p w14:paraId="2A77CBB5" w14:textId="77777777" w:rsidR="00A71EA5" w:rsidRPr="00A71EA5" w:rsidRDefault="00A71EA5" w:rsidP="00C427F5">
            <w:r w:rsidRPr="00A71EA5">
              <w:lastRenderedPageBreak/>
              <w:t>Year</w:t>
            </w:r>
          </w:p>
        </w:tc>
        <w:tc>
          <w:tcPr>
            <w:tcW w:w="1168" w:type="dxa"/>
          </w:tcPr>
          <w:p w14:paraId="50CEAB41"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proofErr w:type="spellStart"/>
            <w:r w:rsidRPr="00A71EA5">
              <w:t>Event_t</w:t>
            </w:r>
            <w:proofErr w:type="spellEnd"/>
          </w:p>
        </w:tc>
        <w:tc>
          <w:tcPr>
            <w:tcW w:w="1169" w:type="dxa"/>
          </w:tcPr>
          <w:p w14:paraId="238CC7EA"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Coefficient ($M)</w:t>
            </w:r>
          </w:p>
        </w:tc>
        <w:tc>
          <w:tcPr>
            <w:tcW w:w="1169" w:type="dxa"/>
          </w:tcPr>
          <w:p w14:paraId="6ADE13AD"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Std Error ($M)</w:t>
            </w:r>
          </w:p>
        </w:tc>
        <w:tc>
          <w:tcPr>
            <w:tcW w:w="1169" w:type="dxa"/>
          </w:tcPr>
          <w:p w14:paraId="64A5D279"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t-stat</w:t>
            </w:r>
          </w:p>
        </w:tc>
        <w:tc>
          <w:tcPr>
            <w:tcW w:w="1169" w:type="dxa"/>
          </w:tcPr>
          <w:p w14:paraId="48886B43"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P-value</w:t>
            </w:r>
          </w:p>
        </w:tc>
        <w:tc>
          <w:tcPr>
            <w:tcW w:w="1169" w:type="dxa"/>
          </w:tcPr>
          <w:p w14:paraId="3487B41F"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CI Lower ($M)</w:t>
            </w:r>
          </w:p>
        </w:tc>
        <w:tc>
          <w:tcPr>
            <w:tcW w:w="1169" w:type="dxa"/>
          </w:tcPr>
          <w:p w14:paraId="5515C760" w14:textId="77777777" w:rsidR="00A71EA5" w:rsidRPr="00A71EA5" w:rsidRDefault="00A71EA5" w:rsidP="00C427F5">
            <w:pPr>
              <w:cnfStyle w:val="100000000000" w:firstRow="1" w:lastRow="0" w:firstColumn="0" w:lastColumn="0" w:oddVBand="0" w:evenVBand="0" w:oddHBand="0" w:evenHBand="0" w:firstRowFirstColumn="0" w:firstRowLastColumn="0" w:lastRowFirstColumn="0" w:lastRowLastColumn="0"/>
            </w:pPr>
            <w:r w:rsidRPr="00A71EA5">
              <w:t>CI Upper ($M)</w:t>
            </w:r>
          </w:p>
        </w:tc>
      </w:tr>
      <w:tr w:rsidR="00A71EA5" w:rsidRPr="00A71EA5" w14:paraId="4E687A3A"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D4F02BE" w14:textId="77777777" w:rsidR="00A71EA5" w:rsidRPr="00A71EA5" w:rsidRDefault="00A71EA5" w:rsidP="00C427F5">
            <w:pPr>
              <w:rPr>
                <w:b w:val="0"/>
                <w:bCs w:val="0"/>
              </w:rPr>
            </w:pPr>
            <w:r w:rsidRPr="00A71EA5">
              <w:rPr>
                <w:b w:val="0"/>
                <w:bCs w:val="0"/>
              </w:rPr>
              <w:t>1996</w:t>
            </w:r>
          </w:p>
        </w:tc>
        <w:tc>
          <w:tcPr>
            <w:tcW w:w="1168" w:type="dxa"/>
          </w:tcPr>
          <w:p w14:paraId="3B291016"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w:t>
            </w:r>
          </w:p>
        </w:tc>
        <w:tc>
          <w:tcPr>
            <w:tcW w:w="1169" w:type="dxa"/>
          </w:tcPr>
          <w:p w14:paraId="315AE666"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14.0</w:t>
            </w:r>
          </w:p>
        </w:tc>
        <w:tc>
          <w:tcPr>
            <w:tcW w:w="1169" w:type="dxa"/>
          </w:tcPr>
          <w:p w14:paraId="074598B2"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4.2</w:t>
            </w:r>
          </w:p>
        </w:tc>
        <w:tc>
          <w:tcPr>
            <w:tcW w:w="1169" w:type="dxa"/>
          </w:tcPr>
          <w:p w14:paraId="13FF9CA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3.323</w:t>
            </w:r>
          </w:p>
        </w:tc>
        <w:tc>
          <w:tcPr>
            <w:tcW w:w="1169" w:type="dxa"/>
          </w:tcPr>
          <w:p w14:paraId="5028E6F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0.0009</w:t>
            </w:r>
          </w:p>
        </w:tc>
        <w:tc>
          <w:tcPr>
            <w:tcW w:w="1169" w:type="dxa"/>
          </w:tcPr>
          <w:p w14:paraId="4C32669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5.7</w:t>
            </w:r>
          </w:p>
        </w:tc>
        <w:tc>
          <w:tcPr>
            <w:tcW w:w="1169" w:type="dxa"/>
          </w:tcPr>
          <w:p w14:paraId="44962078"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22.3</w:t>
            </w:r>
          </w:p>
        </w:tc>
      </w:tr>
      <w:tr w:rsidR="00A71EA5" w:rsidRPr="00A71EA5" w14:paraId="49D1B24D"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1925ECB9" w14:textId="77777777" w:rsidR="00A71EA5" w:rsidRPr="00A71EA5" w:rsidRDefault="00A71EA5" w:rsidP="00C427F5">
            <w:pPr>
              <w:rPr>
                <w:b w:val="0"/>
                <w:bCs w:val="0"/>
              </w:rPr>
            </w:pPr>
            <w:r w:rsidRPr="00A71EA5">
              <w:rPr>
                <w:b w:val="0"/>
                <w:bCs w:val="0"/>
              </w:rPr>
              <w:t>1997</w:t>
            </w:r>
          </w:p>
        </w:tc>
        <w:tc>
          <w:tcPr>
            <w:tcW w:w="1168" w:type="dxa"/>
          </w:tcPr>
          <w:p w14:paraId="5EF72D0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w:t>
            </w:r>
          </w:p>
        </w:tc>
        <w:tc>
          <w:tcPr>
            <w:tcW w:w="1169" w:type="dxa"/>
          </w:tcPr>
          <w:p w14:paraId="4B874BB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4.0</w:t>
            </w:r>
          </w:p>
        </w:tc>
        <w:tc>
          <w:tcPr>
            <w:tcW w:w="1169" w:type="dxa"/>
          </w:tcPr>
          <w:p w14:paraId="2071AEF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0.8</w:t>
            </w:r>
          </w:p>
        </w:tc>
        <w:tc>
          <w:tcPr>
            <w:tcW w:w="1169" w:type="dxa"/>
          </w:tcPr>
          <w:p w14:paraId="4450EAC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4.724</w:t>
            </w:r>
          </w:p>
        </w:tc>
        <w:tc>
          <w:tcPr>
            <w:tcW w:w="1169" w:type="dxa"/>
          </w:tcPr>
          <w:p w14:paraId="6F4BB9F8"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0.0000</w:t>
            </w:r>
          </w:p>
        </w:tc>
        <w:tc>
          <w:tcPr>
            <w:tcW w:w="1169" w:type="dxa"/>
          </w:tcPr>
          <w:p w14:paraId="472A4B9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2.3</w:t>
            </w:r>
          </w:p>
        </w:tc>
        <w:tc>
          <w:tcPr>
            <w:tcW w:w="1169" w:type="dxa"/>
          </w:tcPr>
          <w:p w14:paraId="3CA2BA4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5.7</w:t>
            </w:r>
          </w:p>
        </w:tc>
      </w:tr>
      <w:tr w:rsidR="00A71EA5" w:rsidRPr="00A71EA5" w14:paraId="6AF032E4"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0CB212C3" w14:textId="77777777" w:rsidR="00A71EA5" w:rsidRPr="00A71EA5" w:rsidRDefault="00A71EA5" w:rsidP="00C427F5">
            <w:pPr>
              <w:rPr>
                <w:b w:val="0"/>
                <w:bCs w:val="0"/>
              </w:rPr>
            </w:pPr>
            <w:r w:rsidRPr="00A71EA5">
              <w:rPr>
                <w:b w:val="0"/>
                <w:bCs w:val="0"/>
              </w:rPr>
              <w:t>1998</w:t>
            </w:r>
          </w:p>
        </w:tc>
        <w:tc>
          <w:tcPr>
            <w:tcW w:w="1168" w:type="dxa"/>
          </w:tcPr>
          <w:p w14:paraId="26866DB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w:t>
            </w:r>
          </w:p>
        </w:tc>
        <w:tc>
          <w:tcPr>
            <w:tcW w:w="1169" w:type="dxa"/>
          </w:tcPr>
          <w:p w14:paraId="0E2B41F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w:t>
            </w:r>
          </w:p>
        </w:tc>
        <w:tc>
          <w:tcPr>
            <w:tcW w:w="1169" w:type="dxa"/>
          </w:tcPr>
          <w:p w14:paraId="2C8EAE0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1.2</w:t>
            </w:r>
          </w:p>
        </w:tc>
        <w:tc>
          <w:tcPr>
            <w:tcW w:w="1169" w:type="dxa"/>
          </w:tcPr>
          <w:p w14:paraId="78B7CBD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0.977</w:t>
            </w:r>
          </w:p>
        </w:tc>
        <w:tc>
          <w:tcPr>
            <w:tcW w:w="1169" w:type="dxa"/>
          </w:tcPr>
          <w:p w14:paraId="3E14BE6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0.3286</w:t>
            </w:r>
          </w:p>
        </w:tc>
        <w:tc>
          <w:tcPr>
            <w:tcW w:w="1169" w:type="dxa"/>
          </w:tcPr>
          <w:p w14:paraId="3CD8EBC1"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w:t>
            </w:r>
          </w:p>
        </w:tc>
        <w:tc>
          <w:tcPr>
            <w:tcW w:w="1169" w:type="dxa"/>
          </w:tcPr>
          <w:p w14:paraId="68D9146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3.4</w:t>
            </w:r>
          </w:p>
        </w:tc>
      </w:tr>
      <w:tr w:rsidR="00A71EA5" w:rsidRPr="00A71EA5" w14:paraId="015338A3"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1BDD4A9E" w14:textId="77777777" w:rsidR="00A71EA5" w:rsidRPr="00A71EA5" w:rsidRDefault="00A71EA5" w:rsidP="00C427F5">
            <w:pPr>
              <w:rPr>
                <w:b w:val="0"/>
                <w:bCs w:val="0"/>
              </w:rPr>
            </w:pPr>
            <w:r w:rsidRPr="00A71EA5">
              <w:rPr>
                <w:b w:val="0"/>
                <w:bCs w:val="0"/>
              </w:rPr>
              <w:t>1999</w:t>
            </w:r>
          </w:p>
        </w:tc>
        <w:tc>
          <w:tcPr>
            <w:tcW w:w="1168" w:type="dxa"/>
          </w:tcPr>
          <w:p w14:paraId="1384578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w:t>
            </w:r>
          </w:p>
        </w:tc>
        <w:tc>
          <w:tcPr>
            <w:tcW w:w="1169" w:type="dxa"/>
          </w:tcPr>
          <w:p w14:paraId="571FB95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1.5</w:t>
            </w:r>
          </w:p>
        </w:tc>
        <w:tc>
          <w:tcPr>
            <w:tcW w:w="1169" w:type="dxa"/>
          </w:tcPr>
          <w:p w14:paraId="7716989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2.5</w:t>
            </w:r>
          </w:p>
        </w:tc>
        <w:tc>
          <w:tcPr>
            <w:tcW w:w="1169" w:type="dxa"/>
          </w:tcPr>
          <w:p w14:paraId="38E801F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0.617</w:t>
            </w:r>
          </w:p>
        </w:tc>
        <w:tc>
          <w:tcPr>
            <w:tcW w:w="1169" w:type="dxa"/>
          </w:tcPr>
          <w:p w14:paraId="379F396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0.5371</w:t>
            </w:r>
          </w:p>
        </w:tc>
        <w:tc>
          <w:tcPr>
            <w:tcW w:w="1169" w:type="dxa"/>
          </w:tcPr>
          <w:p w14:paraId="726A808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-3.3</w:t>
            </w:r>
          </w:p>
        </w:tc>
        <w:tc>
          <w:tcPr>
            <w:tcW w:w="1169" w:type="dxa"/>
          </w:tcPr>
          <w:p w14:paraId="7AD2BAB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6.4</w:t>
            </w:r>
          </w:p>
        </w:tc>
      </w:tr>
      <w:tr w:rsidR="00A71EA5" w:rsidRPr="00A71EA5" w14:paraId="787CA58C"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0B07371" w14:textId="77777777" w:rsidR="00A71EA5" w:rsidRPr="00A71EA5" w:rsidRDefault="00A71EA5" w:rsidP="00C427F5">
            <w:pPr>
              <w:rPr>
                <w:b w:val="0"/>
                <w:bCs w:val="0"/>
              </w:rPr>
            </w:pPr>
            <w:r w:rsidRPr="00A71EA5">
              <w:rPr>
                <w:b w:val="0"/>
                <w:bCs w:val="0"/>
              </w:rPr>
              <w:t>2000</w:t>
            </w:r>
          </w:p>
        </w:tc>
        <w:tc>
          <w:tcPr>
            <w:tcW w:w="1168" w:type="dxa"/>
          </w:tcPr>
          <w:p w14:paraId="3C49B907"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5</w:t>
            </w:r>
          </w:p>
        </w:tc>
        <w:tc>
          <w:tcPr>
            <w:tcW w:w="1169" w:type="dxa"/>
          </w:tcPr>
          <w:p w14:paraId="734C140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7.7</w:t>
            </w:r>
          </w:p>
        </w:tc>
        <w:tc>
          <w:tcPr>
            <w:tcW w:w="1169" w:type="dxa"/>
          </w:tcPr>
          <w:p w14:paraId="48A99CF2"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2.0</w:t>
            </w:r>
          </w:p>
        </w:tc>
        <w:tc>
          <w:tcPr>
            <w:tcW w:w="1169" w:type="dxa"/>
          </w:tcPr>
          <w:p w14:paraId="2DF6DD8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3.876</w:t>
            </w:r>
          </w:p>
        </w:tc>
        <w:tc>
          <w:tcPr>
            <w:tcW w:w="1169" w:type="dxa"/>
          </w:tcPr>
          <w:p w14:paraId="729DA0A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0.0001</w:t>
            </w:r>
          </w:p>
        </w:tc>
        <w:tc>
          <w:tcPr>
            <w:tcW w:w="1169" w:type="dxa"/>
          </w:tcPr>
          <w:p w14:paraId="2428A58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3.8</w:t>
            </w:r>
          </w:p>
        </w:tc>
        <w:tc>
          <w:tcPr>
            <w:tcW w:w="1169" w:type="dxa"/>
          </w:tcPr>
          <w:p w14:paraId="4663A9F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11.5</w:t>
            </w:r>
          </w:p>
        </w:tc>
      </w:tr>
      <w:tr w:rsidR="00A71EA5" w:rsidRPr="00A71EA5" w14:paraId="70FD0A24"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60E7E1DF" w14:textId="77777777" w:rsidR="00A71EA5" w:rsidRPr="00A71EA5" w:rsidRDefault="00A71EA5" w:rsidP="00C427F5">
            <w:pPr>
              <w:rPr>
                <w:b w:val="0"/>
                <w:bCs w:val="0"/>
              </w:rPr>
            </w:pPr>
            <w:r w:rsidRPr="00A71EA5">
              <w:rPr>
                <w:b w:val="0"/>
                <w:bCs w:val="0"/>
              </w:rPr>
              <w:t>2001</w:t>
            </w:r>
          </w:p>
        </w:tc>
        <w:tc>
          <w:tcPr>
            <w:tcW w:w="1168" w:type="dxa"/>
          </w:tcPr>
          <w:p w14:paraId="3AD1052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w:t>
            </w:r>
          </w:p>
        </w:tc>
        <w:tc>
          <w:tcPr>
            <w:tcW w:w="1169" w:type="dxa"/>
          </w:tcPr>
          <w:p w14:paraId="7FBF542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13.3</w:t>
            </w:r>
          </w:p>
        </w:tc>
        <w:tc>
          <w:tcPr>
            <w:tcW w:w="1169" w:type="dxa"/>
          </w:tcPr>
          <w:p w14:paraId="6A0D263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4.9</w:t>
            </w:r>
          </w:p>
        </w:tc>
        <w:tc>
          <w:tcPr>
            <w:tcW w:w="1169" w:type="dxa"/>
          </w:tcPr>
          <w:p w14:paraId="15805DD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2.725</w:t>
            </w:r>
          </w:p>
        </w:tc>
        <w:tc>
          <w:tcPr>
            <w:tcW w:w="1169" w:type="dxa"/>
          </w:tcPr>
          <w:p w14:paraId="789D6BC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0.0065</w:t>
            </w:r>
          </w:p>
        </w:tc>
        <w:tc>
          <w:tcPr>
            <w:tcW w:w="1169" w:type="dxa"/>
          </w:tcPr>
          <w:p w14:paraId="4A3CAD99"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3.7</w:t>
            </w:r>
          </w:p>
        </w:tc>
        <w:tc>
          <w:tcPr>
            <w:tcW w:w="1169" w:type="dxa"/>
          </w:tcPr>
          <w:p w14:paraId="14DCAD9D"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22.9</w:t>
            </w:r>
          </w:p>
        </w:tc>
      </w:tr>
      <w:tr w:rsidR="00A71EA5" w:rsidRPr="00A71EA5" w14:paraId="0B9C455B"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67B0A6E" w14:textId="77777777" w:rsidR="00A71EA5" w:rsidRPr="00A71EA5" w:rsidRDefault="00A71EA5" w:rsidP="00C427F5">
            <w:pPr>
              <w:rPr>
                <w:b w:val="0"/>
                <w:bCs w:val="0"/>
              </w:rPr>
            </w:pPr>
            <w:r w:rsidRPr="00A71EA5">
              <w:rPr>
                <w:b w:val="0"/>
                <w:bCs w:val="0"/>
              </w:rPr>
              <w:t>2002</w:t>
            </w:r>
          </w:p>
        </w:tc>
        <w:tc>
          <w:tcPr>
            <w:tcW w:w="1168" w:type="dxa"/>
          </w:tcPr>
          <w:p w14:paraId="294BE17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w:t>
            </w:r>
          </w:p>
        </w:tc>
        <w:tc>
          <w:tcPr>
            <w:tcW w:w="1169" w:type="dxa"/>
          </w:tcPr>
          <w:p w14:paraId="5F15ABA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13.1</w:t>
            </w:r>
          </w:p>
        </w:tc>
        <w:tc>
          <w:tcPr>
            <w:tcW w:w="1169" w:type="dxa"/>
          </w:tcPr>
          <w:p w14:paraId="5D68326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3.2</w:t>
            </w:r>
          </w:p>
        </w:tc>
        <w:tc>
          <w:tcPr>
            <w:tcW w:w="1169" w:type="dxa"/>
          </w:tcPr>
          <w:p w14:paraId="0162DE2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4.050</w:t>
            </w:r>
          </w:p>
        </w:tc>
        <w:tc>
          <w:tcPr>
            <w:tcW w:w="1169" w:type="dxa"/>
          </w:tcPr>
          <w:p w14:paraId="48F2641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0.0001</w:t>
            </w:r>
          </w:p>
        </w:tc>
        <w:tc>
          <w:tcPr>
            <w:tcW w:w="1169" w:type="dxa"/>
          </w:tcPr>
          <w:p w14:paraId="15F707A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6.7</w:t>
            </w:r>
          </w:p>
        </w:tc>
        <w:tc>
          <w:tcPr>
            <w:tcW w:w="1169" w:type="dxa"/>
          </w:tcPr>
          <w:p w14:paraId="40EE28B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19.4</w:t>
            </w:r>
          </w:p>
        </w:tc>
      </w:tr>
      <w:tr w:rsidR="00A71EA5" w:rsidRPr="00A71EA5" w14:paraId="2BCAF6F0"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051D5DDF" w14:textId="77777777" w:rsidR="00A71EA5" w:rsidRPr="00A71EA5" w:rsidRDefault="00A71EA5" w:rsidP="00C427F5">
            <w:pPr>
              <w:rPr>
                <w:b w:val="0"/>
                <w:bCs w:val="0"/>
              </w:rPr>
            </w:pPr>
            <w:r w:rsidRPr="00A71EA5">
              <w:rPr>
                <w:b w:val="0"/>
                <w:bCs w:val="0"/>
              </w:rPr>
              <w:t>2003</w:t>
            </w:r>
          </w:p>
        </w:tc>
        <w:tc>
          <w:tcPr>
            <w:tcW w:w="1168" w:type="dxa"/>
          </w:tcPr>
          <w:p w14:paraId="52A6F52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8</w:t>
            </w:r>
          </w:p>
        </w:tc>
        <w:tc>
          <w:tcPr>
            <w:tcW w:w="1169" w:type="dxa"/>
          </w:tcPr>
          <w:p w14:paraId="6A16A08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19.3</w:t>
            </w:r>
          </w:p>
        </w:tc>
        <w:tc>
          <w:tcPr>
            <w:tcW w:w="1169" w:type="dxa"/>
          </w:tcPr>
          <w:p w14:paraId="0119DF2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4.8</w:t>
            </w:r>
          </w:p>
        </w:tc>
        <w:tc>
          <w:tcPr>
            <w:tcW w:w="1169" w:type="dxa"/>
          </w:tcPr>
          <w:p w14:paraId="58916DF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3.989</w:t>
            </w:r>
          </w:p>
        </w:tc>
        <w:tc>
          <w:tcPr>
            <w:tcW w:w="1169" w:type="dxa"/>
          </w:tcPr>
          <w:p w14:paraId="5E33B3E8"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0.0001</w:t>
            </w:r>
          </w:p>
        </w:tc>
        <w:tc>
          <w:tcPr>
            <w:tcW w:w="1169" w:type="dxa"/>
          </w:tcPr>
          <w:p w14:paraId="0089AC2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9.8</w:t>
            </w:r>
          </w:p>
        </w:tc>
        <w:tc>
          <w:tcPr>
            <w:tcW w:w="1169" w:type="dxa"/>
          </w:tcPr>
          <w:p w14:paraId="3C9E9BC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28.8</w:t>
            </w:r>
          </w:p>
        </w:tc>
      </w:tr>
      <w:tr w:rsidR="00A71EA5" w:rsidRPr="00A71EA5" w14:paraId="396A6D85"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4702BBB" w14:textId="77777777" w:rsidR="00A71EA5" w:rsidRPr="00A71EA5" w:rsidRDefault="00A71EA5" w:rsidP="00C427F5">
            <w:pPr>
              <w:rPr>
                <w:b w:val="0"/>
                <w:bCs w:val="0"/>
              </w:rPr>
            </w:pPr>
            <w:r w:rsidRPr="00A71EA5">
              <w:rPr>
                <w:b w:val="0"/>
                <w:bCs w:val="0"/>
              </w:rPr>
              <w:t>2004</w:t>
            </w:r>
          </w:p>
        </w:tc>
        <w:tc>
          <w:tcPr>
            <w:tcW w:w="1168" w:type="dxa"/>
          </w:tcPr>
          <w:p w14:paraId="7E4A76E7"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9</w:t>
            </w:r>
          </w:p>
        </w:tc>
        <w:tc>
          <w:tcPr>
            <w:tcW w:w="1169" w:type="dxa"/>
          </w:tcPr>
          <w:p w14:paraId="09C0712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15.9</w:t>
            </w:r>
          </w:p>
        </w:tc>
        <w:tc>
          <w:tcPr>
            <w:tcW w:w="1169" w:type="dxa"/>
          </w:tcPr>
          <w:p w14:paraId="36C2D5E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3.6</w:t>
            </w:r>
          </w:p>
        </w:tc>
        <w:tc>
          <w:tcPr>
            <w:tcW w:w="1169" w:type="dxa"/>
          </w:tcPr>
          <w:p w14:paraId="6B94600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4.438</w:t>
            </w:r>
          </w:p>
        </w:tc>
        <w:tc>
          <w:tcPr>
            <w:tcW w:w="1169" w:type="dxa"/>
          </w:tcPr>
          <w:p w14:paraId="36358C7E"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0.0000</w:t>
            </w:r>
          </w:p>
        </w:tc>
        <w:tc>
          <w:tcPr>
            <w:tcW w:w="1169" w:type="dxa"/>
          </w:tcPr>
          <w:p w14:paraId="3F5B996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8.9</w:t>
            </w:r>
          </w:p>
        </w:tc>
        <w:tc>
          <w:tcPr>
            <w:tcW w:w="1169" w:type="dxa"/>
          </w:tcPr>
          <w:p w14:paraId="3819309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22.9</w:t>
            </w:r>
          </w:p>
        </w:tc>
      </w:tr>
      <w:tr w:rsidR="00A71EA5" w:rsidRPr="00A71EA5" w14:paraId="6F0F0B2C"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42F85E88" w14:textId="77777777" w:rsidR="00A71EA5" w:rsidRPr="00A71EA5" w:rsidRDefault="00A71EA5" w:rsidP="00C427F5">
            <w:pPr>
              <w:rPr>
                <w:b w:val="0"/>
                <w:bCs w:val="0"/>
              </w:rPr>
            </w:pPr>
            <w:r w:rsidRPr="00A71EA5">
              <w:rPr>
                <w:b w:val="0"/>
                <w:bCs w:val="0"/>
              </w:rPr>
              <w:t>2005</w:t>
            </w:r>
          </w:p>
        </w:tc>
        <w:tc>
          <w:tcPr>
            <w:tcW w:w="1168" w:type="dxa"/>
          </w:tcPr>
          <w:p w14:paraId="4D4F71B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10</w:t>
            </w:r>
          </w:p>
        </w:tc>
        <w:tc>
          <w:tcPr>
            <w:tcW w:w="1169" w:type="dxa"/>
          </w:tcPr>
          <w:p w14:paraId="7BCAE31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10.5</w:t>
            </w:r>
          </w:p>
        </w:tc>
        <w:tc>
          <w:tcPr>
            <w:tcW w:w="1169" w:type="dxa"/>
          </w:tcPr>
          <w:p w14:paraId="31776A49"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2.4</w:t>
            </w:r>
          </w:p>
        </w:tc>
        <w:tc>
          <w:tcPr>
            <w:tcW w:w="1169" w:type="dxa"/>
          </w:tcPr>
          <w:p w14:paraId="4D354683"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4.394</w:t>
            </w:r>
          </w:p>
        </w:tc>
        <w:tc>
          <w:tcPr>
            <w:tcW w:w="1169" w:type="dxa"/>
          </w:tcPr>
          <w:p w14:paraId="0FDF012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0.0000</w:t>
            </w:r>
          </w:p>
        </w:tc>
        <w:tc>
          <w:tcPr>
            <w:tcW w:w="1169" w:type="dxa"/>
          </w:tcPr>
          <w:p w14:paraId="793D29A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5.8</w:t>
            </w:r>
          </w:p>
        </w:tc>
        <w:tc>
          <w:tcPr>
            <w:tcW w:w="1169" w:type="dxa"/>
          </w:tcPr>
          <w:p w14:paraId="3A73299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15.2</w:t>
            </w:r>
          </w:p>
        </w:tc>
      </w:tr>
      <w:tr w:rsidR="00A71EA5" w:rsidRPr="00A71EA5" w14:paraId="233A202D"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F2C9338" w14:textId="77777777" w:rsidR="00A71EA5" w:rsidRPr="00A71EA5" w:rsidRDefault="00A71EA5" w:rsidP="00C427F5">
            <w:pPr>
              <w:rPr>
                <w:b w:val="0"/>
                <w:bCs w:val="0"/>
              </w:rPr>
            </w:pPr>
            <w:r w:rsidRPr="00A71EA5">
              <w:rPr>
                <w:b w:val="0"/>
                <w:bCs w:val="0"/>
              </w:rPr>
              <w:t>2006</w:t>
            </w:r>
          </w:p>
        </w:tc>
        <w:tc>
          <w:tcPr>
            <w:tcW w:w="1168" w:type="dxa"/>
          </w:tcPr>
          <w:p w14:paraId="5C18851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w:t>
            </w:r>
          </w:p>
        </w:tc>
        <w:tc>
          <w:tcPr>
            <w:tcW w:w="1169" w:type="dxa"/>
          </w:tcPr>
          <w:p w14:paraId="33B7851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8.6</w:t>
            </w:r>
          </w:p>
        </w:tc>
        <w:tc>
          <w:tcPr>
            <w:tcW w:w="1169" w:type="dxa"/>
          </w:tcPr>
          <w:p w14:paraId="2279E89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6.8</w:t>
            </w:r>
          </w:p>
        </w:tc>
        <w:tc>
          <w:tcPr>
            <w:tcW w:w="1169" w:type="dxa"/>
          </w:tcPr>
          <w:p w14:paraId="39DC16B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1.265</w:t>
            </w:r>
          </w:p>
        </w:tc>
        <w:tc>
          <w:tcPr>
            <w:tcW w:w="1169" w:type="dxa"/>
          </w:tcPr>
          <w:p w14:paraId="4B61012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0.2059</w:t>
            </w:r>
          </w:p>
        </w:tc>
        <w:tc>
          <w:tcPr>
            <w:tcW w:w="1169" w:type="dxa"/>
          </w:tcPr>
          <w:p w14:paraId="6375898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-4.7</w:t>
            </w:r>
          </w:p>
        </w:tc>
        <w:tc>
          <w:tcPr>
            <w:tcW w:w="1169" w:type="dxa"/>
          </w:tcPr>
          <w:p w14:paraId="2F2B17B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21.8</w:t>
            </w:r>
          </w:p>
        </w:tc>
      </w:tr>
      <w:tr w:rsidR="00A71EA5" w:rsidRPr="00A71EA5" w14:paraId="6EF45AC9"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07F11D84" w14:textId="77777777" w:rsidR="00A71EA5" w:rsidRPr="00A71EA5" w:rsidRDefault="00A71EA5" w:rsidP="00C427F5">
            <w:pPr>
              <w:rPr>
                <w:b w:val="0"/>
                <w:bCs w:val="0"/>
              </w:rPr>
            </w:pPr>
            <w:r w:rsidRPr="00A71EA5">
              <w:rPr>
                <w:b w:val="0"/>
                <w:bCs w:val="0"/>
              </w:rPr>
              <w:t>2007</w:t>
            </w:r>
          </w:p>
        </w:tc>
        <w:tc>
          <w:tcPr>
            <w:tcW w:w="1168" w:type="dxa"/>
          </w:tcPr>
          <w:p w14:paraId="4806092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12</w:t>
            </w:r>
          </w:p>
        </w:tc>
        <w:tc>
          <w:tcPr>
            <w:tcW w:w="1169" w:type="dxa"/>
          </w:tcPr>
          <w:p w14:paraId="2A99D97D"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29.4</w:t>
            </w:r>
          </w:p>
        </w:tc>
        <w:tc>
          <w:tcPr>
            <w:tcW w:w="1169" w:type="dxa"/>
          </w:tcPr>
          <w:p w14:paraId="6B394C5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9.2</w:t>
            </w:r>
          </w:p>
        </w:tc>
        <w:tc>
          <w:tcPr>
            <w:tcW w:w="1169" w:type="dxa"/>
          </w:tcPr>
          <w:p w14:paraId="1032FE8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3.195</w:t>
            </w:r>
          </w:p>
        </w:tc>
        <w:tc>
          <w:tcPr>
            <w:tcW w:w="1169" w:type="dxa"/>
          </w:tcPr>
          <w:p w14:paraId="0F5B2ED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0.0014</w:t>
            </w:r>
          </w:p>
        </w:tc>
        <w:tc>
          <w:tcPr>
            <w:tcW w:w="1169" w:type="dxa"/>
          </w:tcPr>
          <w:p w14:paraId="38202DD1"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11.4</w:t>
            </w:r>
          </w:p>
        </w:tc>
        <w:tc>
          <w:tcPr>
            <w:tcW w:w="1169" w:type="dxa"/>
          </w:tcPr>
          <w:p w14:paraId="458A8A9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47.4</w:t>
            </w:r>
          </w:p>
        </w:tc>
      </w:tr>
      <w:tr w:rsidR="00A71EA5" w:rsidRPr="00A71EA5" w14:paraId="0776D5DC"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2F4BC23D" w14:textId="77777777" w:rsidR="00A71EA5" w:rsidRPr="00A71EA5" w:rsidRDefault="00A71EA5" w:rsidP="00C427F5">
            <w:pPr>
              <w:rPr>
                <w:b w:val="0"/>
                <w:bCs w:val="0"/>
              </w:rPr>
            </w:pPr>
            <w:r w:rsidRPr="00A71EA5">
              <w:rPr>
                <w:b w:val="0"/>
                <w:bCs w:val="0"/>
              </w:rPr>
              <w:t>2008</w:t>
            </w:r>
          </w:p>
        </w:tc>
        <w:tc>
          <w:tcPr>
            <w:tcW w:w="1168" w:type="dxa"/>
          </w:tcPr>
          <w:p w14:paraId="0867635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13</w:t>
            </w:r>
          </w:p>
        </w:tc>
        <w:tc>
          <w:tcPr>
            <w:tcW w:w="1169" w:type="dxa"/>
          </w:tcPr>
          <w:p w14:paraId="015A0D5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34.2</w:t>
            </w:r>
          </w:p>
        </w:tc>
        <w:tc>
          <w:tcPr>
            <w:tcW w:w="1169" w:type="dxa"/>
          </w:tcPr>
          <w:p w14:paraId="76BF9B0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9.3</w:t>
            </w:r>
          </w:p>
        </w:tc>
        <w:tc>
          <w:tcPr>
            <w:tcW w:w="1169" w:type="dxa"/>
          </w:tcPr>
          <w:p w14:paraId="2FAC1BA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3.678</w:t>
            </w:r>
          </w:p>
        </w:tc>
        <w:tc>
          <w:tcPr>
            <w:tcW w:w="1169" w:type="dxa"/>
          </w:tcPr>
          <w:p w14:paraId="78AD206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0.0002</w:t>
            </w:r>
          </w:p>
        </w:tc>
        <w:tc>
          <w:tcPr>
            <w:tcW w:w="1169" w:type="dxa"/>
          </w:tcPr>
          <w:p w14:paraId="24C096E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15.9</w:t>
            </w:r>
          </w:p>
        </w:tc>
        <w:tc>
          <w:tcPr>
            <w:tcW w:w="1169" w:type="dxa"/>
          </w:tcPr>
          <w:p w14:paraId="0B6A48C8"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52.4</w:t>
            </w:r>
          </w:p>
        </w:tc>
      </w:tr>
      <w:tr w:rsidR="00A71EA5" w:rsidRPr="00A71EA5" w14:paraId="62CD7836"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74F70B0C" w14:textId="77777777" w:rsidR="00A71EA5" w:rsidRPr="00A71EA5" w:rsidRDefault="00A71EA5" w:rsidP="00C427F5">
            <w:pPr>
              <w:rPr>
                <w:b w:val="0"/>
                <w:bCs w:val="0"/>
              </w:rPr>
            </w:pPr>
            <w:r w:rsidRPr="00A71EA5">
              <w:rPr>
                <w:b w:val="0"/>
                <w:bCs w:val="0"/>
              </w:rPr>
              <w:t>2009</w:t>
            </w:r>
          </w:p>
        </w:tc>
        <w:tc>
          <w:tcPr>
            <w:tcW w:w="1168" w:type="dxa"/>
          </w:tcPr>
          <w:p w14:paraId="446FB90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14</w:t>
            </w:r>
          </w:p>
        </w:tc>
        <w:tc>
          <w:tcPr>
            <w:tcW w:w="1169" w:type="dxa"/>
          </w:tcPr>
          <w:p w14:paraId="0D1B24E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44.7</w:t>
            </w:r>
          </w:p>
        </w:tc>
        <w:tc>
          <w:tcPr>
            <w:tcW w:w="1169" w:type="dxa"/>
          </w:tcPr>
          <w:p w14:paraId="656485F1"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12.9</w:t>
            </w:r>
          </w:p>
        </w:tc>
        <w:tc>
          <w:tcPr>
            <w:tcW w:w="1169" w:type="dxa"/>
          </w:tcPr>
          <w:p w14:paraId="5C73535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3.467</w:t>
            </w:r>
          </w:p>
        </w:tc>
        <w:tc>
          <w:tcPr>
            <w:tcW w:w="1169" w:type="dxa"/>
          </w:tcPr>
          <w:p w14:paraId="4F50A31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0.0005</w:t>
            </w:r>
          </w:p>
        </w:tc>
        <w:tc>
          <w:tcPr>
            <w:tcW w:w="1169" w:type="dxa"/>
          </w:tcPr>
          <w:p w14:paraId="638E9B6D"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19.4</w:t>
            </w:r>
          </w:p>
        </w:tc>
        <w:tc>
          <w:tcPr>
            <w:tcW w:w="1169" w:type="dxa"/>
          </w:tcPr>
          <w:p w14:paraId="70ED8328"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69.9</w:t>
            </w:r>
          </w:p>
        </w:tc>
      </w:tr>
      <w:tr w:rsidR="00A71EA5" w:rsidRPr="00A71EA5" w14:paraId="0AD1F2B3"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F8991FF" w14:textId="77777777" w:rsidR="00A71EA5" w:rsidRPr="00A71EA5" w:rsidRDefault="00A71EA5" w:rsidP="00C427F5">
            <w:pPr>
              <w:rPr>
                <w:b w:val="0"/>
                <w:bCs w:val="0"/>
              </w:rPr>
            </w:pPr>
            <w:r w:rsidRPr="00A71EA5">
              <w:rPr>
                <w:b w:val="0"/>
                <w:bCs w:val="0"/>
              </w:rPr>
              <w:t>2010</w:t>
            </w:r>
          </w:p>
        </w:tc>
        <w:tc>
          <w:tcPr>
            <w:tcW w:w="1168" w:type="dxa"/>
          </w:tcPr>
          <w:p w14:paraId="5BB2D06E"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15</w:t>
            </w:r>
          </w:p>
        </w:tc>
        <w:tc>
          <w:tcPr>
            <w:tcW w:w="1169" w:type="dxa"/>
          </w:tcPr>
          <w:p w14:paraId="75F3024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47.9</w:t>
            </w:r>
          </w:p>
        </w:tc>
        <w:tc>
          <w:tcPr>
            <w:tcW w:w="1169" w:type="dxa"/>
          </w:tcPr>
          <w:p w14:paraId="06AB0A01"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11.4</w:t>
            </w:r>
          </w:p>
        </w:tc>
        <w:tc>
          <w:tcPr>
            <w:tcW w:w="1169" w:type="dxa"/>
          </w:tcPr>
          <w:p w14:paraId="6AAB826E"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4.207</w:t>
            </w:r>
          </w:p>
        </w:tc>
        <w:tc>
          <w:tcPr>
            <w:tcW w:w="1169" w:type="dxa"/>
          </w:tcPr>
          <w:p w14:paraId="50B7AD6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0.0000</w:t>
            </w:r>
          </w:p>
        </w:tc>
        <w:tc>
          <w:tcPr>
            <w:tcW w:w="1169" w:type="dxa"/>
          </w:tcPr>
          <w:p w14:paraId="3183EA10"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25.6</w:t>
            </w:r>
          </w:p>
        </w:tc>
        <w:tc>
          <w:tcPr>
            <w:tcW w:w="1169" w:type="dxa"/>
          </w:tcPr>
          <w:p w14:paraId="2CB730A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70.2</w:t>
            </w:r>
          </w:p>
        </w:tc>
      </w:tr>
      <w:tr w:rsidR="00A71EA5" w:rsidRPr="00A71EA5" w14:paraId="2F053AD5"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33587ED1" w14:textId="77777777" w:rsidR="00A71EA5" w:rsidRPr="00A71EA5" w:rsidRDefault="00A71EA5" w:rsidP="00C427F5">
            <w:pPr>
              <w:rPr>
                <w:b w:val="0"/>
                <w:bCs w:val="0"/>
              </w:rPr>
            </w:pPr>
            <w:r w:rsidRPr="00A71EA5">
              <w:rPr>
                <w:b w:val="0"/>
                <w:bCs w:val="0"/>
              </w:rPr>
              <w:t>2011</w:t>
            </w:r>
          </w:p>
        </w:tc>
        <w:tc>
          <w:tcPr>
            <w:tcW w:w="1168" w:type="dxa"/>
          </w:tcPr>
          <w:p w14:paraId="6505DDD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16</w:t>
            </w:r>
          </w:p>
        </w:tc>
        <w:tc>
          <w:tcPr>
            <w:tcW w:w="1169" w:type="dxa"/>
          </w:tcPr>
          <w:p w14:paraId="2D1C204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19.1</w:t>
            </w:r>
          </w:p>
        </w:tc>
        <w:tc>
          <w:tcPr>
            <w:tcW w:w="1169" w:type="dxa"/>
          </w:tcPr>
          <w:p w14:paraId="2B0F0CD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6.3</w:t>
            </w:r>
          </w:p>
        </w:tc>
        <w:tc>
          <w:tcPr>
            <w:tcW w:w="1169" w:type="dxa"/>
          </w:tcPr>
          <w:p w14:paraId="7B6CBE7D"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3.037</w:t>
            </w:r>
          </w:p>
        </w:tc>
        <w:tc>
          <w:tcPr>
            <w:tcW w:w="1169" w:type="dxa"/>
          </w:tcPr>
          <w:p w14:paraId="15D4C39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0.0024</w:t>
            </w:r>
          </w:p>
        </w:tc>
        <w:tc>
          <w:tcPr>
            <w:tcW w:w="1169" w:type="dxa"/>
          </w:tcPr>
          <w:p w14:paraId="1E5F326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6.8</w:t>
            </w:r>
          </w:p>
        </w:tc>
        <w:tc>
          <w:tcPr>
            <w:tcW w:w="1169" w:type="dxa"/>
          </w:tcPr>
          <w:p w14:paraId="451E1B2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31.5</w:t>
            </w:r>
          </w:p>
        </w:tc>
      </w:tr>
      <w:tr w:rsidR="00A71EA5" w:rsidRPr="00A71EA5" w14:paraId="6AE21DD3"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6AEBAAB" w14:textId="77777777" w:rsidR="00A71EA5" w:rsidRPr="00A71EA5" w:rsidRDefault="00A71EA5" w:rsidP="00C427F5">
            <w:pPr>
              <w:rPr>
                <w:b w:val="0"/>
                <w:bCs w:val="0"/>
              </w:rPr>
            </w:pPr>
            <w:r w:rsidRPr="00A71EA5">
              <w:rPr>
                <w:b w:val="0"/>
                <w:bCs w:val="0"/>
              </w:rPr>
              <w:t>2012</w:t>
            </w:r>
          </w:p>
        </w:tc>
        <w:tc>
          <w:tcPr>
            <w:tcW w:w="1168" w:type="dxa"/>
          </w:tcPr>
          <w:p w14:paraId="283C224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17</w:t>
            </w:r>
          </w:p>
        </w:tc>
        <w:tc>
          <w:tcPr>
            <w:tcW w:w="1169" w:type="dxa"/>
          </w:tcPr>
          <w:p w14:paraId="25FC479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14.8</w:t>
            </w:r>
          </w:p>
        </w:tc>
        <w:tc>
          <w:tcPr>
            <w:tcW w:w="1169" w:type="dxa"/>
          </w:tcPr>
          <w:p w14:paraId="5A52B24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4.4</w:t>
            </w:r>
          </w:p>
        </w:tc>
        <w:tc>
          <w:tcPr>
            <w:tcW w:w="1169" w:type="dxa"/>
          </w:tcPr>
          <w:p w14:paraId="318F6DB9"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3.390</w:t>
            </w:r>
          </w:p>
        </w:tc>
        <w:tc>
          <w:tcPr>
            <w:tcW w:w="1169" w:type="dxa"/>
          </w:tcPr>
          <w:p w14:paraId="667110B2"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0.0007</w:t>
            </w:r>
          </w:p>
        </w:tc>
        <w:tc>
          <w:tcPr>
            <w:tcW w:w="1169" w:type="dxa"/>
          </w:tcPr>
          <w:p w14:paraId="1A9A693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6.2</w:t>
            </w:r>
          </w:p>
        </w:tc>
        <w:tc>
          <w:tcPr>
            <w:tcW w:w="1169" w:type="dxa"/>
          </w:tcPr>
          <w:p w14:paraId="30C4043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23.4</w:t>
            </w:r>
          </w:p>
        </w:tc>
      </w:tr>
      <w:tr w:rsidR="00A71EA5" w:rsidRPr="00A71EA5" w14:paraId="775F2A83"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7F9F06CF" w14:textId="77777777" w:rsidR="00A71EA5" w:rsidRPr="00A71EA5" w:rsidRDefault="00A71EA5" w:rsidP="00C427F5">
            <w:pPr>
              <w:rPr>
                <w:b w:val="0"/>
                <w:bCs w:val="0"/>
              </w:rPr>
            </w:pPr>
            <w:r w:rsidRPr="00A71EA5">
              <w:rPr>
                <w:b w:val="0"/>
                <w:bCs w:val="0"/>
              </w:rPr>
              <w:t>2013</w:t>
            </w:r>
          </w:p>
        </w:tc>
        <w:tc>
          <w:tcPr>
            <w:tcW w:w="1168" w:type="dxa"/>
          </w:tcPr>
          <w:p w14:paraId="12D5276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18</w:t>
            </w:r>
          </w:p>
        </w:tc>
        <w:tc>
          <w:tcPr>
            <w:tcW w:w="1169" w:type="dxa"/>
          </w:tcPr>
          <w:p w14:paraId="1655DCDC"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27.2</w:t>
            </w:r>
          </w:p>
        </w:tc>
        <w:tc>
          <w:tcPr>
            <w:tcW w:w="1169" w:type="dxa"/>
          </w:tcPr>
          <w:p w14:paraId="7706A51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9.0</w:t>
            </w:r>
          </w:p>
        </w:tc>
        <w:tc>
          <w:tcPr>
            <w:tcW w:w="1169" w:type="dxa"/>
          </w:tcPr>
          <w:p w14:paraId="54F8FE0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3.025</w:t>
            </w:r>
          </w:p>
        </w:tc>
        <w:tc>
          <w:tcPr>
            <w:tcW w:w="1169" w:type="dxa"/>
          </w:tcPr>
          <w:p w14:paraId="6F376C0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0.0025</w:t>
            </w:r>
          </w:p>
        </w:tc>
        <w:tc>
          <w:tcPr>
            <w:tcW w:w="1169" w:type="dxa"/>
          </w:tcPr>
          <w:p w14:paraId="3C38159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9.6</w:t>
            </w:r>
          </w:p>
        </w:tc>
        <w:tc>
          <w:tcPr>
            <w:tcW w:w="1169" w:type="dxa"/>
          </w:tcPr>
          <w:p w14:paraId="4EA05163"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44.9</w:t>
            </w:r>
          </w:p>
        </w:tc>
      </w:tr>
      <w:tr w:rsidR="00A71EA5" w:rsidRPr="00A71EA5" w14:paraId="13328D30"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8EEE4D8" w14:textId="77777777" w:rsidR="00A71EA5" w:rsidRPr="00A71EA5" w:rsidRDefault="00A71EA5" w:rsidP="00C427F5">
            <w:pPr>
              <w:rPr>
                <w:b w:val="0"/>
                <w:bCs w:val="0"/>
              </w:rPr>
            </w:pPr>
            <w:r w:rsidRPr="00A71EA5">
              <w:rPr>
                <w:b w:val="0"/>
                <w:bCs w:val="0"/>
              </w:rPr>
              <w:t>2014</w:t>
            </w:r>
          </w:p>
        </w:tc>
        <w:tc>
          <w:tcPr>
            <w:tcW w:w="1168" w:type="dxa"/>
          </w:tcPr>
          <w:p w14:paraId="1FCDF2A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19</w:t>
            </w:r>
          </w:p>
        </w:tc>
        <w:tc>
          <w:tcPr>
            <w:tcW w:w="1169" w:type="dxa"/>
          </w:tcPr>
          <w:p w14:paraId="3AE3F09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45.2</w:t>
            </w:r>
          </w:p>
        </w:tc>
        <w:tc>
          <w:tcPr>
            <w:tcW w:w="1169" w:type="dxa"/>
          </w:tcPr>
          <w:p w14:paraId="5592134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10.6</w:t>
            </w:r>
          </w:p>
        </w:tc>
        <w:tc>
          <w:tcPr>
            <w:tcW w:w="1169" w:type="dxa"/>
          </w:tcPr>
          <w:p w14:paraId="5FFB0BC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4.277</w:t>
            </w:r>
          </w:p>
        </w:tc>
        <w:tc>
          <w:tcPr>
            <w:tcW w:w="1169" w:type="dxa"/>
          </w:tcPr>
          <w:p w14:paraId="3D006BF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0.0000</w:t>
            </w:r>
          </w:p>
        </w:tc>
        <w:tc>
          <w:tcPr>
            <w:tcW w:w="1169" w:type="dxa"/>
          </w:tcPr>
          <w:p w14:paraId="543BFC2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24.5</w:t>
            </w:r>
          </w:p>
        </w:tc>
        <w:tc>
          <w:tcPr>
            <w:tcW w:w="1169" w:type="dxa"/>
          </w:tcPr>
          <w:p w14:paraId="1C44B72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66.0</w:t>
            </w:r>
          </w:p>
        </w:tc>
      </w:tr>
      <w:tr w:rsidR="00A71EA5" w:rsidRPr="00A71EA5" w14:paraId="1C0AAFEB"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155F2B41" w14:textId="77777777" w:rsidR="00A71EA5" w:rsidRPr="00A71EA5" w:rsidRDefault="00A71EA5" w:rsidP="00C427F5">
            <w:pPr>
              <w:rPr>
                <w:b w:val="0"/>
                <w:bCs w:val="0"/>
              </w:rPr>
            </w:pPr>
            <w:r w:rsidRPr="00A71EA5">
              <w:rPr>
                <w:b w:val="0"/>
                <w:bCs w:val="0"/>
              </w:rPr>
              <w:t>2015</w:t>
            </w:r>
          </w:p>
        </w:tc>
        <w:tc>
          <w:tcPr>
            <w:tcW w:w="1168" w:type="dxa"/>
          </w:tcPr>
          <w:p w14:paraId="7F0B14A8"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20</w:t>
            </w:r>
          </w:p>
        </w:tc>
        <w:tc>
          <w:tcPr>
            <w:tcW w:w="1169" w:type="dxa"/>
          </w:tcPr>
          <w:p w14:paraId="67246C23"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66.3</w:t>
            </w:r>
          </w:p>
        </w:tc>
        <w:tc>
          <w:tcPr>
            <w:tcW w:w="1169" w:type="dxa"/>
          </w:tcPr>
          <w:p w14:paraId="7B55655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10.6</w:t>
            </w:r>
          </w:p>
        </w:tc>
        <w:tc>
          <w:tcPr>
            <w:tcW w:w="1169" w:type="dxa"/>
          </w:tcPr>
          <w:p w14:paraId="161D804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6.238</w:t>
            </w:r>
          </w:p>
        </w:tc>
        <w:tc>
          <w:tcPr>
            <w:tcW w:w="1169" w:type="dxa"/>
          </w:tcPr>
          <w:p w14:paraId="04CF6E0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0.0000</w:t>
            </w:r>
          </w:p>
        </w:tc>
        <w:tc>
          <w:tcPr>
            <w:tcW w:w="1169" w:type="dxa"/>
          </w:tcPr>
          <w:p w14:paraId="24BCBF89"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45.5</w:t>
            </w:r>
          </w:p>
        </w:tc>
        <w:tc>
          <w:tcPr>
            <w:tcW w:w="1169" w:type="dxa"/>
          </w:tcPr>
          <w:p w14:paraId="780CBF10"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87.1</w:t>
            </w:r>
          </w:p>
        </w:tc>
      </w:tr>
      <w:tr w:rsidR="00A71EA5" w:rsidRPr="00A71EA5" w14:paraId="2448485E"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10B7B73" w14:textId="77777777" w:rsidR="00A71EA5" w:rsidRPr="00A71EA5" w:rsidRDefault="00A71EA5" w:rsidP="00C427F5">
            <w:pPr>
              <w:rPr>
                <w:b w:val="0"/>
                <w:bCs w:val="0"/>
              </w:rPr>
            </w:pPr>
            <w:r w:rsidRPr="00A71EA5">
              <w:rPr>
                <w:b w:val="0"/>
                <w:bCs w:val="0"/>
              </w:rPr>
              <w:t>2016</w:t>
            </w:r>
          </w:p>
        </w:tc>
        <w:tc>
          <w:tcPr>
            <w:tcW w:w="1168" w:type="dxa"/>
          </w:tcPr>
          <w:p w14:paraId="108BC3A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21</w:t>
            </w:r>
          </w:p>
        </w:tc>
        <w:tc>
          <w:tcPr>
            <w:tcW w:w="1169" w:type="dxa"/>
          </w:tcPr>
          <w:p w14:paraId="5CDD54C0"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51.6</w:t>
            </w:r>
          </w:p>
        </w:tc>
        <w:tc>
          <w:tcPr>
            <w:tcW w:w="1169" w:type="dxa"/>
          </w:tcPr>
          <w:p w14:paraId="3209325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11.8</w:t>
            </w:r>
          </w:p>
        </w:tc>
        <w:tc>
          <w:tcPr>
            <w:tcW w:w="1169" w:type="dxa"/>
          </w:tcPr>
          <w:p w14:paraId="25DD700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4.369</w:t>
            </w:r>
          </w:p>
        </w:tc>
        <w:tc>
          <w:tcPr>
            <w:tcW w:w="1169" w:type="dxa"/>
          </w:tcPr>
          <w:p w14:paraId="3B2075E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0.0000</w:t>
            </w:r>
          </w:p>
        </w:tc>
        <w:tc>
          <w:tcPr>
            <w:tcW w:w="1169" w:type="dxa"/>
          </w:tcPr>
          <w:p w14:paraId="67579D7E"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28.5</w:t>
            </w:r>
          </w:p>
        </w:tc>
        <w:tc>
          <w:tcPr>
            <w:tcW w:w="1169" w:type="dxa"/>
          </w:tcPr>
          <w:p w14:paraId="2741D9A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74.8</w:t>
            </w:r>
          </w:p>
        </w:tc>
      </w:tr>
      <w:tr w:rsidR="00A71EA5" w:rsidRPr="00A71EA5" w14:paraId="6A6B495C"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040D106C" w14:textId="77777777" w:rsidR="00A71EA5" w:rsidRPr="00A71EA5" w:rsidRDefault="00A71EA5" w:rsidP="00C427F5">
            <w:pPr>
              <w:rPr>
                <w:b w:val="0"/>
                <w:bCs w:val="0"/>
              </w:rPr>
            </w:pPr>
            <w:r w:rsidRPr="00A71EA5">
              <w:rPr>
                <w:b w:val="0"/>
                <w:bCs w:val="0"/>
              </w:rPr>
              <w:t>2017</w:t>
            </w:r>
          </w:p>
        </w:tc>
        <w:tc>
          <w:tcPr>
            <w:tcW w:w="1168" w:type="dxa"/>
          </w:tcPr>
          <w:p w14:paraId="043BC3A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22</w:t>
            </w:r>
          </w:p>
        </w:tc>
        <w:tc>
          <w:tcPr>
            <w:tcW w:w="1169" w:type="dxa"/>
          </w:tcPr>
          <w:p w14:paraId="03CD6491"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12.4</w:t>
            </w:r>
          </w:p>
        </w:tc>
        <w:tc>
          <w:tcPr>
            <w:tcW w:w="1169" w:type="dxa"/>
          </w:tcPr>
          <w:p w14:paraId="7997B70F"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4.3</w:t>
            </w:r>
          </w:p>
        </w:tc>
        <w:tc>
          <w:tcPr>
            <w:tcW w:w="1169" w:type="dxa"/>
          </w:tcPr>
          <w:p w14:paraId="4C56B6F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2.872</w:t>
            </w:r>
          </w:p>
        </w:tc>
        <w:tc>
          <w:tcPr>
            <w:tcW w:w="1169" w:type="dxa"/>
          </w:tcPr>
          <w:p w14:paraId="35B690D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0.0041</w:t>
            </w:r>
          </w:p>
        </w:tc>
        <w:tc>
          <w:tcPr>
            <w:tcW w:w="1169" w:type="dxa"/>
          </w:tcPr>
          <w:p w14:paraId="37DEE018"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3.9</w:t>
            </w:r>
          </w:p>
        </w:tc>
        <w:tc>
          <w:tcPr>
            <w:tcW w:w="1169" w:type="dxa"/>
          </w:tcPr>
          <w:p w14:paraId="7C47D2B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20.9</w:t>
            </w:r>
          </w:p>
        </w:tc>
      </w:tr>
      <w:tr w:rsidR="00A71EA5" w:rsidRPr="00A71EA5" w14:paraId="6BD4CA27"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0EA45EF" w14:textId="77777777" w:rsidR="00A71EA5" w:rsidRPr="00A71EA5" w:rsidRDefault="00A71EA5" w:rsidP="00C427F5">
            <w:pPr>
              <w:rPr>
                <w:b w:val="0"/>
                <w:bCs w:val="0"/>
              </w:rPr>
            </w:pPr>
            <w:r w:rsidRPr="00A71EA5">
              <w:rPr>
                <w:b w:val="0"/>
                <w:bCs w:val="0"/>
              </w:rPr>
              <w:t>2018</w:t>
            </w:r>
          </w:p>
        </w:tc>
        <w:tc>
          <w:tcPr>
            <w:tcW w:w="1168" w:type="dxa"/>
          </w:tcPr>
          <w:p w14:paraId="2689B0C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23</w:t>
            </w:r>
          </w:p>
        </w:tc>
        <w:tc>
          <w:tcPr>
            <w:tcW w:w="1169" w:type="dxa"/>
          </w:tcPr>
          <w:p w14:paraId="0B506D2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42.7</w:t>
            </w:r>
          </w:p>
        </w:tc>
        <w:tc>
          <w:tcPr>
            <w:tcW w:w="1169" w:type="dxa"/>
          </w:tcPr>
          <w:p w14:paraId="27796D3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18.7</w:t>
            </w:r>
          </w:p>
        </w:tc>
        <w:tc>
          <w:tcPr>
            <w:tcW w:w="1169" w:type="dxa"/>
          </w:tcPr>
          <w:p w14:paraId="785F488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2.284</w:t>
            </w:r>
          </w:p>
        </w:tc>
        <w:tc>
          <w:tcPr>
            <w:tcW w:w="1169" w:type="dxa"/>
          </w:tcPr>
          <w:p w14:paraId="7A6DEDF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0.0224</w:t>
            </w:r>
          </w:p>
        </w:tc>
        <w:tc>
          <w:tcPr>
            <w:tcW w:w="1169" w:type="dxa"/>
          </w:tcPr>
          <w:p w14:paraId="664FA41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6.1</w:t>
            </w:r>
          </w:p>
        </w:tc>
        <w:tc>
          <w:tcPr>
            <w:tcW w:w="1169" w:type="dxa"/>
          </w:tcPr>
          <w:p w14:paraId="1857654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79.3</w:t>
            </w:r>
          </w:p>
        </w:tc>
      </w:tr>
      <w:tr w:rsidR="00A71EA5" w:rsidRPr="00A71EA5" w14:paraId="70A67D94"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5D5C1BF3" w14:textId="77777777" w:rsidR="00A71EA5" w:rsidRPr="00A71EA5" w:rsidRDefault="00A71EA5" w:rsidP="00C427F5">
            <w:pPr>
              <w:rPr>
                <w:b w:val="0"/>
                <w:bCs w:val="0"/>
              </w:rPr>
            </w:pPr>
            <w:r w:rsidRPr="00A71EA5">
              <w:rPr>
                <w:b w:val="0"/>
                <w:bCs w:val="0"/>
              </w:rPr>
              <w:t>2019</w:t>
            </w:r>
          </w:p>
        </w:tc>
        <w:tc>
          <w:tcPr>
            <w:tcW w:w="1168" w:type="dxa"/>
          </w:tcPr>
          <w:p w14:paraId="31A914C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24</w:t>
            </w:r>
          </w:p>
        </w:tc>
        <w:tc>
          <w:tcPr>
            <w:tcW w:w="1169" w:type="dxa"/>
          </w:tcPr>
          <w:p w14:paraId="3E8E74B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56.1</w:t>
            </w:r>
          </w:p>
        </w:tc>
        <w:tc>
          <w:tcPr>
            <w:tcW w:w="1169" w:type="dxa"/>
          </w:tcPr>
          <w:p w14:paraId="7A20CF0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15.6</w:t>
            </w:r>
          </w:p>
        </w:tc>
        <w:tc>
          <w:tcPr>
            <w:tcW w:w="1169" w:type="dxa"/>
          </w:tcPr>
          <w:p w14:paraId="57B2EFA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3.586</w:t>
            </w:r>
          </w:p>
        </w:tc>
        <w:tc>
          <w:tcPr>
            <w:tcW w:w="1169" w:type="dxa"/>
          </w:tcPr>
          <w:p w14:paraId="06A07E7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0.0003</w:t>
            </w:r>
          </w:p>
        </w:tc>
        <w:tc>
          <w:tcPr>
            <w:tcW w:w="1169" w:type="dxa"/>
          </w:tcPr>
          <w:p w14:paraId="56202F7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25.4</w:t>
            </w:r>
          </w:p>
        </w:tc>
        <w:tc>
          <w:tcPr>
            <w:tcW w:w="1169" w:type="dxa"/>
          </w:tcPr>
          <w:p w14:paraId="2BC99D5B"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86.8</w:t>
            </w:r>
          </w:p>
        </w:tc>
      </w:tr>
      <w:tr w:rsidR="00A71EA5" w:rsidRPr="00A71EA5" w14:paraId="1F5B93E6"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3E2C8895" w14:textId="77777777" w:rsidR="00A71EA5" w:rsidRPr="00A71EA5" w:rsidRDefault="00A71EA5" w:rsidP="00C427F5">
            <w:pPr>
              <w:rPr>
                <w:b w:val="0"/>
                <w:bCs w:val="0"/>
              </w:rPr>
            </w:pPr>
            <w:r w:rsidRPr="00A71EA5">
              <w:rPr>
                <w:b w:val="0"/>
                <w:bCs w:val="0"/>
              </w:rPr>
              <w:t>2020</w:t>
            </w:r>
          </w:p>
        </w:tc>
        <w:tc>
          <w:tcPr>
            <w:tcW w:w="1168" w:type="dxa"/>
          </w:tcPr>
          <w:p w14:paraId="4D8092AC"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25</w:t>
            </w:r>
          </w:p>
        </w:tc>
        <w:tc>
          <w:tcPr>
            <w:tcW w:w="1169" w:type="dxa"/>
          </w:tcPr>
          <w:p w14:paraId="5887A274"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18.3</w:t>
            </w:r>
          </w:p>
        </w:tc>
        <w:tc>
          <w:tcPr>
            <w:tcW w:w="1169" w:type="dxa"/>
          </w:tcPr>
          <w:p w14:paraId="66703167"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10.0</w:t>
            </w:r>
          </w:p>
        </w:tc>
        <w:tc>
          <w:tcPr>
            <w:tcW w:w="1169" w:type="dxa"/>
          </w:tcPr>
          <w:p w14:paraId="79242085"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1.833</w:t>
            </w:r>
          </w:p>
        </w:tc>
        <w:tc>
          <w:tcPr>
            <w:tcW w:w="1169" w:type="dxa"/>
          </w:tcPr>
          <w:p w14:paraId="7A0081ED"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0.0668</w:t>
            </w:r>
          </w:p>
        </w:tc>
        <w:tc>
          <w:tcPr>
            <w:tcW w:w="1169" w:type="dxa"/>
          </w:tcPr>
          <w:p w14:paraId="00856BCB"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-1.3</w:t>
            </w:r>
          </w:p>
        </w:tc>
        <w:tc>
          <w:tcPr>
            <w:tcW w:w="1169" w:type="dxa"/>
          </w:tcPr>
          <w:p w14:paraId="1985069E"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37.8</w:t>
            </w:r>
          </w:p>
        </w:tc>
      </w:tr>
      <w:tr w:rsidR="00A71EA5" w:rsidRPr="00A71EA5" w14:paraId="28B58753"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17459BE3" w14:textId="77777777" w:rsidR="00A71EA5" w:rsidRPr="00A71EA5" w:rsidRDefault="00A71EA5" w:rsidP="00C427F5">
            <w:pPr>
              <w:rPr>
                <w:b w:val="0"/>
                <w:bCs w:val="0"/>
              </w:rPr>
            </w:pPr>
            <w:r w:rsidRPr="00A71EA5">
              <w:rPr>
                <w:b w:val="0"/>
                <w:bCs w:val="0"/>
              </w:rPr>
              <w:t>2021</w:t>
            </w:r>
          </w:p>
        </w:tc>
        <w:tc>
          <w:tcPr>
            <w:tcW w:w="1168" w:type="dxa"/>
          </w:tcPr>
          <w:p w14:paraId="647A0D9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26</w:t>
            </w:r>
          </w:p>
        </w:tc>
        <w:tc>
          <w:tcPr>
            <w:tcW w:w="1169" w:type="dxa"/>
          </w:tcPr>
          <w:p w14:paraId="396781C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15.0</w:t>
            </w:r>
          </w:p>
        </w:tc>
        <w:tc>
          <w:tcPr>
            <w:tcW w:w="1169" w:type="dxa"/>
          </w:tcPr>
          <w:p w14:paraId="52EA887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8.1</w:t>
            </w:r>
          </w:p>
        </w:tc>
        <w:tc>
          <w:tcPr>
            <w:tcW w:w="1169" w:type="dxa"/>
          </w:tcPr>
          <w:p w14:paraId="0A81D031"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1.843</w:t>
            </w:r>
          </w:p>
        </w:tc>
        <w:tc>
          <w:tcPr>
            <w:tcW w:w="1169" w:type="dxa"/>
          </w:tcPr>
          <w:p w14:paraId="311C998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0.0653</w:t>
            </w:r>
          </w:p>
        </w:tc>
        <w:tc>
          <w:tcPr>
            <w:tcW w:w="1169" w:type="dxa"/>
          </w:tcPr>
          <w:p w14:paraId="313BA771"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-1.0</w:t>
            </w:r>
          </w:p>
        </w:tc>
        <w:tc>
          <w:tcPr>
            <w:tcW w:w="1169" w:type="dxa"/>
          </w:tcPr>
          <w:p w14:paraId="58935F22"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31.0</w:t>
            </w:r>
          </w:p>
        </w:tc>
      </w:tr>
      <w:tr w:rsidR="00A71EA5" w:rsidRPr="00A71EA5" w14:paraId="08EFF0A8" w14:textId="77777777" w:rsidTr="00A7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7154B2D" w14:textId="77777777" w:rsidR="00A71EA5" w:rsidRPr="00A71EA5" w:rsidRDefault="00A71EA5" w:rsidP="00C427F5">
            <w:pPr>
              <w:rPr>
                <w:b w:val="0"/>
                <w:bCs w:val="0"/>
              </w:rPr>
            </w:pPr>
            <w:r w:rsidRPr="00A71EA5">
              <w:rPr>
                <w:b w:val="0"/>
                <w:bCs w:val="0"/>
              </w:rPr>
              <w:t>2022</w:t>
            </w:r>
          </w:p>
        </w:tc>
        <w:tc>
          <w:tcPr>
            <w:tcW w:w="1168" w:type="dxa"/>
          </w:tcPr>
          <w:p w14:paraId="66F1D6E3"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27</w:t>
            </w:r>
          </w:p>
        </w:tc>
        <w:tc>
          <w:tcPr>
            <w:tcW w:w="1169" w:type="dxa"/>
          </w:tcPr>
          <w:p w14:paraId="66CD9EA0"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15.7</w:t>
            </w:r>
          </w:p>
        </w:tc>
        <w:tc>
          <w:tcPr>
            <w:tcW w:w="1169" w:type="dxa"/>
          </w:tcPr>
          <w:p w14:paraId="794B49FF"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7.6</w:t>
            </w:r>
          </w:p>
        </w:tc>
        <w:tc>
          <w:tcPr>
            <w:tcW w:w="1169" w:type="dxa"/>
          </w:tcPr>
          <w:p w14:paraId="5862AEBA"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2.066</w:t>
            </w:r>
          </w:p>
        </w:tc>
        <w:tc>
          <w:tcPr>
            <w:tcW w:w="1169" w:type="dxa"/>
          </w:tcPr>
          <w:p w14:paraId="5CD5EF68"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0.0389</w:t>
            </w:r>
          </w:p>
        </w:tc>
        <w:tc>
          <w:tcPr>
            <w:tcW w:w="1169" w:type="dxa"/>
          </w:tcPr>
          <w:p w14:paraId="164E60D2"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0.8</w:t>
            </w:r>
          </w:p>
        </w:tc>
        <w:tc>
          <w:tcPr>
            <w:tcW w:w="1169" w:type="dxa"/>
          </w:tcPr>
          <w:p w14:paraId="57E50B50" w14:textId="77777777" w:rsidR="00A71EA5" w:rsidRPr="00A71EA5" w:rsidRDefault="00A71EA5" w:rsidP="00C427F5">
            <w:pPr>
              <w:cnfStyle w:val="000000100000" w:firstRow="0" w:lastRow="0" w:firstColumn="0" w:lastColumn="0" w:oddVBand="0" w:evenVBand="0" w:oddHBand="1" w:evenHBand="0" w:firstRowFirstColumn="0" w:firstRowLastColumn="0" w:lastRowFirstColumn="0" w:lastRowLastColumn="0"/>
            </w:pPr>
            <w:r w:rsidRPr="00A71EA5">
              <w:t>30.7</w:t>
            </w:r>
          </w:p>
        </w:tc>
      </w:tr>
      <w:tr w:rsidR="00A71EA5" w:rsidRPr="00A71EA5" w14:paraId="358690EF" w14:textId="77777777" w:rsidTr="00A71EA5">
        <w:tc>
          <w:tcPr>
            <w:cnfStyle w:val="001000000000" w:firstRow="0" w:lastRow="0" w:firstColumn="1" w:lastColumn="0" w:oddVBand="0" w:evenVBand="0" w:oddHBand="0" w:evenHBand="0" w:firstRowFirstColumn="0" w:firstRowLastColumn="0" w:lastRowFirstColumn="0" w:lastRowLastColumn="0"/>
            <w:tcW w:w="1168" w:type="dxa"/>
          </w:tcPr>
          <w:p w14:paraId="77F0026B" w14:textId="77777777" w:rsidR="00A71EA5" w:rsidRPr="00A71EA5" w:rsidRDefault="00A71EA5" w:rsidP="00C427F5">
            <w:pPr>
              <w:rPr>
                <w:b w:val="0"/>
                <w:bCs w:val="0"/>
              </w:rPr>
            </w:pPr>
            <w:r w:rsidRPr="00A71EA5">
              <w:rPr>
                <w:b w:val="0"/>
                <w:bCs w:val="0"/>
              </w:rPr>
              <w:t>2023</w:t>
            </w:r>
          </w:p>
        </w:tc>
        <w:tc>
          <w:tcPr>
            <w:tcW w:w="1168" w:type="dxa"/>
          </w:tcPr>
          <w:p w14:paraId="4D99B536"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28</w:t>
            </w:r>
          </w:p>
        </w:tc>
        <w:tc>
          <w:tcPr>
            <w:tcW w:w="1169" w:type="dxa"/>
          </w:tcPr>
          <w:p w14:paraId="1CC9B9A7"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2.5</w:t>
            </w:r>
          </w:p>
        </w:tc>
        <w:tc>
          <w:tcPr>
            <w:tcW w:w="1169" w:type="dxa"/>
          </w:tcPr>
          <w:p w14:paraId="01E3F7C4"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6.4</w:t>
            </w:r>
          </w:p>
        </w:tc>
        <w:tc>
          <w:tcPr>
            <w:tcW w:w="1169" w:type="dxa"/>
          </w:tcPr>
          <w:p w14:paraId="21A4C13E"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0.392</w:t>
            </w:r>
          </w:p>
        </w:tc>
        <w:tc>
          <w:tcPr>
            <w:tcW w:w="1169" w:type="dxa"/>
          </w:tcPr>
          <w:p w14:paraId="4896335A"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0.6948</w:t>
            </w:r>
          </w:p>
        </w:tc>
        <w:tc>
          <w:tcPr>
            <w:tcW w:w="1169" w:type="dxa"/>
          </w:tcPr>
          <w:p w14:paraId="453CEDA5"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-10.1</w:t>
            </w:r>
          </w:p>
        </w:tc>
        <w:tc>
          <w:tcPr>
            <w:tcW w:w="1169" w:type="dxa"/>
          </w:tcPr>
          <w:p w14:paraId="4D75A6A3" w14:textId="77777777" w:rsidR="00A71EA5" w:rsidRPr="00A71EA5" w:rsidRDefault="00A71EA5" w:rsidP="00C427F5">
            <w:pPr>
              <w:cnfStyle w:val="000000000000" w:firstRow="0" w:lastRow="0" w:firstColumn="0" w:lastColumn="0" w:oddVBand="0" w:evenVBand="0" w:oddHBand="0" w:evenHBand="0" w:firstRowFirstColumn="0" w:firstRowLastColumn="0" w:lastRowFirstColumn="0" w:lastRowLastColumn="0"/>
            </w:pPr>
            <w:r w:rsidRPr="00A71EA5">
              <w:t>15.1</w:t>
            </w:r>
          </w:p>
        </w:tc>
      </w:tr>
    </w:tbl>
    <w:p w14:paraId="1093EE39" w14:textId="2587791C" w:rsidR="00AC370B" w:rsidRPr="002B66A8" w:rsidRDefault="00AC370B" w:rsidP="002B66A8"/>
    <w:sectPr w:rsidR="00AC370B" w:rsidRPr="002B66A8">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hlke, Steven" w:date="2025-09-02T11:15:00Z" w:initials="SD">
    <w:p w14:paraId="3C3F1EBD" w14:textId="189DB6D6" w:rsidR="009E767C" w:rsidRDefault="009E767C" w:rsidP="009E767C">
      <w:pPr>
        <w:pStyle w:val="CommentText"/>
      </w:pPr>
      <w:r>
        <w:rPr>
          <w:rStyle w:val="CommentReference"/>
        </w:rPr>
        <w:annotationRef/>
      </w:r>
      <w:r>
        <w:t>Check and confirm whether wind and solar costs are included in a separate Form 1 Schedule. If yes, will need to revise some other claims throughout the paper that renewables aren’t covered in FERC Form 1</w:t>
      </w:r>
    </w:p>
  </w:comment>
  <w:comment w:id="14" w:author="Dahlke, Steven" w:date="2025-09-15T12:14:00Z" w:initials="SD">
    <w:p w14:paraId="5815653A" w14:textId="77777777" w:rsidR="00882443" w:rsidRDefault="00882443" w:rsidP="00882443">
      <w:pPr>
        <w:pStyle w:val="CommentText"/>
      </w:pPr>
      <w:r>
        <w:rPr>
          <w:rStyle w:val="CommentReference"/>
        </w:rPr>
        <w:annotationRef/>
      </w:r>
      <w:r>
        <w:t>Change chart sizing, make main panel smaller, font sizes bigger. Change “Capex” to “Normalized Capital Account Balance”</w:t>
      </w:r>
    </w:p>
  </w:comment>
  <w:comment w:id="18" w:author="Dahlke, Steven" w:date="2025-11-05T13:49:00Z" w:initials="SD">
    <w:p w14:paraId="1657013E" w14:textId="77777777" w:rsidR="00136425" w:rsidRDefault="00136425" w:rsidP="00136425">
      <w:pPr>
        <w:pStyle w:val="CommentText"/>
      </w:pPr>
      <w:r>
        <w:rPr>
          <w:rStyle w:val="CommentReference"/>
        </w:rPr>
        <w:annotationRef/>
      </w:r>
      <w:r>
        <w:t>Review this CRS report and consider adding text in here explaoining that some states also implemented their own air toxics requirements during this period CRS: “Mercury Emissions from Electric Power Plants: States Are Setting Stricter Limits”</w:t>
      </w:r>
    </w:p>
  </w:comment>
  <w:comment w:id="27" w:author="Dahlke, Steven" w:date="2025-09-11T11:23:00Z" w:initials="SD">
    <w:p w14:paraId="5E569F11" w14:textId="77777777" w:rsidR="00471B80" w:rsidRDefault="00471B80" w:rsidP="00471B80">
      <w:pPr>
        <w:pStyle w:val="CommentText"/>
      </w:pPr>
      <w:r>
        <w:rPr>
          <w:rStyle w:val="CommentReference"/>
        </w:rPr>
        <w:annotationRef/>
      </w:r>
      <w:r>
        <w:t>Fix this description and Fig 4, I only have data through 2023.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F1EBD" w15:done="0"/>
  <w15:commentEx w15:paraId="5815653A" w15:done="1"/>
  <w15:commentEx w15:paraId="1657013E" w15:done="1"/>
  <w15:commentEx w15:paraId="5E569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85FBB" w16cex:dateUtc="2025-09-02T17:15:00Z"/>
  <w16cex:commentExtensible w16cex:durableId="36EA38D6" w16cex:dateUtc="2025-09-15T18:14:00Z"/>
  <w16cex:commentExtensible w16cex:durableId="6BC16152" w16cex:dateUtc="2025-11-05T20:49:00Z"/>
  <w16cex:commentExtensible w16cex:durableId="5DDCC01D" w16cex:dateUtc="2025-09-11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F1EBD" w16cid:durableId="50285FBB"/>
  <w16cid:commentId w16cid:paraId="5815653A" w16cid:durableId="36EA38D6"/>
  <w16cid:commentId w16cid:paraId="1657013E" w16cid:durableId="6BC16152"/>
  <w16cid:commentId w16cid:paraId="5E569F11" w16cid:durableId="5DDCC0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16E5" w14:textId="77777777" w:rsidR="005B4AE8" w:rsidRDefault="005B4AE8" w:rsidP="00792850">
      <w:pPr>
        <w:spacing w:after="0" w:line="240" w:lineRule="auto"/>
      </w:pPr>
      <w:r>
        <w:separator/>
      </w:r>
    </w:p>
  </w:endnote>
  <w:endnote w:type="continuationSeparator" w:id="0">
    <w:p w14:paraId="5ABFE562" w14:textId="77777777" w:rsidR="005B4AE8" w:rsidRDefault="005B4AE8" w:rsidP="0079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8835"/>
      <w:docPartObj>
        <w:docPartGallery w:val="Page Numbers (Bottom of Page)"/>
        <w:docPartUnique/>
      </w:docPartObj>
    </w:sdtPr>
    <w:sdtEndPr>
      <w:rPr>
        <w:noProof/>
      </w:rPr>
    </w:sdtEndPr>
    <w:sdtContent>
      <w:p w14:paraId="170A1CFA" w14:textId="2554F460" w:rsidR="00C82465" w:rsidRDefault="00C824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8C5D37" w14:textId="77777777" w:rsidR="002B2284" w:rsidRDefault="002B2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F1CF" w14:textId="77777777" w:rsidR="005B4AE8" w:rsidRDefault="005B4AE8" w:rsidP="00792850">
      <w:pPr>
        <w:spacing w:after="0" w:line="240" w:lineRule="auto"/>
      </w:pPr>
      <w:r>
        <w:separator/>
      </w:r>
    </w:p>
  </w:footnote>
  <w:footnote w:type="continuationSeparator" w:id="0">
    <w:p w14:paraId="4EC5B0A6" w14:textId="77777777" w:rsidR="005B4AE8" w:rsidRDefault="005B4AE8" w:rsidP="00792850">
      <w:pPr>
        <w:spacing w:after="0" w:line="240" w:lineRule="auto"/>
      </w:pPr>
      <w:r>
        <w:continuationSeparator/>
      </w:r>
    </w:p>
  </w:footnote>
  <w:footnote w:id="1">
    <w:p w14:paraId="6FC6BF08" w14:textId="354B622D" w:rsidR="005157FC" w:rsidRPr="00792850" w:rsidRDefault="005157FC" w:rsidP="005157FC">
      <w:pPr>
        <w:pStyle w:val="FootnoteText"/>
        <w:rPr>
          <w:i/>
          <w:iCs/>
        </w:rPr>
      </w:pPr>
      <w:r>
        <w:rPr>
          <w:rStyle w:val="FootnoteReference"/>
        </w:rPr>
        <w:footnoteRef/>
      </w:r>
      <w:r>
        <w:t xml:space="preserve"> Specifically, the PUDL table </w:t>
      </w:r>
      <w:r>
        <w:rPr>
          <w:i/>
          <w:iCs/>
        </w:rPr>
        <w:t>Core FERC1 Yearly Steam Plants Sched402</w:t>
      </w:r>
      <w:r>
        <w:t xml:space="preserve"> provides the plant-level </w:t>
      </w:r>
      <w:r w:rsidR="003B1D7D">
        <w:t xml:space="preserve">cost </w:t>
      </w:r>
      <w:r>
        <w:t>data</w:t>
      </w:r>
      <w:r w:rsidR="003B1D7D">
        <w:t>,</w:t>
      </w:r>
      <w:r>
        <w:t xml:space="preserve"> while the PUDL table </w:t>
      </w:r>
      <w:r>
        <w:rPr>
          <w:i/>
          <w:iCs/>
        </w:rPr>
        <w:t>Core EIA860 SCD Generators</w:t>
      </w:r>
      <w:r>
        <w:t xml:space="preserve"> </w:t>
      </w:r>
      <w:r w:rsidR="003B1D7D">
        <w:t>provided additional technology details</w:t>
      </w:r>
      <w:r w:rsidR="008D426F">
        <w:t>. P</w:t>
      </w:r>
      <w:r>
        <w:t xml:space="preserve">lant and utility entity tables were </w:t>
      </w:r>
      <w:r w:rsidR="008D426F">
        <w:t xml:space="preserve">also </w:t>
      </w:r>
      <w:r>
        <w:t xml:space="preserve">used in constructing the </w:t>
      </w:r>
      <w:r w:rsidR="00F60E90">
        <w:t xml:space="preserve">data analyzed </w:t>
      </w:r>
      <w:r>
        <w:t xml:space="preserve">for this study. </w:t>
      </w:r>
    </w:p>
  </w:footnote>
  <w:footnote w:id="2">
    <w:p w14:paraId="3584B627" w14:textId="53B70AFD" w:rsidR="00BB13A9" w:rsidRDefault="00BB13A9">
      <w:pPr>
        <w:pStyle w:val="FootnoteText"/>
      </w:pPr>
      <w:r>
        <w:rPr>
          <w:rStyle w:val="FootnoteReference"/>
        </w:rPr>
        <w:footnoteRef/>
      </w:r>
      <w:r>
        <w:t xml:space="preserve"> The “Other” technology category includes power plants primarily using fuel oil, petroleum coke, coal gasification, woody biomass, and solid waste. </w:t>
      </w:r>
    </w:p>
  </w:footnote>
  <w:footnote w:id="3">
    <w:p w14:paraId="3C214557" w14:textId="5D636B12" w:rsidR="00471B80" w:rsidRDefault="00471B80" w:rsidP="00471B80">
      <w:pPr>
        <w:pStyle w:val="FootnoteText"/>
      </w:pPr>
      <w:r>
        <w:rPr>
          <w:rStyle w:val="FootnoteReference"/>
        </w:rPr>
        <w:footnoteRef/>
      </w:r>
      <w:r>
        <w:t xml:space="preserve"> Via Catalyst Cooperative’s Public Utility Data Liberation Project </w:t>
      </w:r>
      <w:r>
        <w:fldChar w:fldCharType="begin"/>
      </w:r>
      <w:r w:rsidR="00864649">
        <w:instrText xml:space="preserve"> ADDIN ZOTERO_ITEM CSL_CITATION {"citationID":"xiq9iDiT","properties":{"formattedCitation":"(Catalyst Cooperative, n.d.)","plainCitation":"(Catalyst Cooperative, n.d.)","noteIndex":3},"citationItems":[{"id":81,"uris":["http://zotero.org/users/14790435/items/45S5HTCG"],"itemData":{"id":81,"type":"dataset","title":"PUDL Data Dictionary","URL":"https://catalystcoop-pudl.readthedocs.io/en/latest/data_dictionaries/pudl_db.html","version":"out_eia__yearly_utilities","author":[{"family":"Catalyst Cooperative","given":""}],"accessed":{"date-parts":[["2025",8,28]]}}}],"schema":"https://github.com/citation-style-language/schema/raw/master/csl-citation.json"} </w:instrText>
      </w:r>
      <w:r>
        <w:fldChar w:fldCharType="separate"/>
      </w:r>
      <w:r w:rsidR="00864649" w:rsidRPr="00864649">
        <w:t>(Catalyst Cooperative, n.d.)</w:t>
      </w:r>
      <w:r>
        <w:fldChar w:fldCharType="end"/>
      </w:r>
      <w:r>
        <w:t>, specifically the table titled “out_</w:t>
      </w:r>
      <w:proofErr w:type="spellStart"/>
      <w:r>
        <w:t>eia</w:t>
      </w:r>
      <w:proofErr w:type="spellEnd"/>
      <w:r>
        <w:t>__</w:t>
      </w:r>
      <w:proofErr w:type="spellStart"/>
      <w:r>
        <w:t>yearly_generators</w:t>
      </w:r>
      <w:proofErr w:type="spellEnd"/>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137"/>
    <w:multiLevelType w:val="multilevel"/>
    <w:tmpl w:val="1D4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6193"/>
    <w:multiLevelType w:val="multilevel"/>
    <w:tmpl w:val="3B4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4A2"/>
    <w:multiLevelType w:val="hybridMultilevel"/>
    <w:tmpl w:val="582E5CE2"/>
    <w:lvl w:ilvl="0" w:tplc="FBB4B2D6">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836EB"/>
    <w:multiLevelType w:val="hybridMultilevel"/>
    <w:tmpl w:val="E2DCCC38"/>
    <w:lvl w:ilvl="0" w:tplc="95D6DC66">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6358B"/>
    <w:multiLevelType w:val="multilevel"/>
    <w:tmpl w:val="C2FC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603B4"/>
    <w:multiLevelType w:val="multilevel"/>
    <w:tmpl w:val="76C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67553"/>
    <w:multiLevelType w:val="hybridMultilevel"/>
    <w:tmpl w:val="7D7C9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544EF"/>
    <w:multiLevelType w:val="multilevel"/>
    <w:tmpl w:val="939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B533E"/>
    <w:multiLevelType w:val="multilevel"/>
    <w:tmpl w:val="553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D464E"/>
    <w:multiLevelType w:val="multilevel"/>
    <w:tmpl w:val="A04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66D5E"/>
    <w:multiLevelType w:val="multilevel"/>
    <w:tmpl w:val="FE50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E4792"/>
    <w:multiLevelType w:val="multilevel"/>
    <w:tmpl w:val="E72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10A14"/>
    <w:multiLevelType w:val="multilevel"/>
    <w:tmpl w:val="3046632A"/>
    <w:lvl w:ilvl="0">
      <w:start w:val="1"/>
      <w:numFmt w:val="decimal"/>
      <w:lvlText w:val="%1."/>
      <w:lvlJc w:val="left"/>
      <w:pPr>
        <w:ind w:left="360" w:hanging="360"/>
      </w:pPr>
    </w:lvl>
    <w:lvl w:ilvl="1">
      <w:start w:val="1"/>
      <w:numFmt w:val="decimal"/>
      <w:pStyle w:val="AppendixSubheading"/>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070B15"/>
    <w:multiLevelType w:val="multilevel"/>
    <w:tmpl w:val="F9389028"/>
    <w:lvl w:ilvl="0">
      <w:start w:val="1"/>
      <w:numFmt w:val="decimal"/>
      <w:lvlText w:val="%1"/>
      <w:lvlJc w:val="left"/>
      <w:pPr>
        <w:ind w:left="360" w:hanging="360"/>
      </w:pPr>
      <w:rPr>
        <w:rFonts w:hint="default"/>
      </w:rPr>
    </w:lvl>
    <w:lvl w:ilvl="1">
      <w:start w:val="1"/>
      <w:numFmt w:val="decimal"/>
      <w:lvlText w:val="%1.%2"/>
      <w:lvlJc w:val="left"/>
      <w:pPr>
        <w:ind w:left="268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371E52"/>
    <w:multiLevelType w:val="multilevel"/>
    <w:tmpl w:val="C39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30517"/>
    <w:multiLevelType w:val="multilevel"/>
    <w:tmpl w:val="061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37253"/>
    <w:multiLevelType w:val="hybridMultilevel"/>
    <w:tmpl w:val="DA14B052"/>
    <w:lvl w:ilvl="0" w:tplc="EC0ABC9C">
      <w:start w:val="1"/>
      <w:numFmt w:val="decimal"/>
      <w:pStyle w:val="AppendixHeading"/>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A3496"/>
    <w:multiLevelType w:val="multilevel"/>
    <w:tmpl w:val="34B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3745B"/>
    <w:multiLevelType w:val="multilevel"/>
    <w:tmpl w:val="ECA05C1C"/>
    <w:lvl w:ilvl="0">
      <w:start w:val="1"/>
      <w:numFmt w:val="decimal"/>
      <w:lvlText w:val="%1"/>
      <w:lvlJc w:val="left"/>
      <w:pPr>
        <w:ind w:left="360" w:hanging="360"/>
      </w:pPr>
      <w:rPr>
        <w:rFonts w:hint="default"/>
      </w:rPr>
    </w:lvl>
    <w:lvl w:ilvl="1">
      <w:start w:val="1"/>
      <w:numFmt w:val="decimal"/>
      <w:lvlText w:val="%1.%2"/>
      <w:lvlJc w:val="left"/>
      <w:pPr>
        <w:ind w:left="268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B3C4948"/>
    <w:multiLevelType w:val="multilevel"/>
    <w:tmpl w:val="490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F2780"/>
    <w:multiLevelType w:val="multilevel"/>
    <w:tmpl w:val="2E9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A277E"/>
    <w:multiLevelType w:val="multilevel"/>
    <w:tmpl w:val="A95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55F9A"/>
    <w:multiLevelType w:val="hybridMultilevel"/>
    <w:tmpl w:val="194A7F48"/>
    <w:lvl w:ilvl="0" w:tplc="DFA429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EA4753"/>
    <w:multiLevelType w:val="multilevel"/>
    <w:tmpl w:val="DBCCB1D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268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60231376">
    <w:abstractNumId w:val="22"/>
  </w:num>
  <w:num w:numId="2" w16cid:durableId="517542059">
    <w:abstractNumId w:val="6"/>
  </w:num>
  <w:num w:numId="3" w16cid:durableId="4248862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5401280">
    <w:abstractNumId w:val="16"/>
  </w:num>
  <w:num w:numId="5" w16cid:durableId="1312753221">
    <w:abstractNumId w:val="12"/>
  </w:num>
  <w:num w:numId="6" w16cid:durableId="1642420791">
    <w:abstractNumId w:val="13"/>
  </w:num>
  <w:num w:numId="7" w16cid:durableId="720404431">
    <w:abstractNumId w:val="2"/>
  </w:num>
  <w:num w:numId="8" w16cid:durableId="1316570071">
    <w:abstractNumId w:val="20"/>
  </w:num>
  <w:num w:numId="9" w16cid:durableId="2047245131">
    <w:abstractNumId w:val="14"/>
  </w:num>
  <w:num w:numId="10" w16cid:durableId="1188178492">
    <w:abstractNumId w:val="1"/>
  </w:num>
  <w:num w:numId="11" w16cid:durableId="790510487">
    <w:abstractNumId w:val="21"/>
  </w:num>
  <w:num w:numId="12" w16cid:durableId="790249307">
    <w:abstractNumId w:val="3"/>
  </w:num>
  <w:num w:numId="13" w16cid:durableId="1596211194">
    <w:abstractNumId w:val="11"/>
  </w:num>
  <w:num w:numId="14" w16cid:durableId="73629482">
    <w:abstractNumId w:val="7"/>
  </w:num>
  <w:num w:numId="15" w16cid:durableId="577325543">
    <w:abstractNumId w:val="4"/>
  </w:num>
  <w:num w:numId="16" w16cid:durableId="1683898929">
    <w:abstractNumId w:val="0"/>
  </w:num>
  <w:num w:numId="17" w16cid:durableId="742458106">
    <w:abstractNumId w:val="15"/>
  </w:num>
  <w:num w:numId="18" w16cid:durableId="1786538427">
    <w:abstractNumId w:val="19"/>
  </w:num>
  <w:num w:numId="19" w16cid:durableId="1223523884">
    <w:abstractNumId w:val="17"/>
  </w:num>
  <w:num w:numId="20" w16cid:durableId="962689790">
    <w:abstractNumId w:val="5"/>
  </w:num>
  <w:num w:numId="21" w16cid:durableId="2090737110">
    <w:abstractNumId w:val="9"/>
  </w:num>
  <w:num w:numId="22" w16cid:durableId="412581550">
    <w:abstractNumId w:val="10"/>
  </w:num>
  <w:num w:numId="23" w16cid:durableId="139616903">
    <w:abstractNumId w:val="8"/>
  </w:num>
  <w:num w:numId="24" w16cid:durableId="1825395310">
    <w:abstractNumId w:val="13"/>
  </w:num>
  <w:num w:numId="25" w16cid:durableId="1661228283">
    <w:abstractNumId w:val="2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lke, Steven">
    <w15:presenceInfo w15:providerId="AD" w15:userId="S::sjdahlke@dora.state.co.us::a316e30d-7273-4a2c-8891-adbd03ad7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3A"/>
    <w:rsid w:val="00000B3F"/>
    <w:rsid w:val="00000E4E"/>
    <w:rsid w:val="00001795"/>
    <w:rsid w:val="0000285F"/>
    <w:rsid w:val="000043C6"/>
    <w:rsid w:val="00006592"/>
    <w:rsid w:val="0001227B"/>
    <w:rsid w:val="00012C13"/>
    <w:rsid w:val="00013C7D"/>
    <w:rsid w:val="00017B84"/>
    <w:rsid w:val="000212E6"/>
    <w:rsid w:val="000213F2"/>
    <w:rsid w:val="0002228E"/>
    <w:rsid w:val="00022B24"/>
    <w:rsid w:val="00023C6D"/>
    <w:rsid w:val="00025D22"/>
    <w:rsid w:val="0002631B"/>
    <w:rsid w:val="000268EF"/>
    <w:rsid w:val="000276CB"/>
    <w:rsid w:val="000300A7"/>
    <w:rsid w:val="000306B1"/>
    <w:rsid w:val="00030BD2"/>
    <w:rsid w:val="0003174F"/>
    <w:rsid w:val="00031C76"/>
    <w:rsid w:val="00031F08"/>
    <w:rsid w:val="00033B8C"/>
    <w:rsid w:val="00035209"/>
    <w:rsid w:val="00037305"/>
    <w:rsid w:val="00041933"/>
    <w:rsid w:val="00044AE2"/>
    <w:rsid w:val="000504ED"/>
    <w:rsid w:val="00052990"/>
    <w:rsid w:val="00052D2F"/>
    <w:rsid w:val="0005555C"/>
    <w:rsid w:val="00055710"/>
    <w:rsid w:val="000571CE"/>
    <w:rsid w:val="000608D0"/>
    <w:rsid w:val="000617E5"/>
    <w:rsid w:val="00062BA0"/>
    <w:rsid w:val="00063212"/>
    <w:rsid w:val="0006335C"/>
    <w:rsid w:val="000650F0"/>
    <w:rsid w:val="000656E0"/>
    <w:rsid w:val="000658E7"/>
    <w:rsid w:val="000664C3"/>
    <w:rsid w:val="000664ED"/>
    <w:rsid w:val="000671EA"/>
    <w:rsid w:val="000673D4"/>
    <w:rsid w:val="000729C5"/>
    <w:rsid w:val="000730F4"/>
    <w:rsid w:val="0007627B"/>
    <w:rsid w:val="0007790F"/>
    <w:rsid w:val="000779FE"/>
    <w:rsid w:val="000823E2"/>
    <w:rsid w:val="00083934"/>
    <w:rsid w:val="000848FB"/>
    <w:rsid w:val="000866AB"/>
    <w:rsid w:val="000923E5"/>
    <w:rsid w:val="000931CA"/>
    <w:rsid w:val="000954FF"/>
    <w:rsid w:val="000967F7"/>
    <w:rsid w:val="000971F4"/>
    <w:rsid w:val="000A04B3"/>
    <w:rsid w:val="000A1812"/>
    <w:rsid w:val="000A3847"/>
    <w:rsid w:val="000A4B10"/>
    <w:rsid w:val="000B0D4D"/>
    <w:rsid w:val="000B39AC"/>
    <w:rsid w:val="000B6176"/>
    <w:rsid w:val="000B63F4"/>
    <w:rsid w:val="000B661C"/>
    <w:rsid w:val="000B6AC5"/>
    <w:rsid w:val="000B7DB0"/>
    <w:rsid w:val="000C057F"/>
    <w:rsid w:val="000C101A"/>
    <w:rsid w:val="000C1C32"/>
    <w:rsid w:val="000C2C01"/>
    <w:rsid w:val="000C35A2"/>
    <w:rsid w:val="000C4167"/>
    <w:rsid w:val="000D0722"/>
    <w:rsid w:val="000D0762"/>
    <w:rsid w:val="000D309A"/>
    <w:rsid w:val="000D628C"/>
    <w:rsid w:val="000E1BF6"/>
    <w:rsid w:val="000E2DA4"/>
    <w:rsid w:val="000E372E"/>
    <w:rsid w:val="000E5751"/>
    <w:rsid w:val="000E62FE"/>
    <w:rsid w:val="000E6CDB"/>
    <w:rsid w:val="000E7015"/>
    <w:rsid w:val="000F0DA9"/>
    <w:rsid w:val="000F3429"/>
    <w:rsid w:val="000F4E26"/>
    <w:rsid w:val="000F6E9D"/>
    <w:rsid w:val="00104022"/>
    <w:rsid w:val="001051F9"/>
    <w:rsid w:val="00106ADF"/>
    <w:rsid w:val="00107280"/>
    <w:rsid w:val="001079B5"/>
    <w:rsid w:val="00115C07"/>
    <w:rsid w:val="00117688"/>
    <w:rsid w:val="00121859"/>
    <w:rsid w:val="00122E0F"/>
    <w:rsid w:val="001250B7"/>
    <w:rsid w:val="00127D50"/>
    <w:rsid w:val="001323C5"/>
    <w:rsid w:val="00133DF8"/>
    <w:rsid w:val="00134798"/>
    <w:rsid w:val="00134A10"/>
    <w:rsid w:val="00135D26"/>
    <w:rsid w:val="00136425"/>
    <w:rsid w:val="00136E14"/>
    <w:rsid w:val="00137EE6"/>
    <w:rsid w:val="001409B9"/>
    <w:rsid w:val="001414D8"/>
    <w:rsid w:val="00142114"/>
    <w:rsid w:val="00144AD0"/>
    <w:rsid w:val="00153CCF"/>
    <w:rsid w:val="0015664F"/>
    <w:rsid w:val="0016110B"/>
    <w:rsid w:val="00161AC9"/>
    <w:rsid w:val="00161E90"/>
    <w:rsid w:val="001631B8"/>
    <w:rsid w:val="00164FAC"/>
    <w:rsid w:val="001654D2"/>
    <w:rsid w:val="001704FA"/>
    <w:rsid w:val="00171A6C"/>
    <w:rsid w:val="00173EB5"/>
    <w:rsid w:val="00176C1B"/>
    <w:rsid w:val="00176E57"/>
    <w:rsid w:val="0018374A"/>
    <w:rsid w:val="001878A2"/>
    <w:rsid w:val="00187C79"/>
    <w:rsid w:val="00187CD1"/>
    <w:rsid w:val="00190CBD"/>
    <w:rsid w:val="001925AC"/>
    <w:rsid w:val="00194229"/>
    <w:rsid w:val="00195EA0"/>
    <w:rsid w:val="0019709E"/>
    <w:rsid w:val="0019725A"/>
    <w:rsid w:val="001A06AD"/>
    <w:rsid w:val="001A1841"/>
    <w:rsid w:val="001A2844"/>
    <w:rsid w:val="001A41F3"/>
    <w:rsid w:val="001B0FAB"/>
    <w:rsid w:val="001B1353"/>
    <w:rsid w:val="001B3AF1"/>
    <w:rsid w:val="001B3B83"/>
    <w:rsid w:val="001B46AA"/>
    <w:rsid w:val="001B4B4A"/>
    <w:rsid w:val="001B4C8F"/>
    <w:rsid w:val="001B569E"/>
    <w:rsid w:val="001B767C"/>
    <w:rsid w:val="001B78BC"/>
    <w:rsid w:val="001C0D04"/>
    <w:rsid w:val="001C427F"/>
    <w:rsid w:val="001C510C"/>
    <w:rsid w:val="001C6033"/>
    <w:rsid w:val="001C6FAA"/>
    <w:rsid w:val="001C7BB1"/>
    <w:rsid w:val="001C7E53"/>
    <w:rsid w:val="001D12D6"/>
    <w:rsid w:val="001D40C7"/>
    <w:rsid w:val="001D6137"/>
    <w:rsid w:val="001D6AB2"/>
    <w:rsid w:val="001E097C"/>
    <w:rsid w:val="001E2145"/>
    <w:rsid w:val="001E2D07"/>
    <w:rsid w:val="001E7284"/>
    <w:rsid w:val="001E7CB7"/>
    <w:rsid w:val="001F0A5D"/>
    <w:rsid w:val="001F268F"/>
    <w:rsid w:val="001F2A1A"/>
    <w:rsid w:val="001F2CE5"/>
    <w:rsid w:val="001F356D"/>
    <w:rsid w:val="001F4B59"/>
    <w:rsid w:val="001F6792"/>
    <w:rsid w:val="001F7CA4"/>
    <w:rsid w:val="00200D4C"/>
    <w:rsid w:val="00201544"/>
    <w:rsid w:val="00201774"/>
    <w:rsid w:val="002018F1"/>
    <w:rsid w:val="00207B0B"/>
    <w:rsid w:val="002108A1"/>
    <w:rsid w:val="00212F34"/>
    <w:rsid w:val="002136F4"/>
    <w:rsid w:val="002147A5"/>
    <w:rsid w:val="002151E2"/>
    <w:rsid w:val="0021548D"/>
    <w:rsid w:val="00216AD0"/>
    <w:rsid w:val="002177BC"/>
    <w:rsid w:val="002208C1"/>
    <w:rsid w:val="002212C1"/>
    <w:rsid w:val="00222000"/>
    <w:rsid w:val="00222BF3"/>
    <w:rsid w:val="002237BA"/>
    <w:rsid w:val="002247E4"/>
    <w:rsid w:val="00226AAB"/>
    <w:rsid w:val="00226C66"/>
    <w:rsid w:val="00226F74"/>
    <w:rsid w:val="00227385"/>
    <w:rsid w:val="00230404"/>
    <w:rsid w:val="0023189C"/>
    <w:rsid w:val="00232892"/>
    <w:rsid w:val="00235736"/>
    <w:rsid w:val="002367F3"/>
    <w:rsid w:val="0023696D"/>
    <w:rsid w:val="002409F3"/>
    <w:rsid w:val="00241EAB"/>
    <w:rsid w:val="00242635"/>
    <w:rsid w:val="0024695C"/>
    <w:rsid w:val="00247E99"/>
    <w:rsid w:val="0025016E"/>
    <w:rsid w:val="00251588"/>
    <w:rsid w:val="00253935"/>
    <w:rsid w:val="00254462"/>
    <w:rsid w:val="00256DAC"/>
    <w:rsid w:val="0025785D"/>
    <w:rsid w:val="00261388"/>
    <w:rsid w:val="002617E6"/>
    <w:rsid w:val="00263412"/>
    <w:rsid w:val="00267BCA"/>
    <w:rsid w:val="00275873"/>
    <w:rsid w:val="00280D48"/>
    <w:rsid w:val="00281FF3"/>
    <w:rsid w:val="00282CAE"/>
    <w:rsid w:val="00282D2C"/>
    <w:rsid w:val="0028404F"/>
    <w:rsid w:val="00284ED3"/>
    <w:rsid w:val="002853ED"/>
    <w:rsid w:val="00287D12"/>
    <w:rsid w:val="00290C7B"/>
    <w:rsid w:val="002923D4"/>
    <w:rsid w:val="0029282A"/>
    <w:rsid w:val="00294A3A"/>
    <w:rsid w:val="002963C3"/>
    <w:rsid w:val="002967F2"/>
    <w:rsid w:val="00297E0F"/>
    <w:rsid w:val="002A0DC7"/>
    <w:rsid w:val="002A1DAA"/>
    <w:rsid w:val="002A2D94"/>
    <w:rsid w:val="002A3FB9"/>
    <w:rsid w:val="002A62EA"/>
    <w:rsid w:val="002A78C5"/>
    <w:rsid w:val="002B110C"/>
    <w:rsid w:val="002B19DF"/>
    <w:rsid w:val="002B2284"/>
    <w:rsid w:val="002B4475"/>
    <w:rsid w:val="002B5625"/>
    <w:rsid w:val="002B5FC1"/>
    <w:rsid w:val="002B66A8"/>
    <w:rsid w:val="002C1F06"/>
    <w:rsid w:val="002C2808"/>
    <w:rsid w:val="002C2918"/>
    <w:rsid w:val="002C4E07"/>
    <w:rsid w:val="002C4F54"/>
    <w:rsid w:val="002C5E5B"/>
    <w:rsid w:val="002D1548"/>
    <w:rsid w:val="002D1586"/>
    <w:rsid w:val="002D21B8"/>
    <w:rsid w:val="002D221F"/>
    <w:rsid w:val="002D2F52"/>
    <w:rsid w:val="002D3D7D"/>
    <w:rsid w:val="002D3EB9"/>
    <w:rsid w:val="002D4E5B"/>
    <w:rsid w:val="002D7047"/>
    <w:rsid w:val="002D759D"/>
    <w:rsid w:val="002D7E8B"/>
    <w:rsid w:val="002E2240"/>
    <w:rsid w:val="002E70C6"/>
    <w:rsid w:val="002F2361"/>
    <w:rsid w:val="002F37D5"/>
    <w:rsid w:val="002F6B69"/>
    <w:rsid w:val="002F6BB9"/>
    <w:rsid w:val="003014FE"/>
    <w:rsid w:val="00305A74"/>
    <w:rsid w:val="00306349"/>
    <w:rsid w:val="00311A3A"/>
    <w:rsid w:val="0031310A"/>
    <w:rsid w:val="0031485D"/>
    <w:rsid w:val="00316DD2"/>
    <w:rsid w:val="0032010C"/>
    <w:rsid w:val="003268DA"/>
    <w:rsid w:val="00326E2F"/>
    <w:rsid w:val="003276CD"/>
    <w:rsid w:val="0033076B"/>
    <w:rsid w:val="00333762"/>
    <w:rsid w:val="00336960"/>
    <w:rsid w:val="0034217F"/>
    <w:rsid w:val="003426FA"/>
    <w:rsid w:val="00342E00"/>
    <w:rsid w:val="00343730"/>
    <w:rsid w:val="00345BE8"/>
    <w:rsid w:val="00353B61"/>
    <w:rsid w:val="00354E78"/>
    <w:rsid w:val="00355D59"/>
    <w:rsid w:val="0035711C"/>
    <w:rsid w:val="00360A59"/>
    <w:rsid w:val="00360C9F"/>
    <w:rsid w:val="00361468"/>
    <w:rsid w:val="003617DF"/>
    <w:rsid w:val="00362F39"/>
    <w:rsid w:val="00363DB6"/>
    <w:rsid w:val="003649EE"/>
    <w:rsid w:val="00364EE6"/>
    <w:rsid w:val="003661BF"/>
    <w:rsid w:val="00366C93"/>
    <w:rsid w:val="00371DF4"/>
    <w:rsid w:val="00372FAD"/>
    <w:rsid w:val="003734CF"/>
    <w:rsid w:val="003756A8"/>
    <w:rsid w:val="0038243C"/>
    <w:rsid w:val="00384BE4"/>
    <w:rsid w:val="00390F9F"/>
    <w:rsid w:val="003911A4"/>
    <w:rsid w:val="00392536"/>
    <w:rsid w:val="00392C31"/>
    <w:rsid w:val="003946BA"/>
    <w:rsid w:val="00395928"/>
    <w:rsid w:val="00395CBD"/>
    <w:rsid w:val="00396254"/>
    <w:rsid w:val="003A33AB"/>
    <w:rsid w:val="003A37F0"/>
    <w:rsid w:val="003A5843"/>
    <w:rsid w:val="003B09EE"/>
    <w:rsid w:val="003B132E"/>
    <w:rsid w:val="003B1D7D"/>
    <w:rsid w:val="003B4BD8"/>
    <w:rsid w:val="003B50F2"/>
    <w:rsid w:val="003B5AD9"/>
    <w:rsid w:val="003B6177"/>
    <w:rsid w:val="003B6A0E"/>
    <w:rsid w:val="003B7756"/>
    <w:rsid w:val="003C1375"/>
    <w:rsid w:val="003C2C96"/>
    <w:rsid w:val="003C3D12"/>
    <w:rsid w:val="003C4A11"/>
    <w:rsid w:val="003C50DA"/>
    <w:rsid w:val="003C6943"/>
    <w:rsid w:val="003C70D4"/>
    <w:rsid w:val="003C7D60"/>
    <w:rsid w:val="003C7F45"/>
    <w:rsid w:val="003D158F"/>
    <w:rsid w:val="003D1720"/>
    <w:rsid w:val="003D3A3F"/>
    <w:rsid w:val="003E0C08"/>
    <w:rsid w:val="003E19BC"/>
    <w:rsid w:val="003E2AB1"/>
    <w:rsid w:val="003E2EF0"/>
    <w:rsid w:val="003E30AA"/>
    <w:rsid w:val="003E4C30"/>
    <w:rsid w:val="003E5316"/>
    <w:rsid w:val="003E5700"/>
    <w:rsid w:val="003E6A9C"/>
    <w:rsid w:val="003F09F2"/>
    <w:rsid w:val="003F25ED"/>
    <w:rsid w:val="003F3EC6"/>
    <w:rsid w:val="003F4672"/>
    <w:rsid w:val="003F565D"/>
    <w:rsid w:val="004007B6"/>
    <w:rsid w:val="00401668"/>
    <w:rsid w:val="004028BD"/>
    <w:rsid w:val="00405819"/>
    <w:rsid w:val="00405AF2"/>
    <w:rsid w:val="00405F0A"/>
    <w:rsid w:val="004106C3"/>
    <w:rsid w:val="0041141C"/>
    <w:rsid w:val="00411B2A"/>
    <w:rsid w:val="00411C72"/>
    <w:rsid w:val="0041497C"/>
    <w:rsid w:val="004159AA"/>
    <w:rsid w:val="00416B86"/>
    <w:rsid w:val="00417F4D"/>
    <w:rsid w:val="004207AC"/>
    <w:rsid w:val="00420945"/>
    <w:rsid w:val="0042100E"/>
    <w:rsid w:val="00421842"/>
    <w:rsid w:val="00421A86"/>
    <w:rsid w:val="00423DBF"/>
    <w:rsid w:val="00424A89"/>
    <w:rsid w:val="00424B00"/>
    <w:rsid w:val="00426110"/>
    <w:rsid w:val="00426735"/>
    <w:rsid w:val="00430CC1"/>
    <w:rsid w:val="0043171A"/>
    <w:rsid w:val="0043233B"/>
    <w:rsid w:val="00434209"/>
    <w:rsid w:val="004344E9"/>
    <w:rsid w:val="004349BC"/>
    <w:rsid w:val="00437D65"/>
    <w:rsid w:val="00437F92"/>
    <w:rsid w:val="00441952"/>
    <w:rsid w:val="00444022"/>
    <w:rsid w:val="00446446"/>
    <w:rsid w:val="00450DC7"/>
    <w:rsid w:val="00453633"/>
    <w:rsid w:val="004538F6"/>
    <w:rsid w:val="0045443E"/>
    <w:rsid w:val="004551C1"/>
    <w:rsid w:val="00455D15"/>
    <w:rsid w:val="00456DD3"/>
    <w:rsid w:val="004606CF"/>
    <w:rsid w:val="00461AB5"/>
    <w:rsid w:val="004656CF"/>
    <w:rsid w:val="00466E88"/>
    <w:rsid w:val="00470DA6"/>
    <w:rsid w:val="00470E38"/>
    <w:rsid w:val="00471B80"/>
    <w:rsid w:val="00471BF5"/>
    <w:rsid w:val="0047487E"/>
    <w:rsid w:val="00476592"/>
    <w:rsid w:val="0048011A"/>
    <w:rsid w:val="004808B9"/>
    <w:rsid w:val="00481ADE"/>
    <w:rsid w:val="00486D97"/>
    <w:rsid w:val="00487A67"/>
    <w:rsid w:val="00492274"/>
    <w:rsid w:val="00492C12"/>
    <w:rsid w:val="0049348A"/>
    <w:rsid w:val="00494547"/>
    <w:rsid w:val="00494C6A"/>
    <w:rsid w:val="00495824"/>
    <w:rsid w:val="004961B1"/>
    <w:rsid w:val="004968F1"/>
    <w:rsid w:val="00497858"/>
    <w:rsid w:val="004A0BCC"/>
    <w:rsid w:val="004B1D9D"/>
    <w:rsid w:val="004B7958"/>
    <w:rsid w:val="004C1C59"/>
    <w:rsid w:val="004C2702"/>
    <w:rsid w:val="004C2D45"/>
    <w:rsid w:val="004C49A9"/>
    <w:rsid w:val="004C5499"/>
    <w:rsid w:val="004C74F6"/>
    <w:rsid w:val="004C7A90"/>
    <w:rsid w:val="004D2937"/>
    <w:rsid w:val="004D5CFF"/>
    <w:rsid w:val="004D6C5C"/>
    <w:rsid w:val="004D7C8D"/>
    <w:rsid w:val="004E1161"/>
    <w:rsid w:val="004E291E"/>
    <w:rsid w:val="004E3ED0"/>
    <w:rsid w:val="004E5163"/>
    <w:rsid w:val="004F4932"/>
    <w:rsid w:val="004F6B69"/>
    <w:rsid w:val="004F7136"/>
    <w:rsid w:val="00500E77"/>
    <w:rsid w:val="00501CFE"/>
    <w:rsid w:val="00502454"/>
    <w:rsid w:val="00505A23"/>
    <w:rsid w:val="00506531"/>
    <w:rsid w:val="00511D86"/>
    <w:rsid w:val="0051314E"/>
    <w:rsid w:val="00513DB8"/>
    <w:rsid w:val="005157FC"/>
    <w:rsid w:val="005161A9"/>
    <w:rsid w:val="00516E68"/>
    <w:rsid w:val="0052202D"/>
    <w:rsid w:val="00523A2B"/>
    <w:rsid w:val="00523F45"/>
    <w:rsid w:val="00526924"/>
    <w:rsid w:val="00530415"/>
    <w:rsid w:val="005310EE"/>
    <w:rsid w:val="005316CD"/>
    <w:rsid w:val="00531A72"/>
    <w:rsid w:val="00533981"/>
    <w:rsid w:val="00533A2E"/>
    <w:rsid w:val="00533D2D"/>
    <w:rsid w:val="005348D2"/>
    <w:rsid w:val="005360EF"/>
    <w:rsid w:val="00540A6D"/>
    <w:rsid w:val="005430EB"/>
    <w:rsid w:val="005445C5"/>
    <w:rsid w:val="00545B10"/>
    <w:rsid w:val="00545FAB"/>
    <w:rsid w:val="00547613"/>
    <w:rsid w:val="00550373"/>
    <w:rsid w:val="00560648"/>
    <w:rsid w:val="005619D3"/>
    <w:rsid w:val="00563401"/>
    <w:rsid w:val="00563AFE"/>
    <w:rsid w:val="00564CD9"/>
    <w:rsid w:val="005650AC"/>
    <w:rsid w:val="0056511D"/>
    <w:rsid w:val="00565FF3"/>
    <w:rsid w:val="00570075"/>
    <w:rsid w:val="005706CB"/>
    <w:rsid w:val="00570AA1"/>
    <w:rsid w:val="0057147C"/>
    <w:rsid w:val="0057199E"/>
    <w:rsid w:val="00573E90"/>
    <w:rsid w:val="00577B9B"/>
    <w:rsid w:val="00577EA3"/>
    <w:rsid w:val="00580C66"/>
    <w:rsid w:val="005847FF"/>
    <w:rsid w:val="00584E80"/>
    <w:rsid w:val="005873C1"/>
    <w:rsid w:val="00596819"/>
    <w:rsid w:val="005A3F8E"/>
    <w:rsid w:val="005A501F"/>
    <w:rsid w:val="005A5771"/>
    <w:rsid w:val="005A7C56"/>
    <w:rsid w:val="005B0004"/>
    <w:rsid w:val="005B2868"/>
    <w:rsid w:val="005B2933"/>
    <w:rsid w:val="005B4AE8"/>
    <w:rsid w:val="005B628B"/>
    <w:rsid w:val="005B64A0"/>
    <w:rsid w:val="005C00AC"/>
    <w:rsid w:val="005C1DFF"/>
    <w:rsid w:val="005C6DC1"/>
    <w:rsid w:val="005D1301"/>
    <w:rsid w:val="005D20FF"/>
    <w:rsid w:val="005D2B05"/>
    <w:rsid w:val="005D4C0C"/>
    <w:rsid w:val="005D5327"/>
    <w:rsid w:val="005D6868"/>
    <w:rsid w:val="005E0595"/>
    <w:rsid w:val="005E0BBE"/>
    <w:rsid w:val="005E15AD"/>
    <w:rsid w:val="005E366F"/>
    <w:rsid w:val="005E65F0"/>
    <w:rsid w:val="005E7F8B"/>
    <w:rsid w:val="005F0729"/>
    <w:rsid w:val="005F4FDB"/>
    <w:rsid w:val="005F576D"/>
    <w:rsid w:val="00602A14"/>
    <w:rsid w:val="00602C23"/>
    <w:rsid w:val="00602F4E"/>
    <w:rsid w:val="00603D65"/>
    <w:rsid w:val="00604CB7"/>
    <w:rsid w:val="00605A1D"/>
    <w:rsid w:val="006071D9"/>
    <w:rsid w:val="006076B0"/>
    <w:rsid w:val="00615528"/>
    <w:rsid w:val="00615C5E"/>
    <w:rsid w:val="0062337C"/>
    <w:rsid w:val="00624808"/>
    <w:rsid w:val="00626EA0"/>
    <w:rsid w:val="00627306"/>
    <w:rsid w:val="006300E4"/>
    <w:rsid w:val="006351C3"/>
    <w:rsid w:val="0064209C"/>
    <w:rsid w:val="00642C69"/>
    <w:rsid w:val="006443AD"/>
    <w:rsid w:val="006447F4"/>
    <w:rsid w:val="00644964"/>
    <w:rsid w:val="006456F4"/>
    <w:rsid w:val="00646214"/>
    <w:rsid w:val="00652E0D"/>
    <w:rsid w:val="006545DA"/>
    <w:rsid w:val="006563F4"/>
    <w:rsid w:val="006568BD"/>
    <w:rsid w:val="00660548"/>
    <w:rsid w:val="00662610"/>
    <w:rsid w:val="006711EE"/>
    <w:rsid w:val="00671FF4"/>
    <w:rsid w:val="00672326"/>
    <w:rsid w:val="006752EC"/>
    <w:rsid w:val="006770C4"/>
    <w:rsid w:val="00677A11"/>
    <w:rsid w:val="00681242"/>
    <w:rsid w:val="00681B76"/>
    <w:rsid w:val="00682F31"/>
    <w:rsid w:val="00683FDB"/>
    <w:rsid w:val="00684965"/>
    <w:rsid w:val="0069029A"/>
    <w:rsid w:val="00690C27"/>
    <w:rsid w:val="00693D8F"/>
    <w:rsid w:val="0069732B"/>
    <w:rsid w:val="006A040B"/>
    <w:rsid w:val="006A08EC"/>
    <w:rsid w:val="006A17D2"/>
    <w:rsid w:val="006A2BDE"/>
    <w:rsid w:val="006A3BA7"/>
    <w:rsid w:val="006A616F"/>
    <w:rsid w:val="006A6A0B"/>
    <w:rsid w:val="006A70BA"/>
    <w:rsid w:val="006B3B4A"/>
    <w:rsid w:val="006B7293"/>
    <w:rsid w:val="006B7FE5"/>
    <w:rsid w:val="006C2DE3"/>
    <w:rsid w:val="006C3B69"/>
    <w:rsid w:val="006C43CA"/>
    <w:rsid w:val="006D0A47"/>
    <w:rsid w:val="006D3329"/>
    <w:rsid w:val="006D4B22"/>
    <w:rsid w:val="006D583E"/>
    <w:rsid w:val="006D78F8"/>
    <w:rsid w:val="006E0000"/>
    <w:rsid w:val="006E017A"/>
    <w:rsid w:val="006E057C"/>
    <w:rsid w:val="006E0659"/>
    <w:rsid w:val="006E18A2"/>
    <w:rsid w:val="006E2408"/>
    <w:rsid w:val="006E258B"/>
    <w:rsid w:val="006E3EEA"/>
    <w:rsid w:val="006E538F"/>
    <w:rsid w:val="006E76AD"/>
    <w:rsid w:val="006F12F3"/>
    <w:rsid w:val="006F2AE7"/>
    <w:rsid w:val="006F4D93"/>
    <w:rsid w:val="006F5ACE"/>
    <w:rsid w:val="006F61E0"/>
    <w:rsid w:val="007012AA"/>
    <w:rsid w:val="00701B01"/>
    <w:rsid w:val="00701B3F"/>
    <w:rsid w:val="00703F8E"/>
    <w:rsid w:val="0070592A"/>
    <w:rsid w:val="00707132"/>
    <w:rsid w:val="00712504"/>
    <w:rsid w:val="007130F4"/>
    <w:rsid w:val="007170F1"/>
    <w:rsid w:val="00717420"/>
    <w:rsid w:val="00717EDF"/>
    <w:rsid w:val="0072137D"/>
    <w:rsid w:val="007213D8"/>
    <w:rsid w:val="007258CF"/>
    <w:rsid w:val="007259CF"/>
    <w:rsid w:val="00725BBE"/>
    <w:rsid w:val="007269DD"/>
    <w:rsid w:val="00727F95"/>
    <w:rsid w:val="00732262"/>
    <w:rsid w:val="00732568"/>
    <w:rsid w:val="00734628"/>
    <w:rsid w:val="00735F40"/>
    <w:rsid w:val="00736202"/>
    <w:rsid w:val="00742EAD"/>
    <w:rsid w:val="0074603B"/>
    <w:rsid w:val="00753014"/>
    <w:rsid w:val="007563F7"/>
    <w:rsid w:val="00757131"/>
    <w:rsid w:val="007602B9"/>
    <w:rsid w:val="00762816"/>
    <w:rsid w:val="00763DD4"/>
    <w:rsid w:val="00764CC1"/>
    <w:rsid w:val="007653E3"/>
    <w:rsid w:val="00767846"/>
    <w:rsid w:val="00771C15"/>
    <w:rsid w:val="00776ADF"/>
    <w:rsid w:val="00776EC2"/>
    <w:rsid w:val="00783154"/>
    <w:rsid w:val="00784809"/>
    <w:rsid w:val="00785BD3"/>
    <w:rsid w:val="00790DDE"/>
    <w:rsid w:val="00792850"/>
    <w:rsid w:val="00793891"/>
    <w:rsid w:val="0079460C"/>
    <w:rsid w:val="00795F42"/>
    <w:rsid w:val="0079618B"/>
    <w:rsid w:val="00796E5A"/>
    <w:rsid w:val="00797152"/>
    <w:rsid w:val="007A122A"/>
    <w:rsid w:val="007A1835"/>
    <w:rsid w:val="007A3754"/>
    <w:rsid w:val="007A4540"/>
    <w:rsid w:val="007B5B13"/>
    <w:rsid w:val="007C02A3"/>
    <w:rsid w:val="007C0E5A"/>
    <w:rsid w:val="007C1869"/>
    <w:rsid w:val="007C192F"/>
    <w:rsid w:val="007C3DEE"/>
    <w:rsid w:val="007C68EA"/>
    <w:rsid w:val="007C6F4F"/>
    <w:rsid w:val="007C7D55"/>
    <w:rsid w:val="007D13E2"/>
    <w:rsid w:val="007D4604"/>
    <w:rsid w:val="007D5397"/>
    <w:rsid w:val="007D6092"/>
    <w:rsid w:val="007D7368"/>
    <w:rsid w:val="007E1328"/>
    <w:rsid w:val="007E25C5"/>
    <w:rsid w:val="007E382A"/>
    <w:rsid w:val="007E6BE8"/>
    <w:rsid w:val="007F4285"/>
    <w:rsid w:val="007F5392"/>
    <w:rsid w:val="007F5544"/>
    <w:rsid w:val="007F588F"/>
    <w:rsid w:val="007F6999"/>
    <w:rsid w:val="0080064C"/>
    <w:rsid w:val="00800EE1"/>
    <w:rsid w:val="008013DD"/>
    <w:rsid w:val="00801E8C"/>
    <w:rsid w:val="00805AF6"/>
    <w:rsid w:val="00810279"/>
    <w:rsid w:val="0081029A"/>
    <w:rsid w:val="00810651"/>
    <w:rsid w:val="00811AEF"/>
    <w:rsid w:val="0081293F"/>
    <w:rsid w:val="008157C4"/>
    <w:rsid w:val="00816CC6"/>
    <w:rsid w:val="008176CF"/>
    <w:rsid w:val="00820C30"/>
    <w:rsid w:val="008216A3"/>
    <w:rsid w:val="00821DDB"/>
    <w:rsid w:val="00822EE1"/>
    <w:rsid w:val="00824C8F"/>
    <w:rsid w:val="0082684C"/>
    <w:rsid w:val="008268A6"/>
    <w:rsid w:val="00826B3B"/>
    <w:rsid w:val="008274D4"/>
    <w:rsid w:val="0083074D"/>
    <w:rsid w:val="00830D4E"/>
    <w:rsid w:val="0083171B"/>
    <w:rsid w:val="00832E09"/>
    <w:rsid w:val="00835E22"/>
    <w:rsid w:val="00836008"/>
    <w:rsid w:val="00837004"/>
    <w:rsid w:val="008403F0"/>
    <w:rsid w:val="00846709"/>
    <w:rsid w:val="00847152"/>
    <w:rsid w:val="008474B4"/>
    <w:rsid w:val="00851352"/>
    <w:rsid w:val="0085369A"/>
    <w:rsid w:val="00854136"/>
    <w:rsid w:val="00854BB9"/>
    <w:rsid w:val="00856536"/>
    <w:rsid w:val="00856B00"/>
    <w:rsid w:val="008609ED"/>
    <w:rsid w:val="0086185B"/>
    <w:rsid w:val="008625CA"/>
    <w:rsid w:val="00864649"/>
    <w:rsid w:val="00864C7E"/>
    <w:rsid w:val="0086678C"/>
    <w:rsid w:val="0086742D"/>
    <w:rsid w:val="00867B37"/>
    <w:rsid w:val="00867E53"/>
    <w:rsid w:val="00871C3E"/>
    <w:rsid w:val="00874A5F"/>
    <w:rsid w:val="00875F7E"/>
    <w:rsid w:val="008773AB"/>
    <w:rsid w:val="008801B2"/>
    <w:rsid w:val="0088166B"/>
    <w:rsid w:val="00882443"/>
    <w:rsid w:val="00884995"/>
    <w:rsid w:val="00884DA9"/>
    <w:rsid w:val="00891564"/>
    <w:rsid w:val="00892215"/>
    <w:rsid w:val="0089253D"/>
    <w:rsid w:val="0089677A"/>
    <w:rsid w:val="008A0570"/>
    <w:rsid w:val="008A55B9"/>
    <w:rsid w:val="008A7D51"/>
    <w:rsid w:val="008B0966"/>
    <w:rsid w:val="008B4C5E"/>
    <w:rsid w:val="008B7F1D"/>
    <w:rsid w:val="008B7F49"/>
    <w:rsid w:val="008C0798"/>
    <w:rsid w:val="008C16C3"/>
    <w:rsid w:val="008C19B6"/>
    <w:rsid w:val="008C3F1C"/>
    <w:rsid w:val="008C6405"/>
    <w:rsid w:val="008C7EBD"/>
    <w:rsid w:val="008D0BBB"/>
    <w:rsid w:val="008D1289"/>
    <w:rsid w:val="008D1D66"/>
    <w:rsid w:val="008D3587"/>
    <w:rsid w:val="008D3619"/>
    <w:rsid w:val="008D426F"/>
    <w:rsid w:val="008D79B2"/>
    <w:rsid w:val="008E07E5"/>
    <w:rsid w:val="008E2DF8"/>
    <w:rsid w:val="008E32A9"/>
    <w:rsid w:val="008E373C"/>
    <w:rsid w:val="008E3A29"/>
    <w:rsid w:val="008E4997"/>
    <w:rsid w:val="008E747B"/>
    <w:rsid w:val="008E7801"/>
    <w:rsid w:val="008F1D1D"/>
    <w:rsid w:val="008F2E94"/>
    <w:rsid w:val="008F3544"/>
    <w:rsid w:val="008F6E4B"/>
    <w:rsid w:val="0090135B"/>
    <w:rsid w:val="00901F8F"/>
    <w:rsid w:val="0090635F"/>
    <w:rsid w:val="00906FBB"/>
    <w:rsid w:val="00907647"/>
    <w:rsid w:val="00907944"/>
    <w:rsid w:val="00910C1B"/>
    <w:rsid w:val="009124FF"/>
    <w:rsid w:val="00914E67"/>
    <w:rsid w:val="0091582A"/>
    <w:rsid w:val="00916817"/>
    <w:rsid w:val="00925C4D"/>
    <w:rsid w:val="00926E83"/>
    <w:rsid w:val="00934A1F"/>
    <w:rsid w:val="009374AE"/>
    <w:rsid w:val="00940C59"/>
    <w:rsid w:val="00942866"/>
    <w:rsid w:val="00943046"/>
    <w:rsid w:val="00943EFA"/>
    <w:rsid w:val="00943F17"/>
    <w:rsid w:val="009442F6"/>
    <w:rsid w:val="00947650"/>
    <w:rsid w:val="009501B1"/>
    <w:rsid w:val="009513F9"/>
    <w:rsid w:val="009514D7"/>
    <w:rsid w:val="00957DD9"/>
    <w:rsid w:val="00962DA3"/>
    <w:rsid w:val="009643D7"/>
    <w:rsid w:val="0096490D"/>
    <w:rsid w:val="00966CCC"/>
    <w:rsid w:val="009679C7"/>
    <w:rsid w:val="00967E54"/>
    <w:rsid w:val="00970D3E"/>
    <w:rsid w:val="009714C2"/>
    <w:rsid w:val="00971C9B"/>
    <w:rsid w:val="00973C66"/>
    <w:rsid w:val="0097482F"/>
    <w:rsid w:val="009748DD"/>
    <w:rsid w:val="009765DE"/>
    <w:rsid w:val="00980ED0"/>
    <w:rsid w:val="0098327E"/>
    <w:rsid w:val="00985333"/>
    <w:rsid w:val="00986AD4"/>
    <w:rsid w:val="00990E76"/>
    <w:rsid w:val="00995C94"/>
    <w:rsid w:val="009961C6"/>
    <w:rsid w:val="00996EC6"/>
    <w:rsid w:val="009970CC"/>
    <w:rsid w:val="009A0480"/>
    <w:rsid w:val="009A04E3"/>
    <w:rsid w:val="009A0E01"/>
    <w:rsid w:val="009A5FC7"/>
    <w:rsid w:val="009B0214"/>
    <w:rsid w:val="009B122A"/>
    <w:rsid w:val="009B35BD"/>
    <w:rsid w:val="009B4B94"/>
    <w:rsid w:val="009B4C47"/>
    <w:rsid w:val="009B59B0"/>
    <w:rsid w:val="009B65BE"/>
    <w:rsid w:val="009C0307"/>
    <w:rsid w:val="009C1204"/>
    <w:rsid w:val="009C1DA9"/>
    <w:rsid w:val="009C34D7"/>
    <w:rsid w:val="009C40ED"/>
    <w:rsid w:val="009C5967"/>
    <w:rsid w:val="009D11E6"/>
    <w:rsid w:val="009D22E1"/>
    <w:rsid w:val="009D4219"/>
    <w:rsid w:val="009D47C6"/>
    <w:rsid w:val="009D4D3A"/>
    <w:rsid w:val="009D5A09"/>
    <w:rsid w:val="009D5CFF"/>
    <w:rsid w:val="009D6845"/>
    <w:rsid w:val="009D7EF9"/>
    <w:rsid w:val="009E136D"/>
    <w:rsid w:val="009E186B"/>
    <w:rsid w:val="009E6263"/>
    <w:rsid w:val="009E6313"/>
    <w:rsid w:val="009E767C"/>
    <w:rsid w:val="009F0462"/>
    <w:rsid w:val="009F27CB"/>
    <w:rsid w:val="009F4B3A"/>
    <w:rsid w:val="009F7054"/>
    <w:rsid w:val="009F7B94"/>
    <w:rsid w:val="00A00EBC"/>
    <w:rsid w:val="00A02764"/>
    <w:rsid w:val="00A04ED5"/>
    <w:rsid w:val="00A05347"/>
    <w:rsid w:val="00A1174C"/>
    <w:rsid w:val="00A121A1"/>
    <w:rsid w:val="00A15150"/>
    <w:rsid w:val="00A15186"/>
    <w:rsid w:val="00A22D55"/>
    <w:rsid w:val="00A2312D"/>
    <w:rsid w:val="00A23DA1"/>
    <w:rsid w:val="00A240B6"/>
    <w:rsid w:val="00A25539"/>
    <w:rsid w:val="00A2575E"/>
    <w:rsid w:val="00A30351"/>
    <w:rsid w:val="00A3438A"/>
    <w:rsid w:val="00A344A2"/>
    <w:rsid w:val="00A35EC6"/>
    <w:rsid w:val="00A431CD"/>
    <w:rsid w:val="00A43DDE"/>
    <w:rsid w:val="00A44FDD"/>
    <w:rsid w:val="00A451DD"/>
    <w:rsid w:val="00A452E9"/>
    <w:rsid w:val="00A525A5"/>
    <w:rsid w:val="00A52722"/>
    <w:rsid w:val="00A5418D"/>
    <w:rsid w:val="00A5617E"/>
    <w:rsid w:val="00A56AA1"/>
    <w:rsid w:val="00A56BF7"/>
    <w:rsid w:val="00A57BA2"/>
    <w:rsid w:val="00A6005D"/>
    <w:rsid w:val="00A62910"/>
    <w:rsid w:val="00A62F57"/>
    <w:rsid w:val="00A63831"/>
    <w:rsid w:val="00A63968"/>
    <w:rsid w:val="00A63FE0"/>
    <w:rsid w:val="00A64337"/>
    <w:rsid w:val="00A646A0"/>
    <w:rsid w:val="00A65D10"/>
    <w:rsid w:val="00A672C0"/>
    <w:rsid w:val="00A67630"/>
    <w:rsid w:val="00A71EA5"/>
    <w:rsid w:val="00A73532"/>
    <w:rsid w:val="00A747E3"/>
    <w:rsid w:val="00A7481A"/>
    <w:rsid w:val="00A810D1"/>
    <w:rsid w:val="00A8118E"/>
    <w:rsid w:val="00A8153E"/>
    <w:rsid w:val="00A81CFF"/>
    <w:rsid w:val="00A84547"/>
    <w:rsid w:val="00A84681"/>
    <w:rsid w:val="00A84BBC"/>
    <w:rsid w:val="00A870C3"/>
    <w:rsid w:val="00A87520"/>
    <w:rsid w:val="00A87D91"/>
    <w:rsid w:val="00A926AF"/>
    <w:rsid w:val="00A93C71"/>
    <w:rsid w:val="00A944E2"/>
    <w:rsid w:val="00A94C2F"/>
    <w:rsid w:val="00A96ADC"/>
    <w:rsid w:val="00A97261"/>
    <w:rsid w:val="00AA01E4"/>
    <w:rsid w:val="00AA2027"/>
    <w:rsid w:val="00AA2B0D"/>
    <w:rsid w:val="00AB05BF"/>
    <w:rsid w:val="00AB1957"/>
    <w:rsid w:val="00AB2CDF"/>
    <w:rsid w:val="00AB32E2"/>
    <w:rsid w:val="00AB61C4"/>
    <w:rsid w:val="00AB7B1A"/>
    <w:rsid w:val="00AC20B1"/>
    <w:rsid w:val="00AC27ED"/>
    <w:rsid w:val="00AC370B"/>
    <w:rsid w:val="00AC37B4"/>
    <w:rsid w:val="00AC7673"/>
    <w:rsid w:val="00AD18C8"/>
    <w:rsid w:val="00AD1CF5"/>
    <w:rsid w:val="00AD201A"/>
    <w:rsid w:val="00AD3164"/>
    <w:rsid w:val="00AD3419"/>
    <w:rsid w:val="00AD3589"/>
    <w:rsid w:val="00AD6D39"/>
    <w:rsid w:val="00AE443A"/>
    <w:rsid w:val="00AE4B6B"/>
    <w:rsid w:val="00AE7656"/>
    <w:rsid w:val="00AF2225"/>
    <w:rsid w:val="00AF3FDA"/>
    <w:rsid w:val="00B013E2"/>
    <w:rsid w:val="00B1087A"/>
    <w:rsid w:val="00B1345B"/>
    <w:rsid w:val="00B13AA9"/>
    <w:rsid w:val="00B16770"/>
    <w:rsid w:val="00B17515"/>
    <w:rsid w:val="00B240C6"/>
    <w:rsid w:val="00B31AD4"/>
    <w:rsid w:val="00B33EC8"/>
    <w:rsid w:val="00B36134"/>
    <w:rsid w:val="00B402A9"/>
    <w:rsid w:val="00B45DD1"/>
    <w:rsid w:val="00B46731"/>
    <w:rsid w:val="00B47BF6"/>
    <w:rsid w:val="00B50B14"/>
    <w:rsid w:val="00B51CE4"/>
    <w:rsid w:val="00B53925"/>
    <w:rsid w:val="00B53A51"/>
    <w:rsid w:val="00B53E55"/>
    <w:rsid w:val="00B54F70"/>
    <w:rsid w:val="00B57B11"/>
    <w:rsid w:val="00B63EC2"/>
    <w:rsid w:val="00B6414B"/>
    <w:rsid w:val="00B655F5"/>
    <w:rsid w:val="00B6614F"/>
    <w:rsid w:val="00B67AE4"/>
    <w:rsid w:val="00B700CC"/>
    <w:rsid w:val="00B70128"/>
    <w:rsid w:val="00B702F8"/>
    <w:rsid w:val="00B70577"/>
    <w:rsid w:val="00B72046"/>
    <w:rsid w:val="00B731AE"/>
    <w:rsid w:val="00B73292"/>
    <w:rsid w:val="00B74CFE"/>
    <w:rsid w:val="00B75884"/>
    <w:rsid w:val="00B76666"/>
    <w:rsid w:val="00B76B8F"/>
    <w:rsid w:val="00B773F6"/>
    <w:rsid w:val="00B779E9"/>
    <w:rsid w:val="00B77C47"/>
    <w:rsid w:val="00B80A8C"/>
    <w:rsid w:val="00B81657"/>
    <w:rsid w:val="00B8207E"/>
    <w:rsid w:val="00B86884"/>
    <w:rsid w:val="00B9148C"/>
    <w:rsid w:val="00B91C34"/>
    <w:rsid w:val="00B937E3"/>
    <w:rsid w:val="00B93E7B"/>
    <w:rsid w:val="00B95364"/>
    <w:rsid w:val="00B96D19"/>
    <w:rsid w:val="00BA0CA8"/>
    <w:rsid w:val="00BA1FFF"/>
    <w:rsid w:val="00BA23E7"/>
    <w:rsid w:val="00BA54F9"/>
    <w:rsid w:val="00BA5F47"/>
    <w:rsid w:val="00BB06F5"/>
    <w:rsid w:val="00BB13A9"/>
    <w:rsid w:val="00BB35A7"/>
    <w:rsid w:val="00BB588E"/>
    <w:rsid w:val="00BB6E51"/>
    <w:rsid w:val="00BC1005"/>
    <w:rsid w:val="00BC4A0B"/>
    <w:rsid w:val="00BC5DDE"/>
    <w:rsid w:val="00BC6295"/>
    <w:rsid w:val="00BC665F"/>
    <w:rsid w:val="00BD37BF"/>
    <w:rsid w:val="00BD4318"/>
    <w:rsid w:val="00BE1010"/>
    <w:rsid w:val="00BF0814"/>
    <w:rsid w:val="00BF192E"/>
    <w:rsid w:val="00BF2819"/>
    <w:rsid w:val="00BF33D4"/>
    <w:rsid w:val="00BF3A2E"/>
    <w:rsid w:val="00BF4712"/>
    <w:rsid w:val="00BF6710"/>
    <w:rsid w:val="00BF687C"/>
    <w:rsid w:val="00BF6881"/>
    <w:rsid w:val="00BF7FB0"/>
    <w:rsid w:val="00C012C1"/>
    <w:rsid w:val="00C02279"/>
    <w:rsid w:val="00C029E9"/>
    <w:rsid w:val="00C02EA8"/>
    <w:rsid w:val="00C0372C"/>
    <w:rsid w:val="00C044E5"/>
    <w:rsid w:val="00C05F66"/>
    <w:rsid w:val="00C06EFA"/>
    <w:rsid w:val="00C12807"/>
    <w:rsid w:val="00C1338A"/>
    <w:rsid w:val="00C155E9"/>
    <w:rsid w:val="00C16147"/>
    <w:rsid w:val="00C17FF0"/>
    <w:rsid w:val="00C20EE4"/>
    <w:rsid w:val="00C2156D"/>
    <w:rsid w:val="00C24AA6"/>
    <w:rsid w:val="00C25C8B"/>
    <w:rsid w:val="00C263D4"/>
    <w:rsid w:val="00C30F16"/>
    <w:rsid w:val="00C31E0C"/>
    <w:rsid w:val="00C32E9B"/>
    <w:rsid w:val="00C333B3"/>
    <w:rsid w:val="00C33B0A"/>
    <w:rsid w:val="00C355ED"/>
    <w:rsid w:val="00C36172"/>
    <w:rsid w:val="00C42F6F"/>
    <w:rsid w:val="00C43203"/>
    <w:rsid w:val="00C450DD"/>
    <w:rsid w:val="00C4699D"/>
    <w:rsid w:val="00C46C4C"/>
    <w:rsid w:val="00C50B74"/>
    <w:rsid w:val="00C50DD8"/>
    <w:rsid w:val="00C542A1"/>
    <w:rsid w:val="00C56EEC"/>
    <w:rsid w:val="00C575B8"/>
    <w:rsid w:val="00C63BE0"/>
    <w:rsid w:val="00C656C5"/>
    <w:rsid w:val="00C709E0"/>
    <w:rsid w:val="00C71E46"/>
    <w:rsid w:val="00C72394"/>
    <w:rsid w:val="00C75346"/>
    <w:rsid w:val="00C76D49"/>
    <w:rsid w:val="00C82465"/>
    <w:rsid w:val="00C8539A"/>
    <w:rsid w:val="00C8676E"/>
    <w:rsid w:val="00C867BF"/>
    <w:rsid w:val="00C905E5"/>
    <w:rsid w:val="00C90CA3"/>
    <w:rsid w:val="00C91611"/>
    <w:rsid w:val="00C9212E"/>
    <w:rsid w:val="00C937EA"/>
    <w:rsid w:val="00C94176"/>
    <w:rsid w:val="00C94349"/>
    <w:rsid w:val="00C94A3F"/>
    <w:rsid w:val="00C968D1"/>
    <w:rsid w:val="00CA2CA9"/>
    <w:rsid w:val="00CA4BA2"/>
    <w:rsid w:val="00CA5A64"/>
    <w:rsid w:val="00CA5EDD"/>
    <w:rsid w:val="00CA6A04"/>
    <w:rsid w:val="00CA7EB3"/>
    <w:rsid w:val="00CB1378"/>
    <w:rsid w:val="00CB3683"/>
    <w:rsid w:val="00CB42FB"/>
    <w:rsid w:val="00CB6AEF"/>
    <w:rsid w:val="00CB7C81"/>
    <w:rsid w:val="00CC1C16"/>
    <w:rsid w:val="00CC2AAC"/>
    <w:rsid w:val="00CC3B8E"/>
    <w:rsid w:val="00CC4EC9"/>
    <w:rsid w:val="00CC5658"/>
    <w:rsid w:val="00CC7042"/>
    <w:rsid w:val="00CC7D5A"/>
    <w:rsid w:val="00CD05EF"/>
    <w:rsid w:val="00CD0FEE"/>
    <w:rsid w:val="00CD17CC"/>
    <w:rsid w:val="00CD2712"/>
    <w:rsid w:val="00CD5D83"/>
    <w:rsid w:val="00CD5DF0"/>
    <w:rsid w:val="00CD66CB"/>
    <w:rsid w:val="00CD6730"/>
    <w:rsid w:val="00CD684A"/>
    <w:rsid w:val="00CE0FB9"/>
    <w:rsid w:val="00CE1FA2"/>
    <w:rsid w:val="00CE21AF"/>
    <w:rsid w:val="00CE2B1D"/>
    <w:rsid w:val="00CE3395"/>
    <w:rsid w:val="00CE4C34"/>
    <w:rsid w:val="00CF089A"/>
    <w:rsid w:val="00CF277E"/>
    <w:rsid w:val="00CF358F"/>
    <w:rsid w:val="00D00F4B"/>
    <w:rsid w:val="00D02790"/>
    <w:rsid w:val="00D03A8F"/>
    <w:rsid w:val="00D0575E"/>
    <w:rsid w:val="00D067AE"/>
    <w:rsid w:val="00D0729E"/>
    <w:rsid w:val="00D07C79"/>
    <w:rsid w:val="00D10AE2"/>
    <w:rsid w:val="00D138AA"/>
    <w:rsid w:val="00D146B7"/>
    <w:rsid w:val="00D155E9"/>
    <w:rsid w:val="00D15FA4"/>
    <w:rsid w:val="00D169B7"/>
    <w:rsid w:val="00D20815"/>
    <w:rsid w:val="00D20ADD"/>
    <w:rsid w:val="00D25FC5"/>
    <w:rsid w:val="00D2632F"/>
    <w:rsid w:val="00D27705"/>
    <w:rsid w:val="00D30F75"/>
    <w:rsid w:val="00D3148F"/>
    <w:rsid w:val="00D3232A"/>
    <w:rsid w:val="00D329A9"/>
    <w:rsid w:val="00D33CCE"/>
    <w:rsid w:val="00D34994"/>
    <w:rsid w:val="00D354FF"/>
    <w:rsid w:val="00D360ED"/>
    <w:rsid w:val="00D364F6"/>
    <w:rsid w:val="00D36757"/>
    <w:rsid w:val="00D40518"/>
    <w:rsid w:val="00D42D67"/>
    <w:rsid w:val="00D45AD7"/>
    <w:rsid w:val="00D46202"/>
    <w:rsid w:val="00D47B5B"/>
    <w:rsid w:val="00D563A2"/>
    <w:rsid w:val="00D57F75"/>
    <w:rsid w:val="00D60BBE"/>
    <w:rsid w:val="00D62693"/>
    <w:rsid w:val="00D63D74"/>
    <w:rsid w:val="00D6477A"/>
    <w:rsid w:val="00D64948"/>
    <w:rsid w:val="00D650D4"/>
    <w:rsid w:val="00D65366"/>
    <w:rsid w:val="00D658A3"/>
    <w:rsid w:val="00D7120C"/>
    <w:rsid w:val="00D747AA"/>
    <w:rsid w:val="00D74B7E"/>
    <w:rsid w:val="00D75042"/>
    <w:rsid w:val="00D76536"/>
    <w:rsid w:val="00D80324"/>
    <w:rsid w:val="00D8269B"/>
    <w:rsid w:val="00D83B15"/>
    <w:rsid w:val="00D86180"/>
    <w:rsid w:val="00D86D2C"/>
    <w:rsid w:val="00D92D44"/>
    <w:rsid w:val="00D95EAB"/>
    <w:rsid w:val="00D96226"/>
    <w:rsid w:val="00D96343"/>
    <w:rsid w:val="00DA071E"/>
    <w:rsid w:val="00DA29DE"/>
    <w:rsid w:val="00DA2B13"/>
    <w:rsid w:val="00DA2F2F"/>
    <w:rsid w:val="00DA3FCD"/>
    <w:rsid w:val="00DA4294"/>
    <w:rsid w:val="00DA504D"/>
    <w:rsid w:val="00DA5D00"/>
    <w:rsid w:val="00DA7D6D"/>
    <w:rsid w:val="00DB0EAF"/>
    <w:rsid w:val="00DB2B48"/>
    <w:rsid w:val="00DB3400"/>
    <w:rsid w:val="00DB3A3F"/>
    <w:rsid w:val="00DB3FA4"/>
    <w:rsid w:val="00DB55D7"/>
    <w:rsid w:val="00DB5D0C"/>
    <w:rsid w:val="00DC2A0B"/>
    <w:rsid w:val="00DC2D85"/>
    <w:rsid w:val="00DC40BB"/>
    <w:rsid w:val="00DC4FD5"/>
    <w:rsid w:val="00DD03C2"/>
    <w:rsid w:val="00DD0D9E"/>
    <w:rsid w:val="00DD341A"/>
    <w:rsid w:val="00DD4583"/>
    <w:rsid w:val="00DD4733"/>
    <w:rsid w:val="00DD478F"/>
    <w:rsid w:val="00DD726A"/>
    <w:rsid w:val="00DE027E"/>
    <w:rsid w:val="00DE02FB"/>
    <w:rsid w:val="00DE0564"/>
    <w:rsid w:val="00DE22CE"/>
    <w:rsid w:val="00DE33E2"/>
    <w:rsid w:val="00DE3983"/>
    <w:rsid w:val="00DE403A"/>
    <w:rsid w:val="00DE6C90"/>
    <w:rsid w:val="00DE706F"/>
    <w:rsid w:val="00DE75D9"/>
    <w:rsid w:val="00DF157F"/>
    <w:rsid w:val="00DF1DFD"/>
    <w:rsid w:val="00DF2886"/>
    <w:rsid w:val="00DF552B"/>
    <w:rsid w:val="00DF5B8B"/>
    <w:rsid w:val="00DF6018"/>
    <w:rsid w:val="00DF6A72"/>
    <w:rsid w:val="00E00947"/>
    <w:rsid w:val="00E0386C"/>
    <w:rsid w:val="00E03A18"/>
    <w:rsid w:val="00E10A41"/>
    <w:rsid w:val="00E13372"/>
    <w:rsid w:val="00E1412A"/>
    <w:rsid w:val="00E142FF"/>
    <w:rsid w:val="00E14A1B"/>
    <w:rsid w:val="00E151E7"/>
    <w:rsid w:val="00E15E32"/>
    <w:rsid w:val="00E16DA5"/>
    <w:rsid w:val="00E1760A"/>
    <w:rsid w:val="00E17D3B"/>
    <w:rsid w:val="00E22FDA"/>
    <w:rsid w:val="00E30609"/>
    <w:rsid w:val="00E319C9"/>
    <w:rsid w:val="00E31A7B"/>
    <w:rsid w:val="00E33484"/>
    <w:rsid w:val="00E36010"/>
    <w:rsid w:val="00E41E17"/>
    <w:rsid w:val="00E43910"/>
    <w:rsid w:val="00E44E15"/>
    <w:rsid w:val="00E45894"/>
    <w:rsid w:val="00E45C8B"/>
    <w:rsid w:val="00E47653"/>
    <w:rsid w:val="00E52992"/>
    <w:rsid w:val="00E55D2D"/>
    <w:rsid w:val="00E57542"/>
    <w:rsid w:val="00E61F89"/>
    <w:rsid w:val="00E63E92"/>
    <w:rsid w:val="00E64E7D"/>
    <w:rsid w:val="00E67981"/>
    <w:rsid w:val="00E71CED"/>
    <w:rsid w:val="00E733E2"/>
    <w:rsid w:val="00E76549"/>
    <w:rsid w:val="00E823A5"/>
    <w:rsid w:val="00E82542"/>
    <w:rsid w:val="00E827EC"/>
    <w:rsid w:val="00E82D96"/>
    <w:rsid w:val="00E83642"/>
    <w:rsid w:val="00E83EAB"/>
    <w:rsid w:val="00E84CDA"/>
    <w:rsid w:val="00E85589"/>
    <w:rsid w:val="00E857C4"/>
    <w:rsid w:val="00E86747"/>
    <w:rsid w:val="00E8698E"/>
    <w:rsid w:val="00E86C28"/>
    <w:rsid w:val="00E87BB4"/>
    <w:rsid w:val="00E9093E"/>
    <w:rsid w:val="00E94175"/>
    <w:rsid w:val="00E94569"/>
    <w:rsid w:val="00E945C4"/>
    <w:rsid w:val="00E95459"/>
    <w:rsid w:val="00E978FD"/>
    <w:rsid w:val="00E97BA2"/>
    <w:rsid w:val="00EA364E"/>
    <w:rsid w:val="00EA4179"/>
    <w:rsid w:val="00EA5924"/>
    <w:rsid w:val="00EB01B7"/>
    <w:rsid w:val="00EB3466"/>
    <w:rsid w:val="00EB6BF7"/>
    <w:rsid w:val="00EB71B9"/>
    <w:rsid w:val="00EC03AB"/>
    <w:rsid w:val="00EC11E6"/>
    <w:rsid w:val="00EC21D2"/>
    <w:rsid w:val="00EC3A7C"/>
    <w:rsid w:val="00EC410B"/>
    <w:rsid w:val="00EC4B15"/>
    <w:rsid w:val="00EC6820"/>
    <w:rsid w:val="00ED1F70"/>
    <w:rsid w:val="00ED206A"/>
    <w:rsid w:val="00ED23D9"/>
    <w:rsid w:val="00ED33CD"/>
    <w:rsid w:val="00ED6E49"/>
    <w:rsid w:val="00EE2FCD"/>
    <w:rsid w:val="00EE39DF"/>
    <w:rsid w:val="00EE54C5"/>
    <w:rsid w:val="00EE69CE"/>
    <w:rsid w:val="00EE74A5"/>
    <w:rsid w:val="00EF009C"/>
    <w:rsid w:val="00EF0268"/>
    <w:rsid w:val="00EF0C58"/>
    <w:rsid w:val="00EF3F0B"/>
    <w:rsid w:val="00EF6347"/>
    <w:rsid w:val="00EF63FB"/>
    <w:rsid w:val="00EF70BE"/>
    <w:rsid w:val="00EF7B38"/>
    <w:rsid w:val="00F00A64"/>
    <w:rsid w:val="00F01376"/>
    <w:rsid w:val="00F014F7"/>
    <w:rsid w:val="00F045A8"/>
    <w:rsid w:val="00F05232"/>
    <w:rsid w:val="00F100A1"/>
    <w:rsid w:val="00F1199A"/>
    <w:rsid w:val="00F12213"/>
    <w:rsid w:val="00F13C26"/>
    <w:rsid w:val="00F15B15"/>
    <w:rsid w:val="00F23F3E"/>
    <w:rsid w:val="00F27A50"/>
    <w:rsid w:val="00F32A6C"/>
    <w:rsid w:val="00F342F9"/>
    <w:rsid w:val="00F34A5A"/>
    <w:rsid w:val="00F35C4F"/>
    <w:rsid w:val="00F372B2"/>
    <w:rsid w:val="00F43CAE"/>
    <w:rsid w:val="00F43D2B"/>
    <w:rsid w:val="00F442DA"/>
    <w:rsid w:val="00F4458F"/>
    <w:rsid w:val="00F448EC"/>
    <w:rsid w:val="00F47150"/>
    <w:rsid w:val="00F529BA"/>
    <w:rsid w:val="00F54547"/>
    <w:rsid w:val="00F60E90"/>
    <w:rsid w:val="00F65409"/>
    <w:rsid w:val="00F66290"/>
    <w:rsid w:val="00F668E3"/>
    <w:rsid w:val="00F72931"/>
    <w:rsid w:val="00F72C6B"/>
    <w:rsid w:val="00F7328A"/>
    <w:rsid w:val="00F765C4"/>
    <w:rsid w:val="00F76EE3"/>
    <w:rsid w:val="00F77E69"/>
    <w:rsid w:val="00F816D3"/>
    <w:rsid w:val="00F81F4B"/>
    <w:rsid w:val="00F824D3"/>
    <w:rsid w:val="00F82E18"/>
    <w:rsid w:val="00F86605"/>
    <w:rsid w:val="00F905A2"/>
    <w:rsid w:val="00F915A4"/>
    <w:rsid w:val="00F91E77"/>
    <w:rsid w:val="00F92A15"/>
    <w:rsid w:val="00F9370E"/>
    <w:rsid w:val="00F94BD8"/>
    <w:rsid w:val="00F95A8C"/>
    <w:rsid w:val="00F960C9"/>
    <w:rsid w:val="00F96133"/>
    <w:rsid w:val="00FA0CB9"/>
    <w:rsid w:val="00FA24E1"/>
    <w:rsid w:val="00FA2D86"/>
    <w:rsid w:val="00FB0C37"/>
    <w:rsid w:val="00FB13DA"/>
    <w:rsid w:val="00FB506C"/>
    <w:rsid w:val="00FB600F"/>
    <w:rsid w:val="00FB604D"/>
    <w:rsid w:val="00FB69F5"/>
    <w:rsid w:val="00FB7DC2"/>
    <w:rsid w:val="00FC18FC"/>
    <w:rsid w:val="00FC3B95"/>
    <w:rsid w:val="00FC5615"/>
    <w:rsid w:val="00FC6B12"/>
    <w:rsid w:val="00FC6ED0"/>
    <w:rsid w:val="00FD00D8"/>
    <w:rsid w:val="00FD18C9"/>
    <w:rsid w:val="00FD2097"/>
    <w:rsid w:val="00FD2574"/>
    <w:rsid w:val="00FD2CF5"/>
    <w:rsid w:val="00FD3D75"/>
    <w:rsid w:val="00FE27C1"/>
    <w:rsid w:val="00FE5429"/>
    <w:rsid w:val="00FE59DC"/>
    <w:rsid w:val="00FE7F8B"/>
    <w:rsid w:val="00FF2596"/>
    <w:rsid w:val="00FF37E5"/>
    <w:rsid w:val="00FF49EB"/>
    <w:rsid w:val="00FF4EBC"/>
    <w:rsid w:val="00FF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CBE27"/>
  <w15:chartTrackingRefBased/>
  <w15:docId w15:val="{8DFAD04C-2F83-426B-AD2C-5A25BEDC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DA4"/>
    <w:rPr>
      <w:rFonts w:ascii="Cambria" w:hAnsi="Cambria"/>
      <w:sz w:val="23"/>
    </w:rPr>
  </w:style>
  <w:style w:type="paragraph" w:styleId="Heading1">
    <w:name w:val="heading 1"/>
    <w:basedOn w:val="Normal"/>
    <w:next w:val="Normal"/>
    <w:link w:val="Heading1Char"/>
    <w:uiPriority w:val="9"/>
    <w:qFormat/>
    <w:rsid w:val="0042100E"/>
    <w:pPr>
      <w:keepNext/>
      <w:keepLines/>
      <w:numPr>
        <w:numId w:val="25"/>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DC40BB"/>
    <w:pPr>
      <w:keepNext/>
      <w:keepLines/>
      <w:numPr>
        <w:ilvl w:val="1"/>
        <w:numId w:val="25"/>
      </w:numPr>
      <w:tabs>
        <w:tab w:val="left" w:pos="540"/>
      </w:tabs>
      <w:spacing w:before="160" w:after="80"/>
      <w:ind w:left="45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1B1353"/>
    <w:pPr>
      <w:keepNext/>
      <w:keepLines/>
      <w:numPr>
        <w:ilvl w:val="2"/>
        <w:numId w:val="25"/>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9F4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0E"/>
    <w:rPr>
      <w:rFonts w:ascii="Cambria" w:eastAsiaTheme="majorEastAsia" w:hAnsi="Cambria" w:cstheme="majorBidi"/>
      <w:sz w:val="40"/>
      <w:szCs w:val="40"/>
    </w:rPr>
  </w:style>
  <w:style w:type="character" w:customStyle="1" w:styleId="Heading2Char">
    <w:name w:val="Heading 2 Char"/>
    <w:basedOn w:val="DefaultParagraphFont"/>
    <w:link w:val="Heading2"/>
    <w:uiPriority w:val="9"/>
    <w:rsid w:val="00DC40BB"/>
    <w:rPr>
      <w:rFonts w:ascii="Cambria" w:eastAsiaTheme="majorEastAsia" w:hAnsi="Cambria" w:cstheme="majorBidi"/>
      <w:sz w:val="32"/>
      <w:szCs w:val="32"/>
    </w:rPr>
  </w:style>
  <w:style w:type="character" w:customStyle="1" w:styleId="Heading3Char">
    <w:name w:val="Heading 3 Char"/>
    <w:basedOn w:val="DefaultParagraphFont"/>
    <w:link w:val="Heading3"/>
    <w:uiPriority w:val="9"/>
    <w:rsid w:val="001B1353"/>
    <w:rPr>
      <w:rFonts w:ascii="Cambria" w:eastAsiaTheme="majorEastAsia" w:hAnsi="Cambria" w:cstheme="majorBidi"/>
      <w:sz w:val="28"/>
      <w:szCs w:val="28"/>
    </w:rPr>
  </w:style>
  <w:style w:type="character" w:customStyle="1" w:styleId="Heading4Char">
    <w:name w:val="Heading 4 Char"/>
    <w:basedOn w:val="DefaultParagraphFont"/>
    <w:link w:val="Heading4"/>
    <w:uiPriority w:val="9"/>
    <w:semiHidden/>
    <w:rsid w:val="009F4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3A"/>
    <w:rPr>
      <w:rFonts w:eastAsiaTheme="majorEastAsia" w:cstheme="majorBidi"/>
      <w:color w:val="272727" w:themeColor="text1" w:themeTint="D8"/>
    </w:rPr>
  </w:style>
  <w:style w:type="paragraph" w:styleId="Title">
    <w:name w:val="Title"/>
    <w:basedOn w:val="Normal"/>
    <w:next w:val="Normal"/>
    <w:link w:val="TitleChar"/>
    <w:uiPriority w:val="10"/>
    <w:qFormat/>
    <w:rsid w:val="009F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3A"/>
    <w:pPr>
      <w:spacing w:before="160"/>
      <w:jc w:val="center"/>
    </w:pPr>
    <w:rPr>
      <w:i/>
      <w:iCs/>
      <w:color w:val="404040" w:themeColor="text1" w:themeTint="BF"/>
    </w:rPr>
  </w:style>
  <w:style w:type="character" w:customStyle="1" w:styleId="QuoteChar">
    <w:name w:val="Quote Char"/>
    <w:basedOn w:val="DefaultParagraphFont"/>
    <w:link w:val="Quote"/>
    <w:uiPriority w:val="29"/>
    <w:rsid w:val="009F4B3A"/>
    <w:rPr>
      <w:i/>
      <w:iCs/>
      <w:color w:val="404040" w:themeColor="text1" w:themeTint="BF"/>
    </w:rPr>
  </w:style>
  <w:style w:type="paragraph" w:styleId="ListParagraph">
    <w:name w:val="List Paragraph"/>
    <w:basedOn w:val="Normal"/>
    <w:uiPriority w:val="34"/>
    <w:qFormat/>
    <w:rsid w:val="009F4B3A"/>
    <w:pPr>
      <w:ind w:left="720"/>
      <w:contextualSpacing/>
    </w:pPr>
  </w:style>
  <w:style w:type="character" w:styleId="IntenseEmphasis">
    <w:name w:val="Intense Emphasis"/>
    <w:basedOn w:val="DefaultParagraphFont"/>
    <w:uiPriority w:val="21"/>
    <w:qFormat/>
    <w:rsid w:val="009F4B3A"/>
    <w:rPr>
      <w:i/>
      <w:iCs/>
      <w:color w:val="0F4761" w:themeColor="accent1" w:themeShade="BF"/>
    </w:rPr>
  </w:style>
  <w:style w:type="paragraph" w:styleId="IntenseQuote">
    <w:name w:val="Intense Quote"/>
    <w:basedOn w:val="Normal"/>
    <w:next w:val="Normal"/>
    <w:link w:val="IntenseQuoteChar"/>
    <w:uiPriority w:val="30"/>
    <w:qFormat/>
    <w:rsid w:val="009F4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3A"/>
    <w:rPr>
      <w:i/>
      <w:iCs/>
      <w:color w:val="0F4761" w:themeColor="accent1" w:themeShade="BF"/>
    </w:rPr>
  </w:style>
  <w:style w:type="character" w:styleId="IntenseReference">
    <w:name w:val="Intense Reference"/>
    <w:basedOn w:val="DefaultParagraphFont"/>
    <w:uiPriority w:val="32"/>
    <w:qFormat/>
    <w:rsid w:val="009F4B3A"/>
    <w:rPr>
      <w:b/>
      <w:bCs/>
      <w:smallCaps/>
      <w:color w:val="0F4761" w:themeColor="accent1" w:themeShade="BF"/>
      <w:spacing w:val="5"/>
    </w:rPr>
  </w:style>
  <w:style w:type="character" w:styleId="Hyperlink">
    <w:name w:val="Hyperlink"/>
    <w:basedOn w:val="DefaultParagraphFont"/>
    <w:uiPriority w:val="99"/>
    <w:unhideWhenUsed/>
    <w:rsid w:val="00025D22"/>
    <w:rPr>
      <w:color w:val="467886" w:themeColor="hyperlink"/>
      <w:u w:val="single"/>
    </w:rPr>
  </w:style>
  <w:style w:type="character" w:styleId="UnresolvedMention">
    <w:name w:val="Unresolved Mention"/>
    <w:basedOn w:val="DefaultParagraphFont"/>
    <w:uiPriority w:val="99"/>
    <w:semiHidden/>
    <w:unhideWhenUsed/>
    <w:rsid w:val="00025D22"/>
    <w:rPr>
      <w:color w:val="605E5C"/>
      <w:shd w:val="clear" w:color="auto" w:fill="E1DFDD"/>
    </w:rPr>
  </w:style>
  <w:style w:type="character" w:styleId="FollowedHyperlink">
    <w:name w:val="FollowedHyperlink"/>
    <w:basedOn w:val="DefaultParagraphFont"/>
    <w:uiPriority w:val="99"/>
    <w:semiHidden/>
    <w:unhideWhenUsed/>
    <w:rsid w:val="002A78C5"/>
    <w:rPr>
      <w:color w:val="96607D" w:themeColor="followedHyperlink"/>
      <w:u w:val="single"/>
    </w:rPr>
  </w:style>
  <w:style w:type="paragraph" w:styleId="Bibliography">
    <w:name w:val="Bibliography"/>
    <w:basedOn w:val="Normal"/>
    <w:next w:val="Normal"/>
    <w:uiPriority w:val="37"/>
    <w:unhideWhenUsed/>
    <w:rsid w:val="009D22E1"/>
    <w:pPr>
      <w:spacing w:after="0" w:line="240" w:lineRule="auto"/>
      <w:ind w:left="720" w:hanging="720"/>
    </w:pPr>
  </w:style>
  <w:style w:type="table" w:styleId="TableGrid">
    <w:name w:val="Table Grid"/>
    <w:basedOn w:val="TableNormal"/>
    <w:uiPriority w:val="39"/>
    <w:rsid w:val="00496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928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2850"/>
    <w:rPr>
      <w:sz w:val="20"/>
      <w:szCs w:val="20"/>
    </w:rPr>
  </w:style>
  <w:style w:type="character" w:styleId="FootnoteReference">
    <w:name w:val="footnote reference"/>
    <w:basedOn w:val="DefaultParagraphFont"/>
    <w:uiPriority w:val="99"/>
    <w:semiHidden/>
    <w:unhideWhenUsed/>
    <w:rsid w:val="00792850"/>
    <w:rPr>
      <w:vertAlign w:val="superscript"/>
    </w:rPr>
  </w:style>
  <w:style w:type="paragraph" w:styleId="Caption">
    <w:name w:val="caption"/>
    <w:basedOn w:val="Normal"/>
    <w:next w:val="Normal"/>
    <w:uiPriority w:val="35"/>
    <w:unhideWhenUsed/>
    <w:qFormat/>
    <w:rsid w:val="006300E4"/>
    <w:pPr>
      <w:spacing w:after="240" w:line="240" w:lineRule="auto"/>
      <w:jc w:val="center"/>
    </w:pPr>
    <w:rPr>
      <w:i/>
      <w:iCs/>
      <w:szCs w:val="18"/>
    </w:rPr>
  </w:style>
  <w:style w:type="paragraph" w:styleId="NormalWeb">
    <w:name w:val="Normal (Web)"/>
    <w:basedOn w:val="Normal"/>
    <w:uiPriority w:val="99"/>
    <w:unhideWhenUsed/>
    <w:rsid w:val="00884D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4DA9"/>
    <w:rPr>
      <w:b/>
      <w:bCs/>
    </w:rPr>
  </w:style>
  <w:style w:type="character" w:styleId="HTMLCode">
    <w:name w:val="HTML Code"/>
    <w:basedOn w:val="DefaultParagraphFont"/>
    <w:uiPriority w:val="99"/>
    <w:semiHidden/>
    <w:unhideWhenUsed/>
    <w:rsid w:val="00884DA9"/>
    <w:rPr>
      <w:rFonts w:ascii="Courier New" w:eastAsia="Times New Roman" w:hAnsi="Courier New" w:cs="Courier New"/>
      <w:sz w:val="20"/>
      <w:szCs w:val="20"/>
    </w:rPr>
  </w:style>
  <w:style w:type="character" w:styleId="Emphasis">
    <w:name w:val="Emphasis"/>
    <w:basedOn w:val="DefaultParagraphFont"/>
    <w:uiPriority w:val="20"/>
    <w:qFormat/>
    <w:rsid w:val="00ED1F70"/>
    <w:rPr>
      <w:i/>
      <w:iCs/>
    </w:rPr>
  </w:style>
  <w:style w:type="table" w:styleId="ListTable3">
    <w:name w:val="List Table 3"/>
    <w:basedOn w:val="TableNormal"/>
    <w:uiPriority w:val="48"/>
    <w:rsid w:val="00F9370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9370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2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284"/>
    <w:rPr>
      <w:rFonts w:ascii="Cambria" w:hAnsi="Cambria"/>
    </w:rPr>
  </w:style>
  <w:style w:type="paragraph" w:styleId="Footer">
    <w:name w:val="footer"/>
    <w:basedOn w:val="Normal"/>
    <w:link w:val="FooterChar"/>
    <w:uiPriority w:val="99"/>
    <w:unhideWhenUsed/>
    <w:rsid w:val="002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284"/>
    <w:rPr>
      <w:rFonts w:ascii="Cambria" w:hAnsi="Cambria"/>
    </w:rPr>
  </w:style>
  <w:style w:type="character" w:styleId="CommentReference">
    <w:name w:val="annotation reference"/>
    <w:basedOn w:val="DefaultParagraphFont"/>
    <w:uiPriority w:val="99"/>
    <w:semiHidden/>
    <w:unhideWhenUsed/>
    <w:rsid w:val="00B95364"/>
    <w:rPr>
      <w:sz w:val="16"/>
      <w:szCs w:val="16"/>
    </w:rPr>
  </w:style>
  <w:style w:type="paragraph" w:styleId="CommentText">
    <w:name w:val="annotation text"/>
    <w:basedOn w:val="Normal"/>
    <w:link w:val="CommentTextChar"/>
    <w:uiPriority w:val="99"/>
    <w:unhideWhenUsed/>
    <w:rsid w:val="00B95364"/>
    <w:pPr>
      <w:spacing w:line="240" w:lineRule="auto"/>
    </w:pPr>
    <w:rPr>
      <w:sz w:val="20"/>
      <w:szCs w:val="20"/>
    </w:rPr>
  </w:style>
  <w:style w:type="character" w:customStyle="1" w:styleId="CommentTextChar">
    <w:name w:val="Comment Text Char"/>
    <w:basedOn w:val="DefaultParagraphFont"/>
    <w:link w:val="CommentText"/>
    <w:uiPriority w:val="99"/>
    <w:rsid w:val="00B95364"/>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B95364"/>
    <w:rPr>
      <w:b/>
      <w:bCs/>
    </w:rPr>
  </w:style>
  <w:style w:type="character" w:customStyle="1" w:styleId="CommentSubjectChar">
    <w:name w:val="Comment Subject Char"/>
    <w:basedOn w:val="CommentTextChar"/>
    <w:link w:val="CommentSubject"/>
    <w:uiPriority w:val="99"/>
    <w:semiHidden/>
    <w:rsid w:val="00B95364"/>
    <w:rPr>
      <w:rFonts w:ascii="Cambria" w:hAnsi="Cambria"/>
      <w:b/>
      <w:bCs/>
      <w:sz w:val="20"/>
      <w:szCs w:val="20"/>
    </w:rPr>
  </w:style>
  <w:style w:type="paragraph" w:customStyle="1" w:styleId="AppendixHeading">
    <w:name w:val="Appendix Heading"/>
    <w:basedOn w:val="Heading1"/>
    <w:link w:val="AppendixHeadingChar"/>
    <w:qFormat/>
    <w:rsid w:val="002C5E5B"/>
    <w:pPr>
      <w:numPr>
        <w:numId w:val="4"/>
      </w:numPr>
      <w:tabs>
        <w:tab w:val="left" w:pos="360"/>
      </w:tabs>
      <w:ind w:left="360"/>
    </w:pPr>
  </w:style>
  <w:style w:type="character" w:customStyle="1" w:styleId="AppendixHeadingChar">
    <w:name w:val="Appendix Heading Char"/>
    <w:basedOn w:val="Heading1Char"/>
    <w:link w:val="AppendixHeading"/>
    <w:rsid w:val="002C5E5B"/>
    <w:rPr>
      <w:rFonts w:ascii="Cambria" w:eastAsiaTheme="majorEastAsia" w:hAnsi="Cambria" w:cstheme="majorBidi"/>
      <w:sz w:val="40"/>
      <w:szCs w:val="40"/>
    </w:rPr>
  </w:style>
  <w:style w:type="character" w:styleId="PlaceholderText">
    <w:name w:val="Placeholder Text"/>
    <w:basedOn w:val="DefaultParagraphFont"/>
    <w:uiPriority w:val="99"/>
    <w:semiHidden/>
    <w:rsid w:val="00267BCA"/>
    <w:rPr>
      <w:color w:val="666666"/>
    </w:rPr>
  </w:style>
  <w:style w:type="paragraph" w:styleId="Revision">
    <w:name w:val="Revision"/>
    <w:hidden/>
    <w:uiPriority w:val="99"/>
    <w:semiHidden/>
    <w:rsid w:val="009D7EF9"/>
    <w:pPr>
      <w:spacing w:after="0" w:line="240" w:lineRule="auto"/>
    </w:pPr>
    <w:rPr>
      <w:rFonts w:ascii="Cambria" w:hAnsi="Cambria"/>
    </w:rPr>
  </w:style>
  <w:style w:type="paragraph" w:customStyle="1" w:styleId="AppendixSubheading">
    <w:name w:val="Appendix Subheading"/>
    <w:basedOn w:val="Heading2"/>
    <w:qFormat/>
    <w:rsid w:val="009C1DA9"/>
    <w:pPr>
      <w:numPr>
        <w:numId w:val="5"/>
      </w:numPr>
      <w:ind w:left="360"/>
    </w:pPr>
    <w:rPr>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34">
      <w:bodyDiv w:val="1"/>
      <w:marLeft w:val="0"/>
      <w:marRight w:val="0"/>
      <w:marTop w:val="0"/>
      <w:marBottom w:val="0"/>
      <w:divBdr>
        <w:top w:val="none" w:sz="0" w:space="0" w:color="auto"/>
        <w:left w:val="none" w:sz="0" w:space="0" w:color="auto"/>
        <w:bottom w:val="none" w:sz="0" w:space="0" w:color="auto"/>
        <w:right w:val="none" w:sz="0" w:space="0" w:color="auto"/>
      </w:divBdr>
    </w:div>
    <w:div w:id="23481470">
      <w:bodyDiv w:val="1"/>
      <w:marLeft w:val="0"/>
      <w:marRight w:val="0"/>
      <w:marTop w:val="0"/>
      <w:marBottom w:val="0"/>
      <w:divBdr>
        <w:top w:val="none" w:sz="0" w:space="0" w:color="auto"/>
        <w:left w:val="none" w:sz="0" w:space="0" w:color="auto"/>
        <w:bottom w:val="none" w:sz="0" w:space="0" w:color="auto"/>
        <w:right w:val="none" w:sz="0" w:space="0" w:color="auto"/>
      </w:divBdr>
    </w:div>
    <w:div w:id="45109002">
      <w:bodyDiv w:val="1"/>
      <w:marLeft w:val="0"/>
      <w:marRight w:val="0"/>
      <w:marTop w:val="0"/>
      <w:marBottom w:val="0"/>
      <w:divBdr>
        <w:top w:val="none" w:sz="0" w:space="0" w:color="auto"/>
        <w:left w:val="none" w:sz="0" w:space="0" w:color="auto"/>
        <w:bottom w:val="none" w:sz="0" w:space="0" w:color="auto"/>
        <w:right w:val="none" w:sz="0" w:space="0" w:color="auto"/>
      </w:divBdr>
    </w:div>
    <w:div w:id="79840355">
      <w:bodyDiv w:val="1"/>
      <w:marLeft w:val="0"/>
      <w:marRight w:val="0"/>
      <w:marTop w:val="0"/>
      <w:marBottom w:val="0"/>
      <w:divBdr>
        <w:top w:val="none" w:sz="0" w:space="0" w:color="auto"/>
        <w:left w:val="none" w:sz="0" w:space="0" w:color="auto"/>
        <w:bottom w:val="none" w:sz="0" w:space="0" w:color="auto"/>
        <w:right w:val="none" w:sz="0" w:space="0" w:color="auto"/>
      </w:divBdr>
    </w:div>
    <w:div w:id="91164847">
      <w:bodyDiv w:val="1"/>
      <w:marLeft w:val="0"/>
      <w:marRight w:val="0"/>
      <w:marTop w:val="0"/>
      <w:marBottom w:val="0"/>
      <w:divBdr>
        <w:top w:val="none" w:sz="0" w:space="0" w:color="auto"/>
        <w:left w:val="none" w:sz="0" w:space="0" w:color="auto"/>
        <w:bottom w:val="none" w:sz="0" w:space="0" w:color="auto"/>
        <w:right w:val="none" w:sz="0" w:space="0" w:color="auto"/>
      </w:divBdr>
      <w:divsChild>
        <w:div w:id="614561931">
          <w:marLeft w:val="0"/>
          <w:marRight w:val="0"/>
          <w:marTop w:val="0"/>
          <w:marBottom w:val="0"/>
          <w:divBdr>
            <w:top w:val="none" w:sz="0" w:space="0" w:color="auto"/>
            <w:left w:val="none" w:sz="0" w:space="0" w:color="auto"/>
            <w:bottom w:val="none" w:sz="0" w:space="0" w:color="auto"/>
            <w:right w:val="none" w:sz="0" w:space="0" w:color="auto"/>
          </w:divBdr>
          <w:divsChild>
            <w:div w:id="253824142">
              <w:marLeft w:val="0"/>
              <w:marRight w:val="0"/>
              <w:marTop w:val="0"/>
              <w:marBottom w:val="0"/>
              <w:divBdr>
                <w:top w:val="none" w:sz="0" w:space="0" w:color="auto"/>
                <w:left w:val="none" w:sz="0" w:space="0" w:color="auto"/>
                <w:bottom w:val="none" w:sz="0" w:space="0" w:color="auto"/>
                <w:right w:val="none" w:sz="0" w:space="0" w:color="auto"/>
              </w:divBdr>
              <w:divsChild>
                <w:div w:id="1531797978">
                  <w:marLeft w:val="0"/>
                  <w:marRight w:val="0"/>
                  <w:marTop w:val="0"/>
                  <w:marBottom w:val="0"/>
                  <w:divBdr>
                    <w:top w:val="none" w:sz="0" w:space="0" w:color="auto"/>
                    <w:left w:val="none" w:sz="0" w:space="0" w:color="auto"/>
                    <w:bottom w:val="none" w:sz="0" w:space="0" w:color="auto"/>
                    <w:right w:val="none" w:sz="0" w:space="0" w:color="auto"/>
                  </w:divBdr>
                  <w:divsChild>
                    <w:div w:id="527722315">
                      <w:marLeft w:val="0"/>
                      <w:marRight w:val="0"/>
                      <w:marTop w:val="0"/>
                      <w:marBottom w:val="0"/>
                      <w:divBdr>
                        <w:top w:val="none" w:sz="0" w:space="0" w:color="auto"/>
                        <w:left w:val="none" w:sz="0" w:space="0" w:color="auto"/>
                        <w:bottom w:val="none" w:sz="0" w:space="0" w:color="auto"/>
                        <w:right w:val="none" w:sz="0" w:space="0" w:color="auto"/>
                      </w:divBdr>
                      <w:divsChild>
                        <w:div w:id="313607197">
                          <w:marLeft w:val="0"/>
                          <w:marRight w:val="0"/>
                          <w:marTop w:val="0"/>
                          <w:marBottom w:val="0"/>
                          <w:divBdr>
                            <w:top w:val="none" w:sz="0" w:space="0" w:color="auto"/>
                            <w:left w:val="none" w:sz="0" w:space="0" w:color="auto"/>
                            <w:bottom w:val="none" w:sz="0" w:space="0" w:color="auto"/>
                            <w:right w:val="none" w:sz="0" w:space="0" w:color="auto"/>
                          </w:divBdr>
                          <w:divsChild>
                            <w:div w:id="1181241186">
                              <w:marLeft w:val="0"/>
                              <w:marRight w:val="0"/>
                              <w:marTop w:val="0"/>
                              <w:marBottom w:val="0"/>
                              <w:divBdr>
                                <w:top w:val="none" w:sz="0" w:space="0" w:color="auto"/>
                                <w:left w:val="none" w:sz="0" w:space="0" w:color="auto"/>
                                <w:bottom w:val="none" w:sz="0" w:space="0" w:color="auto"/>
                                <w:right w:val="none" w:sz="0" w:space="0" w:color="auto"/>
                              </w:divBdr>
                              <w:divsChild>
                                <w:div w:id="1027488991">
                                  <w:marLeft w:val="0"/>
                                  <w:marRight w:val="0"/>
                                  <w:marTop w:val="0"/>
                                  <w:marBottom w:val="0"/>
                                  <w:divBdr>
                                    <w:top w:val="none" w:sz="0" w:space="0" w:color="auto"/>
                                    <w:left w:val="none" w:sz="0" w:space="0" w:color="auto"/>
                                    <w:bottom w:val="none" w:sz="0" w:space="0" w:color="auto"/>
                                    <w:right w:val="none" w:sz="0" w:space="0" w:color="auto"/>
                                  </w:divBdr>
                                </w:div>
                                <w:div w:id="19436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36800">
      <w:bodyDiv w:val="1"/>
      <w:marLeft w:val="0"/>
      <w:marRight w:val="0"/>
      <w:marTop w:val="0"/>
      <w:marBottom w:val="0"/>
      <w:divBdr>
        <w:top w:val="none" w:sz="0" w:space="0" w:color="auto"/>
        <w:left w:val="none" w:sz="0" w:space="0" w:color="auto"/>
        <w:bottom w:val="none" w:sz="0" w:space="0" w:color="auto"/>
        <w:right w:val="none" w:sz="0" w:space="0" w:color="auto"/>
      </w:divBdr>
    </w:div>
    <w:div w:id="116724841">
      <w:bodyDiv w:val="1"/>
      <w:marLeft w:val="0"/>
      <w:marRight w:val="0"/>
      <w:marTop w:val="0"/>
      <w:marBottom w:val="0"/>
      <w:divBdr>
        <w:top w:val="none" w:sz="0" w:space="0" w:color="auto"/>
        <w:left w:val="none" w:sz="0" w:space="0" w:color="auto"/>
        <w:bottom w:val="none" w:sz="0" w:space="0" w:color="auto"/>
        <w:right w:val="none" w:sz="0" w:space="0" w:color="auto"/>
      </w:divBdr>
    </w:div>
    <w:div w:id="133719328">
      <w:bodyDiv w:val="1"/>
      <w:marLeft w:val="0"/>
      <w:marRight w:val="0"/>
      <w:marTop w:val="0"/>
      <w:marBottom w:val="0"/>
      <w:divBdr>
        <w:top w:val="none" w:sz="0" w:space="0" w:color="auto"/>
        <w:left w:val="none" w:sz="0" w:space="0" w:color="auto"/>
        <w:bottom w:val="none" w:sz="0" w:space="0" w:color="auto"/>
        <w:right w:val="none" w:sz="0" w:space="0" w:color="auto"/>
      </w:divBdr>
    </w:div>
    <w:div w:id="215708189">
      <w:bodyDiv w:val="1"/>
      <w:marLeft w:val="0"/>
      <w:marRight w:val="0"/>
      <w:marTop w:val="0"/>
      <w:marBottom w:val="0"/>
      <w:divBdr>
        <w:top w:val="none" w:sz="0" w:space="0" w:color="auto"/>
        <w:left w:val="none" w:sz="0" w:space="0" w:color="auto"/>
        <w:bottom w:val="none" w:sz="0" w:space="0" w:color="auto"/>
        <w:right w:val="none" w:sz="0" w:space="0" w:color="auto"/>
      </w:divBdr>
    </w:div>
    <w:div w:id="218325184">
      <w:bodyDiv w:val="1"/>
      <w:marLeft w:val="0"/>
      <w:marRight w:val="0"/>
      <w:marTop w:val="0"/>
      <w:marBottom w:val="0"/>
      <w:divBdr>
        <w:top w:val="none" w:sz="0" w:space="0" w:color="auto"/>
        <w:left w:val="none" w:sz="0" w:space="0" w:color="auto"/>
        <w:bottom w:val="none" w:sz="0" w:space="0" w:color="auto"/>
        <w:right w:val="none" w:sz="0" w:space="0" w:color="auto"/>
      </w:divBdr>
    </w:div>
    <w:div w:id="256447993">
      <w:bodyDiv w:val="1"/>
      <w:marLeft w:val="0"/>
      <w:marRight w:val="0"/>
      <w:marTop w:val="0"/>
      <w:marBottom w:val="0"/>
      <w:divBdr>
        <w:top w:val="none" w:sz="0" w:space="0" w:color="auto"/>
        <w:left w:val="none" w:sz="0" w:space="0" w:color="auto"/>
        <w:bottom w:val="none" w:sz="0" w:space="0" w:color="auto"/>
        <w:right w:val="none" w:sz="0" w:space="0" w:color="auto"/>
      </w:divBdr>
      <w:divsChild>
        <w:div w:id="781798683">
          <w:marLeft w:val="0"/>
          <w:marRight w:val="0"/>
          <w:marTop w:val="0"/>
          <w:marBottom w:val="0"/>
          <w:divBdr>
            <w:top w:val="none" w:sz="0" w:space="0" w:color="auto"/>
            <w:left w:val="none" w:sz="0" w:space="0" w:color="auto"/>
            <w:bottom w:val="none" w:sz="0" w:space="0" w:color="auto"/>
            <w:right w:val="none" w:sz="0" w:space="0" w:color="auto"/>
          </w:divBdr>
          <w:divsChild>
            <w:div w:id="2103378608">
              <w:marLeft w:val="0"/>
              <w:marRight w:val="0"/>
              <w:marTop w:val="0"/>
              <w:marBottom w:val="0"/>
              <w:divBdr>
                <w:top w:val="none" w:sz="0" w:space="0" w:color="auto"/>
                <w:left w:val="none" w:sz="0" w:space="0" w:color="auto"/>
                <w:bottom w:val="none" w:sz="0" w:space="0" w:color="auto"/>
                <w:right w:val="none" w:sz="0" w:space="0" w:color="auto"/>
              </w:divBdr>
              <w:divsChild>
                <w:div w:id="1838157224">
                  <w:marLeft w:val="0"/>
                  <w:marRight w:val="0"/>
                  <w:marTop w:val="0"/>
                  <w:marBottom w:val="0"/>
                  <w:divBdr>
                    <w:top w:val="none" w:sz="0" w:space="0" w:color="auto"/>
                    <w:left w:val="none" w:sz="0" w:space="0" w:color="auto"/>
                    <w:bottom w:val="none" w:sz="0" w:space="0" w:color="auto"/>
                    <w:right w:val="none" w:sz="0" w:space="0" w:color="auto"/>
                  </w:divBdr>
                  <w:divsChild>
                    <w:div w:id="1666859112">
                      <w:marLeft w:val="0"/>
                      <w:marRight w:val="0"/>
                      <w:marTop w:val="0"/>
                      <w:marBottom w:val="0"/>
                      <w:divBdr>
                        <w:top w:val="none" w:sz="0" w:space="0" w:color="auto"/>
                        <w:left w:val="none" w:sz="0" w:space="0" w:color="auto"/>
                        <w:bottom w:val="none" w:sz="0" w:space="0" w:color="auto"/>
                        <w:right w:val="none" w:sz="0" w:space="0" w:color="auto"/>
                      </w:divBdr>
                      <w:divsChild>
                        <w:div w:id="1059861250">
                          <w:marLeft w:val="0"/>
                          <w:marRight w:val="0"/>
                          <w:marTop w:val="0"/>
                          <w:marBottom w:val="0"/>
                          <w:divBdr>
                            <w:top w:val="none" w:sz="0" w:space="0" w:color="auto"/>
                            <w:left w:val="none" w:sz="0" w:space="0" w:color="auto"/>
                            <w:bottom w:val="none" w:sz="0" w:space="0" w:color="auto"/>
                            <w:right w:val="none" w:sz="0" w:space="0" w:color="auto"/>
                          </w:divBdr>
                          <w:divsChild>
                            <w:div w:id="1050151204">
                              <w:marLeft w:val="0"/>
                              <w:marRight w:val="0"/>
                              <w:marTop w:val="0"/>
                              <w:marBottom w:val="0"/>
                              <w:divBdr>
                                <w:top w:val="none" w:sz="0" w:space="0" w:color="auto"/>
                                <w:left w:val="none" w:sz="0" w:space="0" w:color="auto"/>
                                <w:bottom w:val="none" w:sz="0" w:space="0" w:color="auto"/>
                                <w:right w:val="none" w:sz="0" w:space="0" w:color="auto"/>
                              </w:divBdr>
                              <w:divsChild>
                                <w:div w:id="1822578762">
                                  <w:marLeft w:val="0"/>
                                  <w:marRight w:val="0"/>
                                  <w:marTop w:val="0"/>
                                  <w:marBottom w:val="0"/>
                                  <w:divBdr>
                                    <w:top w:val="none" w:sz="0" w:space="0" w:color="auto"/>
                                    <w:left w:val="none" w:sz="0" w:space="0" w:color="auto"/>
                                    <w:bottom w:val="none" w:sz="0" w:space="0" w:color="auto"/>
                                    <w:right w:val="none" w:sz="0" w:space="0" w:color="auto"/>
                                  </w:divBdr>
                                  <w:divsChild>
                                    <w:div w:id="817646770">
                                      <w:marLeft w:val="0"/>
                                      <w:marRight w:val="0"/>
                                      <w:marTop w:val="0"/>
                                      <w:marBottom w:val="0"/>
                                      <w:divBdr>
                                        <w:top w:val="none" w:sz="0" w:space="0" w:color="auto"/>
                                        <w:left w:val="none" w:sz="0" w:space="0" w:color="auto"/>
                                        <w:bottom w:val="none" w:sz="0" w:space="0" w:color="auto"/>
                                        <w:right w:val="none" w:sz="0" w:space="0" w:color="auto"/>
                                      </w:divBdr>
                                      <w:divsChild>
                                        <w:div w:id="2407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81807">
          <w:marLeft w:val="0"/>
          <w:marRight w:val="0"/>
          <w:marTop w:val="0"/>
          <w:marBottom w:val="0"/>
          <w:divBdr>
            <w:top w:val="none" w:sz="0" w:space="0" w:color="auto"/>
            <w:left w:val="none" w:sz="0" w:space="0" w:color="auto"/>
            <w:bottom w:val="none" w:sz="0" w:space="0" w:color="auto"/>
            <w:right w:val="none" w:sz="0" w:space="0" w:color="auto"/>
          </w:divBdr>
          <w:divsChild>
            <w:div w:id="1319073515">
              <w:marLeft w:val="0"/>
              <w:marRight w:val="0"/>
              <w:marTop w:val="0"/>
              <w:marBottom w:val="0"/>
              <w:divBdr>
                <w:top w:val="none" w:sz="0" w:space="0" w:color="auto"/>
                <w:left w:val="none" w:sz="0" w:space="0" w:color="auto"/>
                <w:bottom w:val="none" w:sz="0" w:space="0" w:color="auto"/>
                <w:right w:val="none" w:sz="0" w:space="0" w:color="auto"/>
              </w:divBdr>
              <w:divsChild>
                <w:div w:id="997461075">
                  <w:marLeft w:val="0"/>
                  <w:marRight w:val="0"/>
                  <w:marTop w:val="0"/>
                  <w:marBottom w:val="0"/>
                  <w:divBdr>
                    <w:top w:val="none" w:sz="0" w:space="0" w:color="auto"/>
                    <w:left w:val="none" w:sz="0" w:space="0" w:color="auto"/>
                    <w:bottom w:val="none" w:sz="0" w:space="0" w:color="auto"/>
                    <w:right w:val="none" w:sz="0" w:space="0" w:color="auto"/>
                  </w:divBdr>
                  <w:divsChild>
                    <w:div w:id="1929725508">
                      <w:marLeft w:val="0"/>
                      <w:marRight w:val="0"/>
                      <w:marTop w:val="0"/>
                      <w:marBottom w:val="0"/>
                      <w:divBdr>
                        <w:top w:val="none" w:sz="0" w:space="0" w:color="auto"/>
                        <w:left w:val="none" w:sz="0" w:space="0" w:color="auto"/>
                        <w:bottom w:val="none" w:sz="0" w:space="0" w:color="auto"/>
                        <w:right w:val="none" w:sz="0" w:space="0" w:color="auto"/>
                      </w:divBdr>
                      <w:divsChild>
                        <w:div w:id="268700686">
                          <w:marLeft w:val="0"/>
                          <w:marRight w:val="0"/>
                          <w:marTop w:val="0"/>
                          <w:marBottom w:val="0"/>
                          <w:divBdr>
                            <w:top w:val="none" w:sz="0" w:space="0" w:color="auto"/>
                            <w:left w:val="none" w:sz="0" w:space="0" w:color="auto"/>
                            <w:bottom w:val="none" w:sz="0" w:space="0" w:color="auto"/>
                            <w:right w:val="none" w:sz="0" w:space="0" w:color="auto"/>
                          </w:divBdr>
                          <w:divsChild>
                            <w:div w:id="1671760333">
                              <w:marLeft w:val="0"/>
                              <w:marRight w:val="0"/>
                              <w:marTop w:val="0"/>
                              <w:marBottom w:val="0"/>
                              <w:divBdr>
                                <w:top w:val="none" w:sz="0" w:space="0" w:color="auto"/>
                                <w:left w:val="none" w:sz="0" w:space="0" w:color="auto"/>
                                <w:bottom w:val="none" w:sz="0" w:space="0" w:color="auto"/>
                                <w:right w:val="none" w:sz="0" w:space="0" w:color="auto"/>
                              </w:divBdr>
                              <w:divsChild>
                                <w:div w:id="1912806761">
                                  <w:marLeft w:val="0"/>
                                  <w:marRight w:val="0"/>
                                  <w:marTop w:val="0"/>
                                  <w:marBottom w:val="0"/>
                                  <w:divBdr>
                                    <w:top w:val="none" w:sz="0" w:space="0" w:color="auto"/>
                                    <w:left w:val="none" w:sz="0" w:space="0" w:color="auto"/>
                                    <w:bottom w:val="none" w:sz="0" w:space="0" w:color="auto"/>
                                    <w:right w:val="none" w:sz="0" w:space="0" w:color="auto"/>
                                  </w:divBdr>
                                  <w:divsChild>
                                    <w:div w:id="12266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461364">
      <w:bodyDiv w:val="1"/>
      <w:marLeft w:val="0"/>
      <w:marRight w:val="0"/>
      <w:marTop w:val="0"/>
      <w:marBottom w:val="0"/>
      <w:divBdr>
        <w:top w:val="none" w:sz="0" w:space="0" w:color="auto"/>
        <w:left w:val="none" w:sz="0" w:space="0" w:color="auto"/>
        <w:bottom w:val="none" w:sz="0" w:space="0" w:color="auto"/>
        <w:right w:val="none" w:sz="0" w:space="0" w:color="auto"/>
      </w:divBdr>
      <w:divsChild>
        <w:div w:id="912467842">
          <w:marLeft w:val="0"/>
          <w:marRight w:val="0"/>
          <w:marTop w:val="0"/>
          <w:marBottom w:val="0"/>
          <w:divBdr>
            <w:top w:val="none" w:sz="0" w:space="0" w:color="auto"/>
            <w:left w:val="none" w:sz="0" w:space="0" w:color="auto"/>
            <w:bottom w:val="none" w:sz="0" w:space="0" w:color="auto"/>
            <w:right w:val="none" w:sz="0" w:space="0" w:color="auto"/>
          </w:divBdr>
          <w:divsChild>
            <w:div w:id="993409850">
              <w:marLeft w:val="0"/>
              <w:marRight w:val="0"/>
              <w:marTop w:val="0"/>
              <w:marBottom w:val="0"/>
              <w:divBdr>
                <w:top w:val="none" w:sz="0" w:space="0" w:color="auto"/>
                <w:left w:val="none" w:sz="0" w:space="0" w:color="auto"/>
                <w:bottom w:val="none" w:sz="0" w:space="0" w:color="auto"/>
                <w:right w:val="none" w:sz="0" w:space="0" w:color="auto"/>
              </w:divBdr>
              <w:divsChild>
                <w:div w:id="421536088">
                  <w:marLeft w:val="0"/>
                  <w:marRight w:val="0"/>
                  <w:marTop w:val="0"/>
                  <w:marBottom w:val="0"/>
                  <w:divBdr>
                    <w:top w:val="none" w:sz="0" w:space="0" w:color="auto"/>
                    <w:left w:val="none" w:sz="0" w:space="0" w:color="auto"/>
                    <w:bottom w:val="none" w:sz="0" w:space="0" w:color="auto"/>
                    <w:right w:val="none" w:sz="0" w:space="0" w:color="auto"/>
                  </w:divBdr>
                  <w:divsChild>
                    <w:div w:id="666782496">
                      <w:marLeft w:val="0"/>
                      <w:marRight w:val="0"/>
                      <w:marTop w:val="0"/>
                      <w:marBottom w:val="0"/>
                      <w:divBdr>
                        <w:top w:val="none" w:sz="0" w:space="0" w:color="auto"/>
                        <w:left w:val="none" w:sz="0" w:space="0" w:color="auto"/>
                        <w:bottom w:val="none" w:sz="0" w:space="0" w:color="auto"/>
                        <w:right w:val="none" w:sz="0" w:space="0" w:color="auto"/>
                      </w:divBdr>
                      <w:divsChild>
                        <w:div w:id="1469736995">
                          <w:marLeft w:val="0"/>
                          <w:marRight w:val="0"/>
                          <w:marTop w:val="0"/>
                          <w:marBottom w:val="0"/>
                          <w:divBdr>
                            <w:top w:val="none" w:sz="0" w:space="0" w:color="auto"/>
                            <w:left w:val="none" w:sz="0" w:space="0" w:color="auto"/>
                            <w:bottom w:val="none" w:sz="0" w:space="0" w:color="auto"/>
                            <w:right w:val="none" w:sz="0" w:space="0" w:color="auto"/>
                          </w:divBdr>
                          <w:divsChild>
                            <w:div w:id="872308398">
                              <w:marLeft w:val="0"/>
                              <w:marRight w:val="0"/>
                              <w:marTop w:val="0"/>
                              <w:marBottom w:val="0"/>
                              <w:divBdr>
                                <w:top w:val="none" w:sz="0" w:space="0" w:color="auto"/>
                                <w:left w:val="none" w:sz="0" w:space="0" w:color="auto"/>
                                <w:bottom w:val="none" w:sz="0" w:space="0" w:color="auto"/>
                                <w:right w:val="none" w:sz="0" w:space="0" w:color="auto"/>
                              </w:divBdr>
                              <w:divsChild>
                                <w:div w:id="648941086">
                                  <w:marLeft w:val="0"/>
                                  <w:marRight w:val="0"/>
                                  <w:marTop w:val="0"/>
                                  <w:marBottom w:val="0"/>
                                  <w:divBdr>
                                    <w:top w:val="none" w:sz="0" w:space="0" w:color="auto"/>
                                    <w:left w:val="none" w:sz="0" w:space="0" w:color="auto"/>
                                    <w:bottom w:val="none" w:sz="0" w:space="0" w:color="auto"/>
                                    <w:right w:val="none" w:sz="0" w:space="0" w:color="auto"/>
                                  </w:divBdr>
                                  <w:divsChild>
                                    <w:div w:id="1513761085">
                                      <w:marLeft w:val="0"/>
                                      <w:marRight w:val="0"/>
                                      <w:marTop w:val="0"/>
                                      <w:marBottom w:val="0"/>
                                      <w:divBdr>
                                        <w:top w:val="none" w:sz="0" w:space="0" w:color="auto"/>
                                        <w:left w:val="none" w:sz="0" w:space="0" w:color="auto"/>
                                        <w:bottom w:val="none" w:sz="0" w:space="0" w:color="auto"/>
                                        <w:right w:val="none" w:sz="0" w:space="0" w:color="auto"/>
                                      </w:divBdr>
                                      <w:divsChild>
                                        <w:div w:id="5321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143349">
          <w:marLeft w:val="0"/>
          <w:marRight w:val="0"/>
          <w:marTop w:val="0"/>
          <w:marBottom w:val="0"/>
          <w:divBdr>
            <w:top w:val="none" w:sz="0" w:space="0" w:color="auto"/>
            <w:left w:val="none" w:sz="0" w:space="0" w:color="auto"/>
            <w:bottom w:val="none" w:sz="0" w:space="0" w:color="auto"/>
            <w:right w:val="none" w:sz="0" w:space="0" w:color="auto"/>
          </w:divBdr>
          <w:divsChild>
            <w:div w:id="1030255787">
              <w:marLeft w:val="0"/>
              <w:marRight w:val="0"/>
              <w:marTop w:val="0"/>
              <w:marBottom w:val="0"/>
              <w:divBdr>
                <w:top w:val="none" w:sz="0" w:space="0" w:color="auto"/>
                <w:left w:val="none" w:sz="0" w:space="0" w:color="auto"/>
                <w:bottom w:val="none" w:sz="0" w:space="0" w:color="auto"/>
                <w:right w:val="none" w:sz="0" w:space="0" w:color="auto"/>
              </w:divBdr>
              <w:divsChild>
                <w:div w:id="1592853326">
                  <w:marLeft w:val="0"/>
                  <w:marRight w:val="0"/>
                  <w:marTop w:val="0"/>
                  <w:marBottom w:val="0"/>
                  <w:divBdr>
                    <w:top w:val="none" w:sz="0" w:space="0" w:color="auto"/>
                    <w:left w:val="none" w:sz="0" w:space="0" w:color="auto"/>
                    <w:bottom w:val="none" w:sz="0" w:space="0" w:color="auto"/>
                    <w:right w:val="none" w:sz="0" w:space="0" w:color="auto"/>
                  </w:divBdr>
                  <w:divsChild>
                    <w:div w:id="683362068">
                      <w:marLeft w:val="0"/>
                      <w:marRight w:val="0"/>
                      <w:marTop w:val="0"/>
                      <w:marBottom w:val="0"/>
                      <w:divBdr>
                        <w:top w:val="none" w:sz="0" w:space="0" w:color="auto"/>
                        <w:left w:val="none" w:sz="0" w:space="0" w:color="auto"/>
                        <w:bottom w:val="none" w:sz="0" w:space="0" w:color="auto"/>
                        <w:right w:val="none" w:sz="0" w:space="0" w:color="auto"/>
                      </w:divBdr>
                      <w:divsChild>
                        <w:div w:id="1027560979">
                          <w:marLeft w:val="0"/>
                          <w:marRight w:val="0"/>
                          <w:marTop w:val="0"/>
                          <w:marBottom w:val="0"/>
                          <w:divBdr>
                            <w:top w:val="none" w:sz="0" w:space="0" w:color="auto"/>
                            <w:left w:val="none" w:sz="0" w:space="0" w:color="auto"/>
                            <w:bottom w:val="none" w:sz="0" w:space="0" w:color="auto"/>
                            <w:right w:val="none" w:sz="0" w:space="0" w:color="auto"/>
                          </w:divBdr>
                          <w:divsChild>
                            <w:div w:id="1795828353">
                              <w:marLeft w:val="0"/>
                              <w:marRight w:val="0"/>
                              <w:marTop w:val="0"/>
                              <w:marBottom w:val="0"/>
                              <w:divBdr>
                                <w:top w:val="none" w:sz="0" w:space="0" w:color="auto"/>
                                <w:left w:val="none" w:sz="0" w:space="0" w:color="auto"/>
                                <w:bottom w:val="none" w:sz="0" w:space="0" w:color="auto"/>
                                <w:right w:val="none" w:sz="0" w:space="0" w:color="auto"/>
                              </w:divBdr>
                              <w:divsChild>
                                <w:div w:id="1236474387">
                                  <w:marLeft w:val="0"/>
                                  <w:marRight w:val="0"/>
                                  <w:marTop w:val="0"/>
                                  <w:marBottom w:val="0"/>
                                  <w:divBdr>
                                    <w:top w:val="none" w:sz="0" w:space="0" w:color="auto"/>
                                    <w:left w:val="none" w:sz="0" w:space="0" w:color="auto"/>
                                    <w:bottom w:val="none" w:sz="0" w:space="0" w:color="auto"/>
                                    <w:right w:val="none" w:sz="0" w:space="0" w:color="auto"/>
                                  </w:divBdr>
                                  <w:divsChild>
                                    <w:div w:id="20553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165634">
      <w:bodyDiv w:val="1"/>
      <w:marLeft w:val="0"/>
      <w:marRight w:val="0"/>
      <w:marTop w:val="0"/>
      <w:marBottom w:val="0"/>
      <w:divBdr>
        <w:top w:val="none" w:sz="0" w:space="0" w:color="auto"/>
        <w:left w:val="none" w:sz="0" w:space="0" w:color="auto"/>
        <w:bottom w:val="none" w:sz="0" w:space="0" w:color="auto"/>
        <w:right w:val="none" w:sz="0" w:space="0" w:color="auto"/>
      </w:divBdr>
    </w:div>
    <w:div w:id="288435432">
      <w:bodyDiv w:val="1"/>
      <w:marLeft w:val="0"/>
      <w:marRight w:val="0"/>
      <w:marTop w:val="0"/>
      <w:marBottom w:val="0"/>
      <w:divBdr>
        <w:top w:val="none" w:sz="0" w:space="0" w:color="auto"/>
        <w:left w:val="none" w:sz="0" w:space="0" w:color="auto"/>
        <w:bottom w:val="none" w:sz="0" w:space="0" w:color="auto"/>
        <w:right w:val="none" w:sz="0" w:space="0" w:color="auto"/>
      </w:divBdr>
    </w:div>
    <w:div w:id="289409020">
      <w:bodyDiv w:val="1"/>
      <w:marLeft w:val="0"/>
      <w:marRight w:val="0"/>
      <w:marTop w:val="0"/>
      <w:marBottom w:val="0"/>
      <w:divBdr>
        <w:top w:val="none" w:sz="0" w:space="0" w:color="auto"/>
        <w:left w:val="none" w:sz="0" w:space="0" w:color="auto"/>
        <w:bottom w:val="none" w:sz="0" w:space="0" w:color="auto"/>
        <w:right w:val="none" w:sz="0" w:space="0" w:color="auto"/>
      </w:divBdr>
    </w:div>
    <w:div w:id="292440497">
      <w:bodyDiv w:val="1"/>
      <w:marLeft w:val="0"/>
      <w:marRight w:val="0"/>
      <w:marTop w:val="0"/>
      <w:marBottom w:val="0"/>
      <w:divBdr>
        <w:top w:val="none" w:sz="0" w:space="0" w:color="auto"/>
        <w:left w:val="none" w:sz="0" w:space="0" w:color="auto"/>
        <w:bottom w:val="none" w:sz="0" w:space="0" w:color="auto"/>
        <w:right w:val="none" w:sz="0" w:space="0" w:color="auto"/>
      </w:divBdr>
      <w:divsChild>
        <w:div w:id="480578324">
          <w:marLeft w:val="0"/>
          <w:marRight w:val="0"/>
          <w:marTop w:val="0"/>
          <w:marBottom w:val="0"/>
          <w:divBdr>
            <w:top w:val="none" w:sz="0" w:space="0" w:color="auto"/>
            <w:left w:val="none" w:sz="0" w:space="0" w:color="auto"/>
            <w:bottom w:val="none" w:sz="0" w:space="0" w:color="auto"/>
            <w:right w:val="none" w:sz="0" w:space="0" w:color="auto"/>
          </w:divBdr>
        </w:div>
      </w:divsChild>
    </w:div>
    <w:div w:id="329988044">
      <w:bodyDiv w:val="1"/>
      <w:marLeft w:val="0"/>
      <w:marRight w:val="0"/>
      <w:marTop w:val="0"/>
      <w:marBottom w:val="0"/>
      <w:divBdr>
        <w:top w:val="none" w:sz="0" w:space="0" w:color="auto"/>
        <w:left w:val="none" w:sz="0" w:space="0" w:color="auto"/>
        <w:bottom w:val="none" w:sz="0" w:space="0" w:color="auto"/>
        <w:right w:val="none" w:sz="0" w:space="0" w:color="auto"/>
      </w:divBdr>
    </w:div>
    <w:div w:id="361787740">
      <w:bodyDiv w:val="1"/>
      <w:marLeft w:val="0"/>
      <w:marRight w:val="0"/>
      <w:marTop w:val="0"/>
      <w:marBottom w:val="0"/>
      <w:divBdr>
        <w:top w:val="none" w:sz="0" w:space="0" w:color="auto"/>
        <w:left w:val="none" w:sz="0" w:space="0" w:color="auto"/>
        <w:bottom w:val="none" w:sz="0" w:space="0" w:color="auto"/>
        <w:right w:val="none" w:sz="0" w:space="0" w:color="auto"/>
      </w:divBdr>
      <w:divsChild>
        <w:div w:id="951714496">
          <w:marLeft w:val="0"/>
          <w:marRight w:val="0"/>
          <w:marTop w:val="0"/>
          <w:marBottom w:val="0"/>
          <w:divBdr>
            <w:top w:val="none" w:sz="0" w:space="0" w:color="auto"/>
            <w:left w:val="none" w:sz="0" w:space="0" w:color="auto"/>
            <w:bottom w:val="none" w:sz="0" w:space="0" w:color="auto"/>
            <w:right w:val="none" w:sz="0" w:space="0" w:color="auto"/>
          </w:divBdr>
          <w:divsChild>
            <w:div w:id="9569700">
              <w:marLeft w:val="0"/>
              <w:marRight w:val="0"/>
              <w:marTop w:val="0"/>
              <w:marBottom w:val="0"/>
              <w:divBdr>
                <w:top w:val="none" w:sz="0" w:space="0" w:color="auto"/>
                <w:left w:val="none" w:sz="0" w:space="0" w:color="auto"/>
                <w:bottom w:val="none" w:sz="0" w:space="0" w:color="auto"/>
                <w:right w:val="none" w:sz="0" w:space="0" w:color="auto"/>
              </w:divBdr>
            </w:div>
            <w:div w:id="28916729">
              <w:marLeft w:val="0"/>
              <w:marRight w:val="0"/>
              <w:marTop w:val="0"/>
              <w:marBottom w:val="0"/>
              <w:divBdr>
                <w:top w:val="none" w:sz="0" w:space="0" w:color="auto"/>
                <w:left w:val="none" w:sz="0" w:space="0" w:color="auto"/>
                <w:bottom w:val="none" w:sz="0" w:space="0" w:color="auto"/>
                <w:right w:val="none" w:sz="0" w:space="0" w:color="auto"/>
              </w:divBdr>
            </w:div>
            <w:div w:id="29305531">
              <w:marLeft w:val="0"/>
              <w:marRight w:val="0"/>
              <w:marTop w:val="0"/>
              <w:marBottom w:val="0"/>
              <w:divBdr>
                <w:top w:val="none" w:sz="0" w:space="0" w:color="auto"/>
                <w:left w:val="none" w:sz="0" w:space="0" w:color="auto"/>
                <w:bottom w:val="none" w:sz="0" w:space="0" w:color="auto"/>
                <w:right w:val="none" w:sz="0" w:space="0" w:color="auto"/>
              </w:divBdr>
            </w:div>
            <w:div w:id="29383434">
              <w:marLeft w:val="0"/>
              <w:marRight w:val="0"/>
              <w:marTop w:val="0"/>
              <w:marBottom w:val="0"/>
              <w:divBdr>
                <w:top w:val="none" w:sz="0" w:space="0" w:color="auto"/>
                <w:left w:val="none" w:sz="0" w:space="0" w:color="auto"/>
                <w:bottom w:val="none" w:sz="0" w:space="0" w:color="auto"/>
                <w:right w:val="none" w:sz="0" w:space="0" w:color="auto"/>
              </w:divBdr>
            </w:div>
            <w:div w:id="37357588">
              <w:marLeft w:val="0"/>
              <w:marRight w:val="0"/>
              <w:marTop w:val="0"/>
              <w:marBottom w:val="0"/>
              <w:divBdr>
                <w:top w:val="none" w:sz="0" w:space="0" w:color="auto"/>
                <w:left w:val="none" w:sz="0" w:space="0" w:color="auto"/>
                <w:bottom w:val="none" w:sz="0" w:space="0" w:color="auto"/>
                <w:right w:val="none" w:sz="0" w:space="0" w:color="auto"/>
              </w:divBdr>
            </w:div>
            <w:div w:id="44183602">
              <w:marLeft w:val="0"/>
              <w:marRight w:val="0"/>
              <w:marTop w:val="0"/>
              <w:marBottom w:val="0"/>
              <w:divBdr>
                <w:top w:val="none" w:sz="0" w:space="0" w:color="auto"/>
                <w:left w:val="none" w:sz="0" w:space="0" w:color="auto"/>
                <w:bottom w:val="none" w:sz="0" w:space="0" w:color="auto"/>
                <w:right w:val="none" w:sz="0" w:space="0" w:color="auto"/>
              </w:divBdr>
            </w:div>
            <w:div w:id="45838428">
              <w:marLeft w:val="0"/>
              <w:marRight w:val="0"/>
              <w:marTop w:val="0"/>
              <w:marBottom w:val="0"/>
              <w:divBdr>
                <w:top w:val="none" w:sz="0" w:space="0" w:color="auto"/>
                <w:left w:val="none" w:sz="0" w:space="0" w:color="auto"/>
                <w:bottom w:val="none" w:sz="0" w:space="0" w:color="auto"/>
                <w:right w:val="none" w:sz="0" w:space="0" w:color="auto"/>
              </w:divBdr>
            </w:div>
            <w:div w:id="121193146">
              <w:marLeft w:val="0"/>
              <w:marRight w:val="0"/>
              <w:marTop w:val="0"/>
              <w:marBottom w:val="0"/>
              <w:divBdr>
                <w:top w:val="none" w:sz="0" w:space="0" w:color="auto"/>
                <w:left w:val="none" w:sz="0" w:space="0" w:color="auto"/>
                <w:bottom w:val="none" w:sz="0" w:space="0" w:color="auto"/>
                <w:right w:val="none" w:sz="0" w:space="0" w:color="auto"/>
              </w:divBdr>
            </w:div>
            <w:div w:id="133109726">
              <w:marLeft w:val="0"/>
              <w:marRight w:val="0"/>
              <w:marTop w:val="0"/>
              <w:marBottom w:val="0"/>
              <w:divBdr>
                <w:top w:val="none" w:sz="0" w:space="0" w:color="auto"/>
                <w:left w:val="none" w:sz="0" w:space="0" w:color="auto"/>
                <w:bottom w:val="none" w:sz="0" w:space="0" w:color="auto"/>
                <w:right w:val="none" w:sz="0" w:space="0" w:color="auto"/>
              </w:divBdr>
            </w:div>
            <w:div w:id="136799814">
              <w:marLeft w:val="0"/>
              <w:marRight w:val="0"/>
              <w:marTop w:val="0"/>
              <w:marBottom w:val="0"/>
              <w:divBdr>
                <w:top w:val="none" w:sz="0" w:space="0" w:color="auto"/>
                <w:left w:val="none" w:sz="0" w:space="0" w:color="auto"/>
                <w:bottom w:val="none" w:sz="0" w:space="0" w:color="auto"/>
                <w:right w:val="none" w:sz="0" w:space="0" w:color="auto"/>
              </w:divBdr>
            </w:div>
            <w:div w:id="153962013">
              <w:marLeft w:val="0"/>
              <w:marRight w:val="0"/>
              <w:marTop w:val="0"/>
              <w:marBottom w:val="0"/>
              <w:divBdr>
                <w:top w:val="none" w:sz="0" w:space="0" w:color="auto"/>
                <w:left w:val="none" w:sz="0" w:space="0" w:color="auto"/>
                <w:bottom w:val="none" w:sz="0" w:space="0" w:color="auto"/>
                <w:right w:val="none" w:sz="0" w:space="0" w:color="auto"/>
              </w:divBdr>
            </w:div>
            <w:div w:id="174416715">
              <w:marLeft w:val="0"/>
              <w:marRight w:val="0"/>
              <w:marTop w:val="0"/>
              <w:marBottom w:val="0"/>
              <w:divBdr>
                <w:top w:val="none" w:sz="0" w:space="0" w:color="auto"/>
                <w:left w:val="none" w:sz="0" w:space="0" w:color="auto"/>
                <w:bottom w:val="none" w:sz="0" w:space="0" w:color="auto"/>
                <w:right w:val="none" w:sz="0" w:space="0" w:color="auto"/>
              </w:divBdr>
            </w:div>
            <w:div w:id="174809195">
              <w:marLeft w:val="0"/>
              <w:marRight w:val="0"/>
              <w:marTop w:val="0"/>
              <w:marBottom w:val="0"/>
              <w:divBdr>
                <w:top w:val="none" w:sz="0" w:space="0" w:color="auto"/>
                <w:left w:val="none" w:sz="0" w:space="0" w:color="auto"/>
                <w:bottom w:val="none" w:sz="0" w:space="0" w:color="auto"/>
                <w:right w:val="none" w:sz="0" w:space="0" w:color="auto"/>
              </w:divBdr>
            </w:div>
            <w:div w:id="216861749">
              <w:marLeft w:val="0"/>
              <w:marRight w:val="0"/>
              <w:marTop w:val="0"/>
              <w:marBottom w:val="0"/>
              <w:divBdr>
                <w:top w:val="none" w:sz="0" w:space="0" w:color="auto"/>
                <w:left w:val="none" w:sz="0" w:space="0" w:color="auto"/>
                <w:bottom w:val="none" w:sz="0" w:space="0" w:color="auto"/>
                <w:right w:val="none" w:sz="0" w:space="0" w:color="auto"/>
              </w:divBdr>
            </w:div>
            <w:div w:id="218171929">
              <w:marLeft w:val="0"/>
              <w:marRight w:val="0"/>
              <w:marTop w:val="0"/>
              <w:marBottom w:val="0"/>
              <w:divBdr>
                <w:top w:val="none" w:sz="0" w:space="0" w:color="auto"/>
                <w:left w:val="none" w:sz="0" w:space="0" w:color="auto"/>
                <w:bottom w:val="none" w:sz="0" w:space="0" w:color="auto"/>
                <w:right w:val="none" w:sz="0" w:space="0" w:color="auto"/>
              </w:divBdr>
            </w:div>
            <w:div w:id="240484070">
              <w:marLeft w:val="0"/>
              <w:marRight w:val="0"/>
              <w:marTop w:val="0"/>
              <w:marBottom w:val="0"/>
              <w:divBdr>
                <w:top w:val="none" w:sz="0" w:space="0" w:color="auto"/>
                <w:left w:val="none" w:sz="0" w:space="0" w:color="auto"/>
                <w:bottom w:val="none" w:sz="0" w:space="0" w:color="auto"/>
                <w:right w:val="none" w:sz="0" w:space="0" w:color="auto"/>
              </w:divBdr>
            </w:div>
            <w:div w:id="260257819">
              <w:marLeft w:val="0"/>
              <w:marRight w:val="0"/>
              <w:marTop w:val="0"/>
              <w:marBottom w:val="0"/>
              <w:divBdr>
                <w:top w:val="none" w:sz="0" w:space="0" w:color="auto"/>
                <w:left w:val="none" w:sz="0" w:space="0" w:color="auto"/>
                <w:bottom w:val="none" w:sz="0" w:space="0" w:color="auto"/>
                <w:right w:val="none" w:sz="0" w:space="0" w:color="auto"/>
              </w:divBdr>
            </w:div>
            <w:div w:id="339115467">
              <w:marLeft w:val="0"/>
              <w:marRight w:val="0"/>
              <w:marTop w:val="0"/>
              <w:marBottom w:val="0"/>
              <w:divBdr>
                <w:top w:val="none" w:sz="0" w:space="0" w:color="auto"/>
                <w:left w:val="none" w:sz="0" w:space="0" w:color="auto"/>
                <w:bottom w:val="none" w:sz="0" w:space="0" w:color="auto"/>
                <w:right w:val="none" w:sz="0" w:space="0" w:color="auto"/>
              </w:divBdr>
            </w:div>
            <w:div w:id="348533226">
              <w:marLeft w:val="0"/>
              <w:marRight w:val="0"/>
              <w:marTop w:val="0"/>
              <w:marBottom w:val="0"/>
              <w:divBdr>
                <w:top w:val="none" w:sz="0" w:space="0" w:color="auto"/>
                <w:left w:val="none" w:sz="0" w:space="0" w:color="auto"/>
                <w:bottom w:val="none" w:sz="0" w:space="0" w:color="auto"/>
                <w:right w:val="none" w:sz="0" w:space="0" w:color="auto"/>
              </w:divBdr>
            </w:div>
            <w:div w:id="351541798">
              <w:marLeft w:val="0"/>
              <w:marRight w:val="0"/>
              <w:marTop w:val="0"/>
              <w:marBottom w:val="0"/>
              <w:divBdr>
                <w:top w:val="none" w:sz="0" w:space="0" w:color="auto"/>
                <w:left w:val="none" w:sz="0" w:space="0" w:color="auto"/>
                <w:bottom w:val="none" w:sz="0" w:space="0" w:color="auto"/>
                <w:right w:val="none" w:sz="0" w:space="0" w:color="auto"/>
              </w:divBdr>
            </w:div>
            <w:div w:id="363362543">
              <w:marLeft w:val="0"/>
              <w:marRight w:val="0"/>
              <w:marTop w:val="0"/>
              <w:marBottom w:val="0"/>
              <w:divBdr>
                <w:top w:val="none" w:sz="0" w:space="0" w:color="auto"/>
                <w:left w:val="none" w:sz="0" w:space="0" w:color="auto"/>
                <w:bottom w:val="none" w:sz="0" w:space="0" w:color="auto"/>
                <w:right w:val="none" w:sz="0" w:space="0" w:color="auto"/>
              </w:divBdr>
            </w:div>
            <w:div w:id="414402793">
              <w:marLeft w:val="0"/>
              <w:marRight w:val="0"/>
              <w:marTop w:val="0"/>
              <w:marBottom w:val="0"/>
              <w:divBdr>
                <w:top w:val="none" w:sz="0" w:space="0" w:color="auto"/>
                <w:left w:val="none" w:sz="0" w:space="0" w:color="auto"/>
                <w:bottom w:val="none" w:sz="0" w:space="0" w:color="auto"/>
                <w:right w:val="none" w:sz="0" w:space="0" w:color="auto"/>
              </w:divBdr>
            </w:div>
            <w:div w:id="437608143">
              <w:marLeft w:val="0"/>
              <w:marRight w:val="0"/>
              <w:marTop w:val="0"/>
              <w:marBottom w:val="0"/>
              <w:divBdr>
                <w:top w:val="none" w:sz="0" w:space="0" w:color="auto"/>
                <w:left w:val="none" w:sz="0" w:space="0" w:color="auto"/>
                <w:bottom w:val="none" w:sz="0" w:space="0" w:color="auto"/>
                <w:right w:val="none" w:sz="0" w:space="0" w:color="auto"/>
              </w:divBdr>
            </w:div>
            <w:div w:id="458887940">
              <w:marLeft w:val="0"/>
              <w:marRight w:val="0"/>
              <w:marTop w:val="0"/>
              <w:marBottom w:val="0"/>
              <w:divBdr>
                <w:top w:val="none" w:sz="0" w:space="0" w:color="auto"/>
                <w:left w:val="none" w:sz="0" w:space="0" w:color="auto"/>
                <w:bottom w:val="none" w:sz="0" w:space="0" w:color="auto"/>
                <w:right w:val="none" w:sz="0" w:space="0" w:color="auto"/>
              </w:divBdr>
            </w:div>
            <w:div w:id="468745979">
              <w:marLeft w:val="0"/>
              <w:marRight w:val="0"/>
              <w:marTop w:val="0"/>
              <w:marBottom w:val="0"/>
              <w:divBdr>
                <w:top w:val="none" w:sz="0" w:space="0" w:color="auto"/>
                <w:left w:val="none" w:sz="0" w:space="0" w:color="auto"/>
                <w:bottom w:val="none" w:sz="0" w:space="0" w:color="auto"/>
                <w:right w:val="none" w:sz="0" w:space="0" w:color="auto"/>
              </w:divBdr>
            </w:div>
            <w:div w:id="478885408">
              <w:marLeft w:val="0"/>
              <w:marRight w:val="0"/>
              <w:marTop w:val="0"/>
              <w:marBottom w:val="0"/>
              <w:divBdr>
                <w:top w:val="none" w:sz="0" w:space="0" w:color="auto"/>
                <w:left w:val="none" w:sz="0" w:space="0" w:color="auto"/>
                <w:bottom w:val="none" w:sz="0" w:space="0" w:color="auto"/>
                <w:right w:val="none" w:sz="0" w:space="0" w:color="auto"/>
              </w:divBdr>
            </w:div>
            <w:div w:id="535394335">
              <w:marLeft w:val="0"/>
              <w:marRight w:val="0"/>
              <w:marTop w:val="0"/>
              <w:marBottom w:val="0"/>
              <w:divBdr>
                <w:top w:val="none" w:sz="0" w:space="0" w:color="auto"/>
                <w:left w:val="none" w:sz="0" w:space="0" w:color="auto"/>
                <w:bottom w:val="none" w:sz="0" w:space="0" w:color="auto"/>
                <w:right w:val="none" w:sz="0" w:space="0" w:color="auto"/>
              </w:divBdr>
            </w:div>
            <w:div w:id="570115809">
              <w:marLeft w:val="0"/>
              <w:marRight w:val="0"/>
              <w:marTop w:val="0"/>
              <w:marBottom w:val="0"/>
              <w:divBdr>
                <w:top w:val="none" w:sz="0" w:space="0" w:color="auto"/>
                <w:left w:val="none" w:sz="0" w:space="0" w:color="auto"/>
                <w:bottom w:val="none" w:sz="0" w:space="0" w:color="auto"/>
                <w:right w:val="none" w:sz="0" w:space="0" w:color="auto"/>
              </w:divBdr>
            </w:div>
            <w:div w:id="571503293">
              <w:marLeft w:val="0"/>
              <w:marRight w:val="0"/>
              <w:marTop w:val="0"/>
              <w:marBottom w:val="0"/>
              <w:divBdr>
                <w:top w:val="none" w:sz="0" w:space="0" w:color="auto"/>
                <w:left w:val="none" w:sz="0" w:space="0" w:color="auto"/>
                <w:bottom w:val="none" w:sz="0" w:space="0" w:color="auto"/>
                <w:right w:val="none" w:sz="0" w:space="0" w:color="auto"/>
              </w:divBdr>
            </w:div>
            <w:div w:id="581260670">
              <w:marLeft w:val="0"/>
              <w:marRight w:val="0"/>
              <w:marTop w:val="0"/>
              <w:marBottom w:val="0"/>
              <w:divBdr>
                <w:top w:val="none" w:sz="0" w:space="0" w:color="auto"/>
                <w:left w:val="none" w:sz="0" w:space="0" w:color="auto"/>
                <w:bottom w:val="none" w:sz="0" w:space="0" w:color="auto"/>
                <w:right w:val="none" w:sz="0" w:space="0" w:color="auto"/>
              </w:divBdr>
            </w:div>
            <w:div w:id="592662937">
              <w:marLeft w:val="0"/>
              <w:marRight w:val="0"/>
              <w:marTop w:val="0"/>
              <w:marBottom w:val="0"/>
              <w:divBdr>
                <w:top w:val="none" w:sz="0" w:space="0" w:color="auto"/>
                <w:left w:val="none" w:sz="0" w:space="0" w:color="auto"/>
                <w:bottom w:val="none" w:sz="0" w:space="0" w:color="auto"/>
                <w:right w:val="none" w:sz="0" w:space="0" w:color="auto"/>
              </w:divBdr>
            </w:div>
            <w:div w:id="606892004">
              <w:marLeft w:val="0"/>
              <w:marRight w:val="0"/>
              <w:marTop w:val="0"/>
              <w:marBottom w:val="0"/>
              <w:divBdr>
                <w:top w:val="none" w:sz="0" w:space="0" w:color="auto"/>
                <w:left w:val="none" w:sz="0" w:space="0" w:color="auto"/>
                <w:bottom w:val="none" w:sz="0" w:space="0" w:color="auto"/>
                <w:right w:val="none" w:sz="0" w:space="0" w:color="auto"/>
              </w:divBdr>
            </w:div>
            <w:div w:id="611740942">
              <w:marLeft w:val="0"/>
              <w:marRight w:val="0"/>
              <w:marTop w:val="0"/>
              <w:marBottom w:val="0"/>
              <w:divBdr>
                <w:top w:val="none" w:sz="0" w:space="0" w:color="auto"/>
                <w:left w:val="none" w:sz="0" w:space="0" w:color="auto"/>
                <w:bottom w:val="none" w:sz="0" w:space="0" w:color="auto"/>
                <w:right w:val="none" w:sz="0" w:space="0" w:color="auto"/>
              </w:divBdr>
            </w:div>
            <w:div w:id="618536300">
              <w:marLeft w:val="0"/>
              <w:marRight w:val="0"/>
              <w:marTop w:val="0"/>
              <w:marBottom w:val="0"/>
              <w:divBdr>
                <w:top w:val="none" w:sz="0" w:space="0" w:color="auto"/>
                <w:left w:val="none" w:sz="0" w:space="0" w:color="auto"/>
                <w:bottom w:val="none" w:sz="0" w:space="0" w:color="auto"/>
                <w:right w:val="none" w:sz="0" w:space="0" w:color="auto"/>
              </w:divBdr>
            </w:div>
            <w:div w:id="635263221">
              <w:marLeft w:val="0"/>
              <w:marRight w:val="0"/>
              <w:marTop w:val="0"/>
              <w:marBottom w:val="0"/>
              <w:divBdr>
                <w:top w:val="none" w:sz="0" w:space="0" w:color="auto"/>
                <w:left w:val="none" w:sz="0" w:space="0" w:color="auto"/>
                <w:bottom w:val="none" w:sz="0" w:space="0" w:color="auto"/>
                <w:right w:val="none" w:sz="0" w:space="0" w:color="auto"/>
              </w:divBdr>
            </w:div>
            <w:div w:id="650058995">
              <w:marLeft w:val="0"/>
              <w:marRight w:val="0"/>
              <w:marTop w:val="0"/>
              <w:marBottom w:val="0"/>
              <w:divBdr>
                <w:top w:val="none" w:sz="0" w:space="0" w:color="auto"/>
                <w:left w:val="none" w:sz="0" w:space="0" w:color="auto"/>
                <w:bottom w:val="none" w:sz="0" w:space="0" w:color="auto"/>
                <w:right w:val="none" w:sz="0" w:space="0" w:color="auto"/>
              </w:divBdr>
            </w:div>
            <w:div w:id="674067241">
              <w:marLeft w:val="0"/>
              <w:marRight w:val="0"/>
              <w:marTop w:val="0"/>
              <w:marBottom w:val="0"/>
              <w:divBdr>
                <w:top w:val="none" w:sz="0" w:space="0" w:color="auto"/>
                <w:left w:val="none" w:sz="0" w:space="0" w:color="auto"/>
                <w:bottom w:val="none" w:sz="0" w:space="0" w:color="auto"/>
                <w:right w:val="none" w:sz="0" w:space="0" w:color="auto"/>
              </w:divBdr>
            </w:div>
            <w:div w:id="681050665">
              <w:marLeft w:val="0"/>
              <w:marRight w:val="0"/>
              <w:marTop w:val="0"/>
              <w:marBottom w:val="0"/>
              <w:divBdr>
                <w:top w:val="none" w:sz="0" w:space="0" w:color="auto"/>
                <w:left w:val="none" w:sz="0" w:space="0" w:color="auto"/>
                <w:bottom w:val="none" w:sz="0" w:space="0" w:color="auto"/>
                <w:right w:val="none" w:sz="0" w:space="0" w:color="auto"/>
              </w:divBdr>
            </w:div>
            <w:div w:id="684482069">
              <w:marLeft w:val="0"/>
              <w:marRight w:val="0"/>
              <w:marTop w:val="0"/>
              <w:marBottom w:val="0"/>
              <w:divBdr>
                <w:top w:val="none" w:sz="0" w:space="0" w:color="auto"/>
                <w:left w:val="none" w:sz="0" w:space="0" w:color="auto"/>
                <w:bottom w:val="none" w:sz="0" w:space="0" w:color="auto"/>
                <w:right w:val="none" w:sz="0" w:space="0" w:color="auto"/>
              </w:divBdr>
            </w:div>
            <w:div w:id="699354947">
              <w:marLeft w:val="0"/>
              <w:marRight w:val="0"/>
              <w:marTop w:val="0"/>
              <w:marBottom w:val="0"/>
              <w:divBdr>
                <w:top w:val="none" w:sz="0" w:space="0" w:color="auto"/>
                <w:left w:val="none" w:sz="0" w:space="0" w:color="auto"/>
                <w:bottom w:val="none" w:sz="0" w:space="0" w:color="auto"/>
                <w:right w:val="none" w:sz="0" w:space="0" w:color="auto"/>
              </w:divBdr>
            </w:div>
            <w:div w:id="710349785">
              <w:marLeft w:val="0"/>
              <w:marRight w:val="0"/>
              <w:marTop w:val="0"/>
              <w:marBottom w:val="0"/>
              <w:divBdr>
                <w:top w:val="none" w:sz="0" w:space="0" w:color="auto"/>
                <w:left w:val="none" w:sz="0" w:space="0" w:color="auto"/>
                <w:bottom w:val="none" w:sz="0" w:space="0" w:color="auto"/>
                <w:right w:val="none" w:sz="0" w:space="0" w:color="auto"/>
              </w:divBdr>
            </w:div>
            <w:div w:id="723985658">
              <w:marLeft w:val="0"/>
              <w:marRight w:val="0"/>
              <w:marTop w:val="0"/>
              <w:marBottom w:val="0"/>
              <w:divBdr>
                <w:top w:val="none" w:sz="0" w:space="0" w:color="auto"/>
                <w:left w:val="none" w:sz="0" w:space="0" w:color="auto"/>
                <w:bottom w:val="none" w:sz="0" w:space="0" w:color="auto"/>
                <w:right w:val="none" w:sz="0" w:space="0" w:color="auto"/>
              </w:divBdr>
            </w:div>
            <w:div w:id="741220289">
              <w:marLeft w:val="0"/>
              <w:marRight w:val="0"/>
              <w:marTop w:val="0"/>
              <w:marBottom w:val="0"/>
              <w:divBdr>
                <w:top w:val="none" w:sz="0" w:space="0" w:color="auto"/>
                <w:left w:val="none" w:sz="0" w:space="0" w:color="auto"/>
                <w:bottom w:val="none" w:sz="0" w:space="0" w:color="auto"/>
                <w:right w:val="none" w:sz="0" w:space="0" w:color="auto"/>
              </w:divBdr>
            </w:div>
            <w:div w:id="754596444">
              <w:marLeft w:val="0"/>
              <w:marRight w:val="0"/>
              <w:marTop w:val="0"/>
              <w:marBottom w:val="0"/>
              <w:divBdr>
                <w:top w:val="none" w:sz="0" w:space="0" w:color="auto"/>
                <w:left w:val="none" w:sz="0" w:space="0" w:color="auto"/>
                <w:bottom w:val="none" w:sz="0" w:space="0" w:color="auto"/>
                <w:right w:val="none" w:sz="0" w:space="0" w:color="auto"/>
              </w:divBdr>
            </w:div>
            <w:div w:id="776875063">
              <w:marLeft w:val="0"/>
              <w:marRight w:val="0"/>
              <w:marTop w:val="0"/>
              <w:marBottom w:val="0"/>
              <w:divBdr>
                <w:top w:val="none" w:sz="0" w:space="0" w:color="auto"/>
                <w:left w:val="none" w:sz="0" w:space="0" w:color="auto"/>
                <w:bottom w:val="none" w:sz="0" w:space="0" w:color="auto"/>
                <w:right w:val="none" w:sz="0" w:space="0" w:color="auto"/>
              </w:divBdr>
            </w:div>
            <w:div w:id="809516039">
              <w:marLeft w:val="0"/>
              <w:marRight w:val="0"/>
              <w:marTop w:val="0"/>
              <w:marBottom w:val="0"/>
              <w:divBdr>
                <w:top w:val="none" w:sz="0" w:space="0" w:color="auto"/>
                <w:left w:val="none" w:sz="0" w:space="0" w:color="auto"/>
                <w:bottom w:val="none" w:sz="0" w:space="0" w:color="auto"/>
                <w:right w:val="none" w:sz="0" w:space="0" w:color="auto"/>
              </w:divBdr>
            </w:div>
            <w:div w:id="814638893">
              <w:marLeft w:val="0"/>
              <w:marRight w:val="0"/>
              <w:marTop w:val="0"/>
              <w:marBottom w:val="0"/>
              <w:divBdr>
                <w:top w:val="none" w:sz="0" w:space="0" w:color="auto"/>
                <w:left w:val="none" w:sz="0" w:space="0" w:color="auto"/>
                <w:bottom w:val="none" w:sz="0" w:space="0" w:color="auto"/>
                <w:right w:val="none" w:sz="0" w:space="0" w:color="auto"/>
              </w:divBdr>
            </w:div>
            <w:div w:id="850219347">
              <w:marLeft w:val="0"/>
              <w:marRight w:val="0"/>
              <w:marTop w:val="0"/>
              <w:marBottom w:val="0"/>
              <w:divBdr>
                <w:top w:val="none" w:sz="0" w:space="0" w:color="auto"/>
                <w:left w:val="none" w:sz="0" w:space="0" w:color="auto"/>
                <w:bottom w:val="none" w:sz="0" w:space="0" w:color="auto"/>
                <w:right w:val="none" w:sz="0" w:space="0" w:color="auto"/>
              </w:divBdr>
            </w:div>
            <w:div w:id="851336856">
              <w:marLeft w:val="0"/>
              <w:marRight w:val="0"/>
              <w:marTop w:val="0"/>
              <w:marBottom w:val="0"/>
              <w:divBdr>
                <w:top w:val="none" w:sz="0" w:space="0" w:color="auto"/>
                <w:left w:val="none" w:sz="0" w:space="0" w:color="auto"/>
                <w:bottom w:val="none" w:sz="0" w:space="0" w:color="auto"/>
                <w:right w:val="none" w:sz="0" w:space="0" w:color="auto"/>
              </w:divBdr>
            </w:div>
            <w:div w:id="866793836">
              <w:marLeft w:val="0"/>
              <w:marRight w:val="0"/>
              <w:marTop w:val="0"/>
              <w:marBottom w:val="0"/>
              <w:divBdr>
                <w:top w:val="none" w:sz="0" w:space="0" w:color="auto"/>
                <w:left w:val="none" w:sz="0" w:space="0" w:color="auto"/>
                <w:bottom w:val="none" w:sz="0" w:space="0" w:color="auto"/>
                <w:right w:val="none" w:sz="0" w:space="0" w:color="auto"/>
              </w:divBdr>
            </w:div>
            <w:div w:id="883561310">
              <w:marLeft w:val="0"/>
              <w:marRight w:val="0"/>
              <w:marTop w:val="0"/>
              <w:marBottom w:val="0"/>
              <w:divBdr>
                <w:top w:val="none" w:sz="0" w:space="0" w:color="auto"/>
                <w:left w:val="none" w:sz="0" w:space="0" w:color="auto"/>
                <w:bottom w:val="none" w:sz="0" w:space="0" w:color="auto"/>
                <w:right w:val="none" w:sz="0" w:space="0" w:color="auto"/>
              </w:divBdr>
            </w:div>
            <w:div w:id="959921735">
              <w:marLeft w:val="0"/>
              <w:marRight w:val="0"/>
              <w:marTop w:val="0"/>
              <w:marBottom w:val="0"/>
              <w:divBdr>
                <w:top w:val="none" w:sz="0" w:space="0" w:color="auto"/>
                <w:left w:val="none" w:sz="0" w:space="0" w:color="auto"/>
                <w:bottom w:val="none" w:sz="0" w:space="0" w:color="auto"/>
                <w:right w:val="none" w:sz="0" w:space="0" w:color="auto"/>
              </w:divBdr>
            </w:div>
            <w:div w:id="1000427156">
              <w:marLeft w:val="0"/>
              <w:marRight w:val="0"/>
              <w:marTop w:val="0"/>
              <w:marBottom w:val="0"/>
              <w:divBdr>
                <w:top w:val="none" w:sz="0" w:space="0" w:color="auto"/>
                <w:left w:val="none" w:sz="0" w:space="0" w:color="auto"/>
                <w:bottom w:val="none" w:sz="0" w:space="0" w:color="auto"/>
                <w:right w:val="none" w:sz="0" w:space="0" w:color="auto"/>
              </w:divBdr>
            </w:div>
            <w:div w:id="1007557148">
              <w:marLeft w:val="0"/>
              <w:marRight w:val="0"/>
              <w:marTop w:val="0"/>
              <w:marBottom w:val="0"/>
              <w:divBdr>
                <w:top w:val="none" w:sz="0" w:space="0" w:color="auto"/>
                <w:left w:val="none" w:sz="0" w:space="0" w:color="auto"/>
                <w:bottom w:val="none" w:sz="0" w:space="0" w:color="auto"/>
                <w:right w:val="none" w:sz="0" w:space="0" w:color="auto"/>
              </w:divBdr>
            </w:div>
            <w:div w:id="1057554936">
              <w:marLeft w:val="0"/>
              <w:marRight w:val="0"/>
              <w:marTop w:val="0"/>
              <w:marBottom w:val="0"/>
              <w:divBdr>
                <w:top w:val="none" w:sz="0" w:space="0" w:color="auto"/>
                <w:left w:val="none" w:sz="0" w:space="0" w:color="auto"/>
                <w:bottom w:val="none" w:sz="0" w:space="0" w:color="auto"/>
                <w:right w:val="none" w:sz="0" w:space="0" w:color="auto"/>
              </w:divBdr>
            </w:div>
            <w:div w:id="1063479898">
              <w:marLeft w:val="0"/>
              <w:marRight w:val="0"/>
              <w:marTop w:val="0"/>
              <w:marBottom w:val="0"/>
              <w:divBdr>
                <w:top w:val="none" w:sz="0" w:space="0" w:color="auto"/>
                <w:left w:val="none" w:sz="0" w:space="0" w:color="auto"/>
                <w:bottom w:val="none" w:sz="0" w:space="0" w:color="auto"/>
                <w:right w:val="none" w:sz="0" w:space="0" w:color="auto"/>
              </w:divBdr>
            </w:div>
            <w:div w:id="1088774615">
              <w:marLeft w:val="0"/>
              <w:marRight w:val="0"/>
              <w:marTop w:val="0"/>
              <w:marBottom w:val="0"/>
              <w:divBdr>
                <w:top w:val="none" w:sz="0" w:space="0" w:color="auto"/>
                <w:left w:val="none" w:sz="0" w:space="0" w:color="auto"/>
                <w:bottom w:val="none" w:sz="0" w:space="0" w:color="auto"/>
                <w:right w:val="none" w:sz="0" w:space="0" w:color="auto"/>
              </w:divBdr>
            </w:div>
            <w:div w:id="1093555600">
              <w:marLeft w:val="0"/>
              <w:marRight w:val="0"/>
              <w:marTop w:val="0"/>
              <w:marBottom w:val="0"/>
              <w:divBdr>
                <w:top w:val="none" w:sz="0" w:space="0" w:color="auto"/>
                <w:left w:val="none" w:sz="0" w:space="0" w:color="auto"/>
                <w:bottom w:val="none" w:sz="0" w:space="0" w:color="auto"/>
                <w:right w:val="none" w:sz="0" w:space="0" w:color="auto"/>
              </w:divBdr>
            </w:div>
            <w:div w:id="1155025775">
              <w:marLeft w:val="0"/>
              <w:marRight w:val="0"/>
              <w:marTop w:val="0"/>
              <w:marBottom w:val="0"/>
              <w:divBdr>
                <w:top w:val="none" w:sz="0" w:space="0" w:color="auto"/>
                <w:left w:val="none" w:sz="0" w:space="0" w:color="auto"/>
                <w:bottom w:val="none" w:sz="0" w:space="0" w:color="auto"/>
                <w:right w:val="none" w:sz="0" w:space="0" w:color="auto"/>
              </w:divBdr>
            </w:div>
            <w:div w:id="1155297640">
              <w:marLeft w:val="0"/>
              <w:marRight w:val="0"/>
              <w:marTop w:val="0"/>
              <w:marBottom w:val="0"/>
              <w:divBdr>
                <w:top w:val="none" w:sz="0" w:space="0" w:color="auto"/>
                <w:left w:val="none" w:sz="0" w:space="0" w:color="auto"/>
                <w:bottom w:val="none" w:sz="0" w:space="0" w:color="auto"/>
                <w:right w:val="none" w:sz="0" w:space="0" w:color="auto"/>
              </w:divBdr>
            </w:div>
            <w:div w:id="1156604761">
              <w:marLeft w:val="0"/>
              <w:marRight w:val="0"/>
              <w:marTop w:val="0"/>
              <w:marBottom w:val="0"/>
              <w:divBdr>
                <w:top w:val="none" w:sz="0" w:space="0" w:color="auto"/>
                <w:left w:val="none" w:sz="0" w:space="0" w:color="auto"/>
                <w:bottom w:val="none" w:sz="0" w:space="0" w:color="auto"/>
                <w:right w:val="none" w:sz="0" w:space="0" w:color="auto"/>
              </w:divBdr>
            </w:div>
            <w:div w:id="1159342346">
              <w:marLeft w:val="0"/>
              <w:marRight w:val="0"/>
              <w:marTop w:val="0"/>
              <w:marBottom w:val="0"/>
              <w:divBdr>
                <w:top w:val="none" w:sz="0" w:space="0" w:color="auto"/>
                <w:left w:val="none" w:sz="0" w:space="0" w:color="auto"/>
                <w:bottom w:val="none" w:sz="0" w:space="0" w:color="auto"/>
                <w:right w:val="none" w:sz="0" w:space="0" w:color="auto"/>
              </w:divBdr>
            </w:div>
            <w:div w:id="1180656861">
              <w:marLeft w:val="0"/>
              <w:marRight w:val="0"/>
              <w:marTop w:val="0"/>
              <w:marBottom w:val="0"/>
              <w:divBdr>
                <w:top w:val="none" w:sz="0" w:space="0" w:color="auto"/>
                <w:left w:val="none" w:sz="0" w:space="0" w:color="auto"/>
                <w:bottom w:val="none" w:sz="0" w:space="0" w:color="auto"/>
                <w:right w:val="none" w:sz="0" w:space="0" w:color="auto"/>
              </w:divBdr>
            </w:div>
            <w:div w:id="1237981092">
              <w:marLeft w:val="0"/>
              <w:marRight w:val="0"/>
              <w:marTop w:val="0"/>
              <w:marBottom w:val="0"/>
              <w:divBdr>
                <w:top w:val="none" w:sz="0" w:space="0" w:color="auto"/>
                <w:left w:val="none" w:sz="0" w:space="0" w:color="auto"/>
                <w:bottom w:val="none" w:sz="0" w:space="0" w:color="auto"/>
                <w:right w:val="none" w:sz="0" w:space="0" w:color="auto"/>
              </w:divBdr>
            </w:div>
            <w:div w:id="1248802995">
              <w:marLeft w:val="0"/>
              <w:marRight w:val="0"/>
              <w:marTop w:val="0"/>
              <w:marBottom w:val="0"/>
              <w:divBdr>
                <w:top w:val="none" w:sz="0" w:space="0" w:color="auto"/>
                <w:left w:val="none" w:sz="0" w:space="0" w:color="auto"/>
                <w:bottom w:val="none" w:sz="0" w:space="0" w:color="auto"/>
                <w:right w:val="none" w:sz="0" w:space="0" w:color="auto"/>
              </w:divBdr>
            </w:div>
            <w:div w:id="1312324648">
              <w:marLeft w:val="0"/>
              <w:marRight w:val="0"/>
              <w:marTop w:val="0"/>
              <w:marBottom w:val="0"/>
              <w:divBdr>
                <w:top w:val="none" w:sz="0" w:space="0" w:color="auto"/>
                <w:left w:val="none" w:sz="0" w:space="0" w:color="auto"/>
                <w:bottom w:val="none" w:sz="0" w:space="0" w:color="auto"/>
                <w:right w:val="none" w:sz="0" w:space="0" w:color="auto"/>
              </w:divBdr>
            </w:div>
            <w:div w:id="1393040357">
              <w:marLeft w:val="0"/>
              <w:marRight w:val="0"/>
              <w:marTop w:val="0"/>
              <w:marBottom w:val="0"/>
              <w:divBdr>
                <w:top w:val="none" w:sz="0" w:space="0" w:color="auto"/>
                <w:left w:val="none" w:sz="0" w:space="0" w:color="auto"/>
                <w:bottom w:val="none" w:sz="0" w:space="0" w:color="auto"/>
                <w:right w:val="none" w:sz="0" w:space="0" w:color="auto"/>
              </w:divBdr>
            </w:div>
            <w:div w:id="1410730378">
              <w:marLeft w:val="0"/>
              <w:marRight w:val="0"/>
              <w:marTop w:val="0"/>
              <w:marBottom w:val="0"/>
              <w:divBdr>
                <w:top w:val="none" w:sz="0" w:space="0" w:color="auto"/>
                <w:left w:val="none" w:sz="0" w:space="0" w:color="auto"/>
                <w:bottom w:val="none" w:sz="0" w:space="0" w:color="auto"/>
                <w:right w:val="none" w:sz="0" w:space="0" w:color="auto"/>
              </w:divBdr>
            </w:div>
            <w:div w:id="1427189530">
              <w:marLeft w:val="0"/>
              <w:marRight w:val="0"/>
              <w:marTop w:val="0"/>
              <w:marBottom w:val="0"/>
              <w:divBdr>
                <w:top w:val="none" w:sz="0" w:space="0" w:color="auto"/>
                <w:left w:val="none" w:sz="0" w:space="0" w:color="auto"/>
                <w:bottom w:val="none" w:sz="0" w:space="0" w:color="auto"/>
                <w:right w:val="none" w:sz="0" w:space="0" w:color="auto"/>
              </w:divBdr>
            </w:div>
            <w:div w:id="1439329708">
              <w:marLeft w:val="0"/>
              <w:marRight w:val="0"/>
              <w:marTop w:val="0"/>
              <w:marBottom w:val="0"/>
              <w:divBdr>
                <w:top w:val="none" w:sz="0" w:space="0" w:color="auto"/>
                <w:left w:val="none" w:sz="0" w:space="0" w:color="auto"/>
                <w:bottom w:val="none" w:sz="0" w:space="0" w:color="auto"/>
                <w:right w:val="none" w:sz="0" w:space="0" w:color="auto"/>
              </w:divBdr>
            </w:div>
            <w:div w:id="1500656043">
              <w:marLeft w:val="0"/>
              <w:marRight w:val="0"/>
              <w:marTop w:val="0"/>
              <w:marBottom w:val="0"/>
              <w:divBdr>
                <w:top w:val="none" w:sz="0" w:space="0" w:color="auto"/>
                <w:left w:val="none" w:sz="0" w:space="0" w:color="auto"/>
                <w:bottom w:val="none" w:sz="0" w:space="0" w:color="auto"/>
                <w:right w:val="none" w:sz="0" w:space="0" w:color="auto"/>
              </w:divBdr>
            </w:div>
            <w:div w:id="1540243108">
              <w:marLeft w:val="0"/>
              <w:marRight w:val="0"/>
              <w:marTop w:val="0"/>
              <w:marBottom w:val="0"/>
              <w:divBdr>
                <w:top w:val="none" w:sz="0" w:space="0" w:color="auto"/>
                <w:left w:val="none" w:sz="0" w:space="0" w:color="auto"/>
                <w:bottom w:val="none" w:sz="0" w:space="0" w:color="auto"/>
                <w:right w:val="none" w:sz="0" w:space="0" w:color="auto"/>
              </w:divBdr>
            </w:div>
            <w:div w:id="1541210833">
              <w:marLeft w:val="0"/>
              <w:marRight w:val="0"/>
              <w:marTop w:val="0"/>
              <w:marBottom w:val="0"/>
              <w:divBdr>
                <w:top w:val="none" w:sz="0" w:space="0" w:color="auto"/>
                <w:left w:val="none" w:sz="0" w:space="0" w:color="auto"/>
                <w:bottom w:val="none" w:sz="0" w:space="0" w:color="auto"/>
                <w:right w:val="none" w:sz="0" w:space="0" w:color="auto"/>
              </w:divBdr>
            </w:div>
            <w:div w:id="1542740195">
              <w:marLeft w:val="0"/>
              <w:marRight w:val="0"/>
              <w:marTop w:val="0"/>
              <w:marBottom w:val="0"/>
              <w:divBdr>
                <w:top w:val="none" w:sz="0" w:space="0" w:color="auto"/>
                <w:left w:val="none" w:sz="0" w:space="0" w:color="auto"/>
                <w:bottom w:val="none" w:sz="0" w:space="0" w:color="auto"/>
                <w:right w:val="none" w:sz="0" w:space="0" w:color="auto"/>
              </w:divBdr>
            </w:div>
            <w:div w:id="1565677851">
              <w:marLeft w:val="0"/>
              <w:marRight w:val="0"/>
              <w:marTop w:val="0"/>
              <w:marBottom w:val="0"/>
              <w:divBdr>
                <w:top w:val="none" w:sz="0" w:space="0" w:color="auto"/>
                <w:left w:val="none" w:sz="0" w:space="0" w:color="auto"/>
                <w:bottom w:val="none" w:sz="0" w:space="0" w:color="auto"/>
                <w:right w:val="none" w:sz="0" w:space="0" w:color="auto"/>
              </w:divBdr>
            </w:div>
            <w:div w:id="1611430707">
              <w:marLeft w:val="0"/>
              <w:marRight w:val="0"/>
              <w:marTop w:val="0"/>
              <w:marBottom w:val="0"/>
              <w:divBdr>
                <w:top w:val="none" w:sz="0" w:space="0" w:color="auto"/>
                <w:left w:val="none" w:sz="0" w:space="0" w:color="auto"/>
                <w:bottom w:val="none" w:sz="0" w:space="0" w:color="auto"/>
                <w:right w:val="none" w:sz="0" w:space="0" w:color="auto"/>
              </w:divBdr>
            </w:div>
            <w:div w:id="1653556365">
              <w:marLeft w:val="0"/>
              <w:marRight w:val="0"/>
              <w:marTop w:val="0"/>
              <w:marBottom w:val="0"/>
              <w:divBdr>
                <w:top w:val="none" w:sz="0" w:space="0" w:color="auto"/>
                <w:left w:val="none" w:sz="0" w:space="0" w:color="auto"/>
                <w:bottom w:val="none" w:sz="0" w:space="0" w:color="auto"/>
                <w:right w:val="none" w:sz="0" w:space="0" w:color="auto"/>
              </w:divBdr>
            </w:div>
            <w:div w:id="1667706960">
              <w:marLeft w:val="0"/>
              <w:marRight w:val="0"/>
              <w:marTop w:val="0"/>
              <w:marBottom w:val="0"/>
              <w:divBdr>
                <w:top w:val="none" w:sz="0" w:space="0" w:color="auto"/>
                <w:left w:val="none" w:sz="0" w:space="0" w:color="auto"/>
                <w:bottom w:val="none" w:sz="0" w:space="0" w:color="auto"/>
                <w:right w:val="none" w:sz="0" w:space="0" w:color="auto"/>
              </w:divBdr>
            </w:div>
            <w:div w:id="1688558579">
              <w:marLeft w:val="0"/>
              <w:marRight w:val="0"/>
              <w:marTop w:val="0"/>
              <w:marBottom w:val="0"/>
              <w:divBdr>
                <w:top w:val="none" w:sz="0" w:space="0" w:color="auto"/>
                <w:left w:val="none" w:sz="0" w:space="0" w:color="auto"/>
                <w:bottom w:val="none" w:sz="0" w:space="0" w:color="auto"/>
                <w:right w:val="none" w:sz="0" w:space="0" w:color="auto"/>
              </w:divBdr>
            </w:div>
            <w:div w:id="1693873656">
              <w:marLeft w:val="0"/>
              <w:marRight w:val="0"/>
              <w:marTop w:val="0"/>
              <w:marBottom w:val="0"/>
              <w:divBdr>
                <w:top w:val="none" w:sz="0" w:space="0" w:color="auto"/>
                <w:left w:val="none" w:sz="0" w:space="0" w:color="auto"/>
                <w:bottom w:val="none" w:sz="0" w:space="0" w:color="auto"/>
                <w:right w:val="none" w:sz="0" w:space="0" w:color="auto"/>
              </w:divBdr>
            </w:div>
            <w:div w:id="1746105524">
              <w:marLeft w:val="0"/>
              <w:marRight w:val="0"/>
              <w:marTop w:val="0"/>
              <w:marBottom w:val="0"/>
              <w:divBdr>
                <w:top w:val="none" w:sz="0" w:space="0" w:color="auto"/>
                <w:left w:val="none" w:sz="0" w:space="0" w:color="auto"/>
                <w:bottom w:val="none" w:sz="0" w:space="0" w:color="auto"/>
                <w:right w:val="none" w:sz="0" w:space="0" w:color="auto"/>
              </w:divBdr>
            </w:div>
            <w:div w:id="1756394393">
              <w:marLeft w:val="0"/>
              <w:marRight w:val="0"/>
              <w:marTop w:val="0"/>
              <w:marBottom w:val="0"/>
              <w:divBdr>
                <w:top w:val="none" w:sz="0" w:space="0" w:color="auto"/>
                <w:left w:val="none" w:sz="0" w:space="0" w:color="auto"/>
                <w:bottom w:val="none" w:sz="0" w:space="0" w:color="auto"/>
                <w:right w:val="none" w:sz="0" w:space="0" w:color="auto"/>
              </w:divBdr>
            </w:div>
            <w:div w:id="1767270123">
              <w:marLeft w:val="0"/>
              <w:marRight w:val="0"/>
              <w:marTop w:val="0"/>
              <w:marBottom w:val="0"/>
              <w:divBdr>
                <w:top w:val="none" w:sz="0" w:space="0" w:color="auto"/>
                <w:left w:val="none" w:sz="0" w:space="0" w:color="auto"/>
                <w:bottom w:val="none" w:sz="0" w:space="0" w:color="auto"/>
                <w:right w:val="none" w:sz="0" w:space="0" w:color="auto"/>
              </w:divBdr>
            </w:div>
            <w:div w:id="1790734745">
              <w:marLeft w:val="0"/>
              <w:marRight w:val="0"/>
              <w:marTop w:val="0"/>
              <w:marBottom w:val="0"/>
              <w:divBdr>
                <w:top w:val="none" w:sz="0" w:space="0" w:color="auto"/>
                <w:left w:val="none" w:sz="0" w:space="0" w:color="auto"/>
                <w:bottom w:val="none" w:sz="0" w:space="0" w:color="auto"/>
                <w:right w:val="none" w:sz="0" w:space="0" w:color="auto"/>
              </w:divBdr>
            </w:div>
            <w:div w:id="1790735202">
              <w:marLeft w:val="0"/>
              <w:marRight w:val="0"/>
              <w:marTop w:val="0"/>
              <w:marBottom w:val="0"/>
              <w:divBdr>
                <w:top w:val="none" w:sz="0" w:space="0" w:color="auto"/>
                <w:left w:val="none" w:sz="0" w:space="0" w:color="auto"/>
                <w:bottom w:val="none" w:sz="0" w:space="0" w:color="auto"/>
                <w:right w:val="none" w:sz="0" w:space="0" w:color="auto"/>
              </w:divBdr>
            </w:div>
            <w:div w:id="1815372046">
              <w:marLeft w:val="0"/>
              <w:marRight w:val="0"/>
              <w:marTop w:val="0"/>
              <w:marBottom w:val="0"/>
              <w:divBdr>
                <w:top w:val="none" w:sz="0" w:space="0" w:color="auto"/>
                <w:left w:val="none" w:sz="0" w:space="0" w:color="auto"/>
                <w:bottom w:val="none" w:sz="0" w:space="0" w:color="auto"/>
                <w:right w:val="none" w:sz="0" w:space="0" w:color="auto"/>
              </w:divBdr>
            </w:div>
            <w:div w:id="1816874485">
              <w:marLeft w:val="0"/>
              <w:marRight w:val="0"/>
              <w:marTop w:val="0"/>
              <w:marBottom w:val="0"/>
              <w:divBdr>
                <w:top w:val="none" w:sz="0" w:space="0" w:color="auto"/>
                <w:left w:val="none" w:sz="0" w:space="0" w:color="auto"/>
                <w:bottom w:val="none" w:sz="0" w:space="0" w:color="auto"/>
                <w:right w:val="none" w:sz="0" w:space="0" w:color="auto"/>
              </w:divBdr>
            </w:div>
            <w:div w:id="1818574226">
              <w:marLeft w:val="0"/>
              <w:marRight w:val="0"/>
              <w:marTop w:val="0"/>
              <w:marBottom w:val="0"/>
              <w:divBdr>
                <w:top w:val="none" w:sz="0" w:space="0" w:color="auto"/>
                <w:left w:val="none" w:sz="0" w:space="0" w:color="auto"/>
                <w:bottom w:val="none" w:sz="0" w:space="0" w:color="auto"/>
                <w:right w:val="none" w:sz="0" w:space="0" w:color="auto"/>
              </w:divBdr>
            </w:div>
            <w:div w:id="1861701618">
              <w:marLeft w:val="0"/>
              <w:marRight w:val="0"/>
              <w:marTop w:val="0"/>
              <w:marBottom w:val="0"/>
              <w:divBdr>
                <w:top w:val="none" w:sz="0" w:space="0" w:color="auto"/>
                <w:left w:val="none" w:sz="0" w:space="0" w:color="auto"/>
                <w:bottom w:val="none" w:sz="0" w:space="0" w:color="auto"/>
                <w:right w:val="none" w:sz="0" w:space="0" w:color="auto"/>
              </w:divBdr>
            </w:div>
            <w:div w:id="1877541237">
              <w:marLeft w:val="0"/>
              <w:marRight w:val="0"/>
              <w:marTop w:val="0"/>
              <w:marBottom w:val="0"/>
              <w:divBdr>
                <w:top w:val="none" w:sz="0" w:space="0" w:color="auto"/>
                <w:left w:val="none" w:sz="0" w:space="0" w:color="auto"/>
                <w:bottom w:val="none" w:sz="0" w:space="0" w:color="auto"/>
                <w:right w:val="none" w:sz="0" w:space="0" w:color="auto"/>
              </w:divBdr>
            </w:div>
            <w:div w:id="1886333555">
              <w:marLeft w:val="0"/>
              <w:marRight w:val="0"/>
              <w:marTop w:val="0"/>
              <w:marBottom w:val="0"/>
              <w:divBdr>
                <w:top w:val="none" w:sz="0" w:space="0" w:color="auto"/>
                <w:left w:val="none" w:sz="0" w:space="0" w:color="auto"/>
                <w:bottom w:val="none" w:sz="0" w:space="0" w:color="auto"/>
                <w:right w:val="none" w:sz="0" w:space="0" w:color="auto"/>
              </w:divBdr>
            </w:div>
            <w:div w:id="1905489220">
              <w:marLeft w:val="0"/>
              <w:marRight w:val="0"/>
              <w:marTop w:val="0"/>
              <w:marBottom w:val="0"/>
              <w:divBdr>
                <w:top w:val="none" w:sz="0" w:space="0" w:color="auto"/>
                <w:left w:val="none" w:sz="0" w:space="0" w:color="auto"/>
                <w:bottom w:val="none" w:sz="0" w:space="0" w:color="auto"/>
                <w:right w:val="none" w:sz="0" w:space="0" w:color="auto"/>
              </w:divBdr>
            </w:div>
            <w:div w:id="1924102357">
              <w:marLeft w:val="0"/>
              <w:marRight w:val="0"/>
              <w:marTop w:val="0"/>
              <w:marBottom w:val="0"/>
              <w:divBdr>
                <w:top w:val="none" w:sz="0" w:space="0" w:color="auto"/>
                <w:left w:val="none" w:sz="0" w:space="0" w:color="auto"/>
                <w:bottom w:val="none" w:sz="0" w:space="0" w:color="auto"/>
                <w:right w:val="none" w:sz="0" w:space="0" w:color="auto"/>
              </w:divBdr>
            </w:div>
            <w:div w:id="1927379702">
              <w:marLeft w:val="0"/>
              <w:marRight w:val="0"/>
              <w:marTop w:val="0"/>
              <w:marBottom w:val="0"/>
              <w:divBdr>
                <w:top w:val="none" w:sz="0" w:space="0" w:color="auto"/>
                <w:left w:val="none" w:sz="0" w:space="0" w:color="auto"/>
                <w:bottom w:val="none" w:sz="0" w:space="0" w:color="auto"/>
                <w:right w:val="none" w:sz="0" w:space="0" w:color="auto"/>
              </w:divBdr>
            </w:div>
            <w:div w:id="1930233904">
              <w:marLeft w:val="0"/>
              <w:marRight w:val="0"/>
              <w:marTop w:val="0"/>
              <w:marBottom w:val="0"/>
              <w:divBdr>
                <w:top w:val="none" w:sz="0" w:space="0" w:color="auto"/>
                <w:left w:val="none" w:sz="0" w:space="0" w:color="auto"/>
                <w:bottom w:val="none" w:sz="0" w:space="0" w:color="auto"/>
                <w:right w:val="none" w:sz="0" w:space="0" w:color="auto"/>
              </w:divBdr>
            </w:div>
            <w:div w:id="2007320020">
              <w:marLeft w:val="0"/>
              <w:marRight w:val="0"/>
              <w:marTop w:val="0"/>
              <w:marBottom w:val="0"/>
              <w:divBdr>
                <w:top w:val="none" w:sz="0" w:space="0" w:color="auto"/>
                <w:left w:val="none" w:sz="0" w:space="0" w:color="auto"/>
                <w:bottom w:val="none" w:sz="0" w:space="0" w:color="auto"/>
                <w:right w:val="none" w:sz="0" w:space="0" w:color="auto"/>
              </w:divBdr>
            </w:div>
            <w:div w:id="2021276297">
              <w:marLeft w:val="0"/>
              <w:marRight w:val="0"/>
              <w:marTop w:val="0"/>
              <w:marBottom w:val="0"/>
              <w:divBdr>
                <w:top w:val="none" w:sz="0" w:space="0" w:color="auto"/>
                <w:left w:val="none" w:sz="0" w:space="0" w:color="auto"/>
                <w:bottom w:val="none" w:sz="0" w:space="0" w:color="auto"/>
                <w:right w:val="none" w:sz="0" w:space="0" w:color="auto"/>
              </w:divBdr>
            </w:div>
            <w:div w:id="2030599844">
              <w:marLeft w:val="0"/>
              <w:marRight w:val="0"/>
              <w:marTop w:val="0"/>
              <w:marBottom w:val="0"/>
              <w:divBdr>
                <w:top w:val="none" w:sz="0" w:space="0" w:color="auto"/>
                <w:left w:val="none" w:sz="0" w:space="0" w:color="auto"/>
                <w:bottom w:val="none" w:sz="0" w:space="0" w:color="auto"/>
                <w:right w:val="none" w:sz="0" w:space="0" w:color="auto"/>
              </w:divBdr>
            </w:div>
            <w:div w:id="2032292824">
              <w:marLeft w:val="0"/>
              <w:marRight w:val="0"/>
              <w:marTop w:val="0"/>
              <w:marBottom w:val="0"/>
              <w:divBdr>
                <w:top w:val="none" w:sz="0" w:space="0" w:color="auto"/>
                <w:left w:val="none" w:sz="0" w:space="0" w:color="auto"/>
                <w:bottom w:val="none" w:sz="0" w:space="0" w:color="auto"/>
                <w:right w:val="none" w:sz="0" w:space="0" w:color="auto"/>
              </w:divBdr>
            </w:div>
            <w:div w:id="2040888660">
              <w:marLeft w:val="0"/>
              <w:marRight w:val="0"/>
              <w:marTop w:val="0"/>
              <w:marBottom w:val="0"/>
              <w:divBdr>
                <w:top w:val="none" w:sz="0" w:space="0" w:color="auto"/>
                <w:left w:val="none" w:sz="0" w:space="0" w:color="auto"/>
                <w:bottom w:val="none" w:sz="0" w:space="0" w:color="auto"/>
                <w:right w:val="none" w:sz="0" w:space="0" w:color="auto"/>
              </w:divBdr>
            </w:div>
            <w:div w:id="2048598670">
              <w:marLeft w:val="0"/>
              <w:marRight w:val="0"/>
              <w:marTop w:val="0"/>
              <w:marBottom w:val="0"/>
              <w:divBdr>
                <w:top w:val="none" w:sz="0" w:space="0" w:color="auto"/>
                <w:left w:val="none" w:sz="0" w:space="0" w:color="auto"/>
                <w:bottom w:val="none" w:sz="0" w:space="0" w:color="auto"/>
                <w:right w:val="none" w:sz="0" w:space="0" w:color="auto"/>
              </w:divBdr>
            </w:div>
            <w:div w:id="2055230951">
              <w:marLeft w:val="0"/>
              <w:marRight w:val="0"/>
              <w:marTop w:val="0"/>
              <w:marBottom w:val="0"/>
              <w:divBdr>
                <w:top w:val="none" w:sz="0" w:space="0" w:color="auto"/>
                <w:left w:val="none" w:sz="0" w:space="0" w:color="auto"/>
                <w:bottom w:val="none" w:sz="0" w:space="0" w:color="auto"/>
                <w:right w:val="none" w:sz="0" w:space="0" w:color="auto"/>
              </w:divBdr>
            </w:div>
            <w:div w:id="2067989252">
              <w:marLeft w:val="0"/>
              <w:marRight w:val="0"/>
              <w:marTop w:val="0"/>
              <w:marBottom w:val="0"/>
              <w:divBdr>
                <w:top w:val="none" w:sz="0" w:space="0" w:color="auto"/>
                <w:left w:val="none" w:sz="0" w:space="0" w:color="auto"/>
                <w:bottom w:val="none" w:sz="0" w:space="0" w:color="auto"/>
                <w:right w:val="none" w:sz="0" w:space="0" w:color="auto"/>
              </w:divBdr>
            </w:div>
            <w:div w:id="2078891716">
              <w:marLeft w:val="0"/>
              <w:marRight w:val="0"/>
              <w:marTop w:val="0"/>
              <w:marBottom w:val="0"/>
              <w:divBdr>
                <w:top w:val="none" w:sz="0" w:space="0" w:color="auto"/>
                <w:left w:val="none" w:sz="0" w:space="0" w:color="auto"/>
                <w:bottom w:val="none" w:sz="0" w:space="0" w:color="auto"/>
                <w:right w:val="none" w:sz="0" w:space="0" w:color="auto"/>
              </w:divBdr>
            </w:div>
            <w:div w:id="2085103685">
              <w:marLeft w:val="0"/>
              <w:marRight w:val="0"/>
              <w:marTop w:val="0"/>
              <w:marBottom w:val="0"/>
              <w:divBdr>
                <w:top w:val="none" w:sz="0" w:space="0" w:color="auto"/>
                <w:left w:val="none" w:sz="0" w:space="0" w:color="auto"/>
                <w:bottom w:val="none" w:sz="0" w:space="0" w:color="auto"/>
                <w:right w:val="none" w:sz="0" w:space="0" w:color="auto"/>
              </w:divBdr>
            </w:div>
            <w:div w:id="2087680001">
              <w:marLeft w:val="0"/>
              <w:marRight w:val="0"/>
              <w:marTop w:val="0"/>
              <w:marBottom w:val="0"/>
              <w:divBdr>
                <w:top w:val="none" w:sz="0" w:space="0" w:color="auto"/>
                <w:left w:val="none" w:sz="0" w:space="0" w:color="auto"/>
                <w:bottom w:val="none" w:sz="0" w:space="0" w:color="auto"/>
                <w:right w:val="none" w:sz="0" w:space="0" w:color="auto"/>
              </w:divBdr>
            </w:div>
            <w:div w:id="2094466905">
              <w:marLeft w:val="0"/>
              <w:marRight w:val="0"/>
              <w:marTop w:val="0"/>
              <w:marBottom w:val="0"/>
              <w:divBdr>
                <w:top w:val="none" w:sz="0" w:space="0" w:color="auto"/>
                <w:left w:val="none" w:sz="0" w:space="0" w:color="auto"/>
                <w:bottom w:val="none" w:sz="0" w:space="0" w:color="auto"/>
                <w:right w:val="none" w:sz="0" w:space="0" w:color="auto"/>
              </w:divBdr>
            </w:div>
            <w:div w:id="2099522202">
              <w:marLeft w:val="0"/>
              <w:marRight w:val="0"/>
              <w:marTop w:val="0"/>
              <w:marBottom w:val="0"/>
              <w:divBdr>
                <w:top w:val="none" w:sz="0" w:space="0" w:color="auto"/>
                <w:left w:val="none" w:sz="0" w:space="0" w:color="auto"/>
                <w:bottom w:val="none" w:sz="0" w:space="0" w:color="auto"/>
                <w:right w:val="none" w:sz="0" w:space="0" w:color="auto"/>
              </w:divBdr>
            </w:div>
            <w:div w:id="2101674585">
              <w:marLeft w:val="0"/>
              <w:marRight w:val="0"/>
              <w:marTop w:val="0"/>
              <w:marBottom w:val="0"/>
              <w:divBdr>
                <w:top w:val="none" w:sz="0" w:space="0" w:color="auto"/>
                <w:left w:val="none" w:sz="0" w:space="0" w:color="auto"/>
                <w:bottom w:val="none" w:sz="0" w:space="0" w:color="auto"/>
                <w:right w:val="none" w:sz="0" w:space="0" w:color="auto"/>
              </w:divBdr>
            </w:div>
            <w:div w:id="2116515576">
              <w:marLeft w:val="0"/>
              <w:marRight w:val="0"/>
              <w:marTop w:val="0"/>
              <w:marBottom w:val="0"/>
              <w:divBdr>
                <w:top w:val="none" w:sz="0" w:space="0" w:color="auto"/>
                <w:left w:val="none" w:sz="0" w:space="0" w:color="auto"/>
                <w:bottom w:val="none" w:sz="0" w:space="0" w:color="auto"/>
                <w:right w:val="none" w:sz="0" w:space="0" w:color="auto"/>
              </w:divBdr>
            </w:div>
            <w:div w:id="2121339051">
              <w:marLeft w:val="0"/>
              <w:marRight w:val="0"/>
              <w:marTop w:val="0"/>
              <w:marBottom w:val="0"/>
              <w:divBdr>
                <w:top w:val="none" w:sz="0" w:space="0" w:color="auto"/>
                <w:left w:val="none" w:sz="0" w:space="0" w:color="auto"/>
                <w:bottom w:val="none" w:sz="0" w:space="0" w:color="auto"/>
                <w:right w:val="none" w:sz="0" w:space="0" w:color="auto"/>
              </w:divBdr>
            </w:div>
            <w:div w:id="2129279787">
              <w:marLeft w:val="0"/>
              <w:marRight w:val="0"/>
              <w:marTop w:val="0"/>
              <w:marBottom w:val="0"/>
              <w:divBdr>
                <w:top w:val="none" w:sz="0" w:space="0" w:color="auto"/>
                <w:left w:val="none" w:sz="0" w:space="0" w:color="auto"/>
                <w:bottom w:val="none" w:sz="0" w:space="0" w:color="auto"/>
                <w:right w:val="none" w:sz="0" w:space="0" w:color="auto"/>
              </w:divBdr>
            </w:div>
            <w:div w:id="2134245490">
              <w:marLeft w:val="0"/>
              <w:marRight w:val="0"/>
              <w:marTop w:val="0"/>
              <w:marBottom w:val="0"/>
              <w:divBdr>
                <w:top w:val="none" w:sz="0" w:space="0" w:color="auto"/>
                <w:left w:val="none" w:sz="0" w:space="0" w:color="auto"/>
                <w:bottom w:val="none" w:sz="0" w:space="0" w:color="auto"/>
                <w:right w:val="none" w:sz="0" w:space="0" w:color="auto"/>
              </w:divBdr>
            </w:div>
            <w:div w:id="21387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2068">
      <w:bodyDiv w:val="1"/>
      <w:marLeft w:val="0"/>
      <w:marRight w:val="0"/>
      <w:marTop w:val="0"/>
      <w:marBottom w:val="0"/>
      <w:divBdr>
        <w:top w:val="none" w:sz="0" w:space="0" w:color="auto"/>
        <w:left w:val="none" w:sz="0" w:space="0" w:color="auto"/>
        <w:bottom w:val="none" w:sz="0" w:space="0" w:color="auto"/>
        <w:right w:val="none" w:sz="0" w:space="0" w:color="auto"/>
      </w:divBdr>
    </w:div>
    <w:div w:id="409616920">
      <w:bodyDiv w:val="1"/>
      <w:marLeft w:val="0"/>
      <w:marRight w:val="0"/>
      <w:marTop w:val="0"/>
      <w:marBottom w:val="0"/>
      <w:divBdr>
        <w:top w:val="none" w:sz="0" w:space="0" w:color="auto"/>
        <w:left w:val="none" w:sz="0" w:space="0" w:color="auto"/>
        <w:bottom w:val="none" w:sz="0" w:space="0" w:color="auto"/>
        <w:right w:val="none" w:sz="0" w:space="0" w:color="auto"/>
      </w:divBdr>
    </w:div>
    <w:div w:id="413403514">
      <w:bodyDiv w:val="1"/>
      <w:marLeft w:val="0"/>
      <w:marRight w:val="0"/>
      <w:marTop w:val="0"/>
      <w:marBottom w:val="0"/>
      <w:divBdr>
        <w:top w:val="none" w:sz="0" w:space="0" w:color="auto"/>
        <w:left w:val="none" w:sz="0" w:space="0" w:color="auto"/>
        <w:bottom w:val="none" w:sz="0" w:space="0" w:color="auto"/>
        <w:right w:val="none" w:sz="0" w:space="0" w:color="auto"/>
      </w:divBdr>
    </w:div>
    <w:div w:id="415791050">
      <w:bodyDiv w:val="1"/>
      <w:marLeft w:val="0"/>
      <w:marRight w:val="0"/>
      <w:marTop w:val="0"/>
      <w:marBottom w:val="0"/>
      <w:divBdr>
        <w:top w:val="none" w:sz="0" w:space="0" w:color="auto"/>
        <w:left w:val="none" w:sz="0" w:space="0" w:color="auto"/>
        <w:bottom w:val="none" w:sz="0" w:space="0" w:color="auto"/>
        <w:right w:val="none" w:sz="0" w:space="0" w:color="auto"/>
      </w:divBdr>
    </w:div>
    <w:div w:id="416097852">
      <w:bodyDiv w:val="1"/>
      <w:marLeft w:val="0"/>
      <w:marRight w:val="0"/>
      <w:marTop w:val="0"/>
      <w:marBottom w:val="0"/>
      <w:divBdr>
        <w:top w:val="none" w:sz="0" w:space="0" w:color="auto"/>
        <w:left w:val="none" w:sz="0" w:space="0" w:color="auto"/>
        <w:bottom w:val="none" w:sz="0" w:space="0" w:color="auto"/>
        <w:right w:val="none" w:sz="0" w:space="0" w:color="auto"/>
      </w:divBdr>
    </w:div>
    <w:div w:id="452288370">
      <w:bodyDiv w:val="1"/>
      <w:marLeft w:val="0"/>
      <w:marRight w:val="0"/>
      <w:marTop w:val="0"/>
      <w:marBottom w:val="0"/>
      <w:divBdr>
        <w:top w:val="none" w:sz="0" w:space="0" w:color="auto"/>
        <w:left w:val="none" w:sz="0" w:space="0" w:color="auto"/>
        <w:bottom w:val="none" w:sz="0" w:space="0" w:color="auto"/>
        <w:right w:val="none" w:sz="0" w:space="0" w:color="auto"/>
      </w:divBdr>
    </w:div>
    <w:div w:id="470680513">
      <w:bodyDiv w:val="1"/>
      <w:marLeft w:val="0"/>
      <w:marRight w:val="0"/>
      <w:marTop w:val="0"/>
      <w:marBottom w:val="0"/>
      <w:divBdr>
        <w:top w:val="none" w:sz="0" w:space="0" w:color="auto"/>
        <w:left w:val="none" w:sz="0" w:space="0" w:color="auto"/>
        <w:bottom w:val="none" w:sz="0" w:space="0" w:color="auto"/>
        <w:right w:val="none" w:sz="0" w:space="0" w:color="auto"/>
      </w:divBdr>
    </w:div>
    <w:div w:id="493960473">
      <w:bodyDiv w:val="1"/>
      <w:marLeft w:val="0"/>
      <w:marRight w:val="0"/>
      <w:marTop w:val="0"/>
      <w:marBottom w:val="0"/>
      <w:divBdr>
        <w:top w:val="none" w:sz="0" w:space="0" w:color="auto"/>
        <w:left w:val="none" w:sz="0" w:space="0" w:color="auto"/>
        <w:bottom w:val="none" w:sz="0" w:space="0" w:color="auto"/>
        <w:right w:val="none" w:sz="0" w:space="0" w:color="auto"/>
      </w:divBdr>
    </w:div>
    <w:div w:id="497624497">
      <w:bodyDiv w:val="1"/>
      <w:marLeft w:val="0"/>
      <w:marRight w:val="0"/>
      <w:marTop w:val="0"/>
      <w:marBottom w:val="0"/>
      <w:divBdr>
        <w:top w:val="none" w:sz="0" w:space="0" w:color="auto"/>
        <w:left w:val="none" w:sz="0" w:space="0" w:color="auto"/>
        <w:bottom w:val="none" w:sz="0" w:space="0" w:color="auto"/>
        <w:right w:val="none" w:sz="0" w:space="0" w:color="auto"/>
      </w:divBdr>
    </w:div>
    <w:div w:id="523204305">
      <w:bodyDiv w:val="1"/>
      <w:marLeft w:val="0"/>
      <w:marRight w:val="0"/>
      <w:marTop w:val="0"/>
      <w:marBottom w:val="0"/>
      <w:divBdr>
        <w:top w:val="none" w:sz="0" w:space="0" w:color="auto"/>
        <w:left w:val="none" w:sz="0" w:space="0" w:color="auto"/>
        <w:bottom w:val="none" w:sz="0" w:space="0" w:color="auto"/>
        <w:right w:val="none" w:sz="0" w:space="0" w:color="auto"/>
      </w:divBdr>
    </w:div>
    <w:div w:id="529419694">
      <w:bodyDiv w:val="1"/>
      <w:marLeft w:val="0"/>
      <w:marRight w:val="0"/>
      <w:marTop w:val="0"/>
      <w:marBottom w:val="0"/>
      <w:divBdr>
        <w:top w:val="none" w:sz="0" w:space="0" w:color="auto"/>
        <w:left w:val="none" w:sz="0" w:space="0" w:color="auto"/>
        <w:bottom w:val="none" w:sz="0" w:space="0" w:color="auto"/>
        <w:right w:val="none" w:sz="0" w:space="0" w:color="auto"/>
      </w:divBdr>
    </w:div>
    <w:div w:id="608856574">
      <w:bodyDiv w:val="1"/>
      <w:marLeft w:val="0"/>
      <w:marRight w:val="0"/>
      <w:marTop w:val="0"/>
      <w:marBottom w:val="0"/>
      <w:divBdr>
        <w:top w:val="none" w:sz="0" w:space="0" w:color="auto"/>
        <w:left w:val="none" w:sz="0" w:space="0" w:color="auto"/>
        <w:bottom w:val="none" w:sz="0" w:space="0" w:color="auto"/>
        <w:right w:val="none" w:sz="0" w:space="0" w:color="auto"/>
      </w:divBdr>
    </w:div>
    <w:div w:id="634720369">
      <w:bodyDiv w:val="1"/>
      <w:marLeft w:val="0"/>
      <w:marRight w:val="0"/>
      <w:marTop w:val="0"/>
      <w:marBottom w:val="0"/>
      <w:divBdr>
        <w:top w:val="none" w:sz="0" w:space="0" w:color="auto"/>
        <w:left w:val="none" w:sz="0" w:space="0" w:color="auto"/>
        <w:bottom w:val="none" w:sz="0" w:space="0" w:color="auto"/>
        <w:right w:val="none" w:sz="0" w:space="0" w:color="auto"/>
      </w:divBdr>
    </w:div>
    <w:div w:id="672681902">
      <w:bodyDiv w:val="1"/>
      <w:marLeft w:val="0"/>
      <w:marRight w:val="0"/>
      <w:marTop w:val="0"/>
      <w:marBottom w:val="0"/>
      <w:divBdr>
        <w:top w:val="none" w:sz="0" w:space="0" w:color="auto"/>
        <w:left w:val="none" w:sz="0" w:space="0" w:color="auto"/>
        <w:bottom w:val="none" w:sz="0" w:space="0" w:color="auto"/>
        <w:right w:val="none" w:sz="0" w:space="0" w:color="auto"/>
      </w:divBdr>
    </w:div>
    <w:div w:id="682635135">
      <w:bodyDiv w:val="1"/>
      <w:marLeft w:val="0"/>
      <w:marRight w:val="0"/>
      <w:marTop w:val="0"/>
      <w:marBottom w:val="0"/>
      <w:divBdr>
        <w:top w:val="none" w:sz="0" w:space="0" w:color="auto"/>
        <w:left w:val="none" w:sz="0" w:space="0" w:color="auto"/>
        <w:bottom w:val="none" w:sz="0" w:space="0" w:color="auto"/>
        <w:right w:val="none" w:sz="0" w:space="0" w:color="auto"/>
      </w:divBdr>
    </w:div>
    <w:div w:id="725567615">
      <w:bodyDiv w:val="1"/>
      <w:marLeft w:val="0"/>
      <w:marRight w:val="0"/>
      <w:marTop w:val="0"/>
      <w:marBottom w:val="0"/>
      <w:divBdr>
        <w:top w:val="none" w:sz="0" w:space="0" w:color="auto"/>
        <w:left w:val="none" w:sz="0" w:space="0" w:color="auto"/>
        <w:bottom w:val="none" w:sz="0" w:space="0" w:color="auto"/>
        <w:right w:val="none" w:sz="0" w:space="0" w:color="auto"/>
      </w:divBdr>
    </w:div>
    <w:div w:id="740982188">
      <w:bodyDiv w:val="1"/>
      <w:marLeft w:val="0"/>
      <w:marRight w:val="0"/>
      <w:marTop w:val="0"/>
      <w:marBottom w:val="0"/>
      <w:divBdr>
        <w:top w:val="none" w:sz="0" w:space="0" w:color="auto"/>
        <w:left w:val="none" w:sz="0" w:space="0" w:color="auto"/>
        <w:bottom w:val="none" w:sz="0" w:space="0" w:color="auto"/>
        <w:right w:val="none" w:sz="0" w:space="0" w:color="auto"/>
      </w:divBdr>
    </w:div>
    <w:div w:id="761028849">
      <w:bodyDiv w:val="1"/>
      <w:marLeft w:val="0"/>
      <w:marRight w:val="0"/>
      <w:marTop w:val="0"/>
      <w:marBottom w:val="0"/>
      <w:divBdr>
        <w:top w:val="none" w:sz="0" w:space="0" w:color="auto"/>
        <w:left w:val="none" w:sz="0" w:space="0" w:color="auto"/>
        <w:bottom w:val="none" w:sz="0" w:space="0" w:color="auto"/>
        <w:right w:val="none" w:sz="0" w:space="0" w:color="auto"/>
      </w:divBdr>
    </w:div>
    <w:div w:id="782921954">
      <w:bodyDiv w:val="1"/>
      <w:marLeft w:val="0"/>
      <w:marRight w:val="0"/>
      <w:marTop w:val="0"/>
      <w:marBottom w:val="0"/>
      <w:divBdr>
        <w:top w:val="none" w:sz="0" w:space="0" w:color="auto"/>
        <w:left w:val="none" w:sz="0" w:space="0" w:color="auto"/>
        <w:bottom w:val="none" w:sz="0" w:space="0" w:color="auto"/>
        <w:right w:val="none" w:sz="0" w:space="0" w:color="auto"/>
      </w:divBdr>
    </w:div>
    <w:div w:id="791218017">
      <w:bodyDiv w:val="1"/>
      <w:marLeft w:val="0"/>
      <w:marRight w:val="0"/>
      <w:marTop w:val="0"/>
      <w:marBottom w:val="0"/>
      <w:divBdr>
        <w:top w:val="none" w:sz="0" w:space="0" w:color="auto"/>
        <w:left w:val="none" w:sz="0" w:space="0" w:color="auto"/>
        <w:bottom w:val="none" w:sz="0" w:space="0" w:color="auto"/>
        <w:right w:val="none" w:sz="0" w:space="0" w:color="auto"/>
      </w:divBdr>
    </w:div>
    <w:div w:id="930552013">
      <w:bodyDiv w:val="1"/>
      <w:marLeft w:val="0"/>
      <w:marRight w:val="0"/>
      <w:marTop w:val="0"/>
      <w:marBottom w:val="0"/>
      <w:divBdr>
        <w:top w:val="none" w:sz="0" w:space="0" w:color="auto"/>
        <w:left w:val="none" w:sz="0" w:space="0" w:color="auto"/>
        <w:bottom w:val="none" w:sz="0" w:space="0" w:color="auto"/>
        <w:right w:val="none" w:sz="0" w:space="0" w:color="auto"/>
      </w:divBdr>
    </w:div>
    <w:div w:id="973407037">
      <w:bodyDiv w:val="1"/>
      <w:marLeft w:val="0"/>
      <w:marRight w:val="0"/>
      <w:marTop w:val="0"/>
      <w:marBottom w:val="0"/>
      <w:divBdr>
        <w:top w:val="none" w:sz="0" w:space="0" w:color="auto"/>
        <w:left w:val="none" w:sz="0" w:space="0" w:color="auto"/>
        <w:bottom w:val="none" w:sz="0" w:space="0" w:color="auto"/>
        <w:right w:val="none" w:sz="0" w:space="0" w:color="auto"/>
      </w:divBdr>
    </w:div>
    <w:div w:id="992949338">
      <w:bodyDiv w:val="1"/>
      <w:marLeft w:val="0"/>
      <w:marRight w:val="0"/>
      <w:marTop w:val="0"/>
      <w:marBottom w:val="0"/>
      <w:divBdr>
        <w:top w:val="none" w:sz="0" w:space="0" w:color="auto"/>
        <w:left w:val="none" w:sz="0" w:space="0" w:color="auto"/>
        <w:bottom w:val="none" w:sz="0" w:space="0" w:color="auto"/>
        <w:right w:val="none" w:sz="0" w:space="0" w:color="auto"/>
      </w:divBdr>
    </w:div>
    <w:div w:id="996152060">
      <w:bodyDiv w:val="1"/>
      <w:marLeft w:val="0"/>
      <w:marRight w:val="0"/>
      <w:marTop w:val="0"/>
      <w:marBottom w:val="0"/>
      <w:divBdr>
        <w:top w:val="none" w:sz="0" w:space="0" w:color="auto"/>
        <w:left w:val="none" w:sz="0" w:space="0" w:color="auto"/>
        <w:bottom w:val="none" w:sz="0" w:space="0" w:color="auto"/>
        <w:right w:val="none" w:sz="0" w:space="0" w:color="auto"/>
      </w:divBdr>
    </w:div>
    <w:div w:id="1005791920">
      <w:bodyDiv w:val="1"/>
      <w:marLeft w:val="0"/>
      <w:marRight w:val="0"/>
      <w:marTop w:val="0"/>
      <w:marBottom w:val="0"/>
      <w:divBdr>
        <w:top w:val="none" w:sz="0" w:space="0" w:color="auto"/>
        <w:left w:val="none" w:sz="0" w:space="0" w:color="auto"/>
        <w:bottom w:val="none" w:sz="0" w:space="0" w:color="auto"/>
        <w:right w:val="none" w:sz="0" w:space="0" w:color="auto"/>
      </w:divBdr>
    </w:div>
    <w:div w:id="1015031983">
      <w:bodyDiv w:val="1"/>
      <w:marLeft w:val="0"/>
      <w:marRight w:val="0"/>
      <w:marTop w:val="0"/>
      <w:marBottom w:val="0"/>
      <w:divBdr>
        <w:top w:val="none" w:sz="0" w:space="0" w:color="auto"/>
        <w:left w:val="none" w:sz="0" w:space="0" w:color="auto"/>
        <w:bottom w:val="none" w:sz="0" w:space="0" w:color="auto"/>
        <w:right w:val="none" w:sz="0" w:space="0" w:color="auto"/>
      </w:divBdr>
    </w:div>
    <w:div w:id="1016345761">
      <w:bodyDiv w:val="1"/>
      <w:marLeft w:val="0"/>
      <w:marRight w:val="0"/>
      <w:marTop w:val="0"/>
      <w:marBottom w:val="0"/>
      <w:divBdr>
        <w:top w:val="none" w:sz="0" w:space="0" w:color="auto"/>
        <w:left w:val="none" w:sz="0" w:space="0" w:color="auto"/>
        <w:bottom w:val="none" w:sz="0" w:space="0" w:color="auto"/>
        <w:right w:val="none" w:sz="0" w:space="0" w:color="auto"/>
      </w:divBdr>
    </w:div>
    <w:div w:id="1022366301">
      <w:bodyDiv w:val="1"/>
      <w:marLeft w:val="0"/>
      <w:marRight w:val="0"/>
      <w:marTop w:val="0"/>
      <w:marBottom w:val="0"/>
      <w:divBdr>
        <w:top w:val="none" w:sz="0" w:space="0" w:color="auto"/>
        <w:left w:val="none" w:sz="0" w:space="0" w:color="auto"/>
        <w:bottom w:val="none" w:sz="0" w:space="0" w:color="auto"/>
        <w:right w:val="none" w:sz="0" w:space="0" w:color="auto"/>
      </w:divBdr>
    </w:div>
    <w:div w:id="1063912691">
      <w:bodyDiv w:val="1"/>
      <w:marLeft w:val="0"/>
      <w:marRight w:val="0"/>
      <w:marTop w:val="0"/>
      <w:marBottom w:val="0"/>
      <w:divBdr>
        <w:top w:val="none" w:sz="0" w:space="0" w:color="auto"/>
        <w:left w:val="none" w:sz="0" w:space="0" w:color="auto"/>
        <w:bottom w:val="none" w:sz="0" w:space="0" w:color="auto"/>
        <w:right w:val="none" w:sz="0" w:space="0" w:color="auto"/>
      </w:divBdr>
    </w:div>
    <w:div w:id="1083451522">
      <w:bodyDiv w:val="1"/>
      <w:marLeft w:val="0"/>
      <w:marRight w:val="0"/>
      <w:marTop w:val="0"/>
      <w:marBottom w:val="0"/>
      <w:divBdr>
        <w:top w:val="none" w:sz="0" w:space="0" w:color="auto"/>
        <w:left w:val="none" w:sz="0" w:space="0" w:color="auto"/>
        <w:bottom w:val="none" w:sz="0" w:space="0" w:color="auto"/>
        <w:right w:val="none" w:sz="0" w:space="0" w:color="auto"/>
      </w:divBdr>
      <w:divsChild>
        <w:div w:id="760494459">
          <w:marLeft w:val="0"/>
          <w:marRight w:val="0"/>
          <w:marTop w:val="0"/>
          <w:marBottom w:val="0"/>
          <w:divBdr>
            <w:top w:val="none" w:sz="0" w:space="0" w:color="auto"/>
            <w:left w:val="none" w:sz="0" w:space="0" w:color="auto"/>
            <w:bottom w:val="none" w:sz="0" w:space="0" w:color="auto"/>
            <w:right w:val="none" w:sz="0" w:space="0" w:color="auto"/>
          </w:divBdr>
          <w:divsChild>
            <w:div w:id="9796854">
              <w:marLeft w:val="0"/>
              <w:marRight w:val="0"/>
              <w:marTop w:val="0"/>
              <w:marBottom w:val="0"/>
              <w:divBdr>
                <w:top w:val="none" w:sz="0" w:space="0" w:color="auto"/>
                <w:left w:val="none" w:sz="0" w:space="0" w:color="auto"/>
                <w:bottom w:val="none" w:sz="0" w:space="0" w:color="auto"/>
                <w:right w:val="none" w:sz="0" w:space="0" w:color="auto"/>
              </w:divBdr>
            </w:div>
            <w:div w:id="67382487">
              <w:marLeft w:val="0"/>
              <w:marRight w:val="0"/>
              <w:marTop w:val="0"/>
              <w:marBottom w:val="0"/>
              <w:divBdr>
                <w:top w:val="none" w:sz="0" w:space="0" w:color="auto"/>
                <w:left w:val="none" w:sz="0" w:space="0" w:color="auto"/>
                <w:bottom w:val="none" w:sz="0" w:space="0" w:color="auto"/>
                <w:right w:val="none" w:sz="0" w:space="0" w:color="auto"/>
              </w:divBdr>
            </w:div>
            <w:div w:id="107898953">
              <w:marLeft w:val="0"/>
              <w:marRight w:val="0"/>
              <w:marTop w:val="0"/>
              <w:marBottom w:val="0"/>
              <w:divBdr>
                <w:top w:val="none" w:sz="0" w:space="0" w:color="auto"/>
                <w:left w:val="none" w:sz="0" w:space="0" w:color="auto"/>
                <w:bottom w:val="none" w:sz="0" w:space="0" w:color="auto"/>
                <w:right w:val="none" w:sz="0" w:space="0" w:color="auto"/>
              </w:divBdr>
            </w:div>
            <w:div w:id="146016211">
              <w:marLeft w:val="0"/>
              <w:marRight w:val="0"/>
              <w:marTop w:val="0"/>
              <w:marBottom w:val="0"/>
              <w:divBdr>
                <w:top w:val="none" w:sz="0" w:space="0" w:color="auto"/>
                <w:left w:val="none" w:sz="0" w:space="0" w:color="auto"/>
                <w:bottom w:val="none" w:sz="0" w:space="0" w:color="auto"/>
                <w:right w:val="none" w:sz="0" w:space="0" w:color="auto"/>
              </w:divBdr>
            </w:div>
            <w:div w:id="161361200">
              <w:marLeft w:val="0"/>
              <w:marRight w:val="0"/>
              <w:marTop w:val="0"/>
              <w:marBottom w:val="0"/>
              <w:divBdr>
                <w:top w:val="none" w:sz="0" w:space="0" w:color="auto"/>
                <w:left w:val="none" w:sz="0" w:space="0" w:color="auto"/>
                <w:bottom w:val="none" w:sz="0" w:space="0" w:color="auto"/>
                <w:right w:val="none" w:sz="0" w:space="0" w:color="auto"/>
              </w:divBdr>
            </w:div>
            <w:div w:id="163205808">
              <w:marLeft w:val="0"/>
              <w:marRight w:val="0"/>
              <w:marTop w:val="0"/>
              <w:marBottom w:val="0"/>
              <w:divBdr>
                <w:top w:val="none" w:sz="0" w:space="0" w:color="auto"/>
                <w:left w:val="none" w:sz="0" w:space="0" w:color="auto"/>
                <w:bottom w:val="none" w:sz="0" w:space="0" w:color="auto"/>
                <w:right w:val="none" w:sz="0" w:space="0" w:color="auto"/>
              </w:divBdr>
            </w:div>
            <w:div w:id="174075822">
              <w:marLeft w:val="0"/>
              <w:marRight w:val="0"/>
              <w:marTop w:val="0"/>
              <w:marBottom w:val="0"/>
              <w:divBdr>
                <w:top w:val="none" w:sz="0" w:space="0" w:color="auto"/>
                <w:left w:val="none" w:sz="0" w:space="0" w:color="auto"/>
                <w:bottom w:val="none" w:sz="0" w:space="0" w:color="auto"/>
                <w:right w:val="none" w:sz="0" w:space="0" w:color="auto"/>
              </w:divBdr>
            </w:div>
            <w:div w:id="180322141">
              <w:marLeft w:val="0"/>
              <w:marRight w:val="0"/>
              <w:marTop w:val="0"/>
              <w:marBottom w:val="0"/>
              <w:divBdr>
                <w:top w:val="none" w:sz="0" w:space="0" w:color="auto"/>
                <w:left w:val="none" w:sz="0" w:space="0" w:color="auto"/>
                <w:bottom w:val="none" w:sz="0" w:space="0" w:color="auto"/>
                <w:right w:val="none" w:sz="0" w:space="0" w:color="auto"/>
              </w:divBdr>
            </w:div>
            <w:div w:id="186336061">
              <w:marLeft w:val="0"/>
              <w:marRight w:val="0"/>
              <w:marTop w:val="0"/>
              <w:marBottom w:val="0"/>
              <w:divBdr>
                <w:top w:val="none" w:sz="0" w:space="0" w:color="auto"/>
                <w:left w:val="none" w:sz="0" w:space="0" w:color="auto"/>
                <w:bottom w:val="none" w:sz="0" w:space="0" w:color="auto"/>
                <w:right w:val="none" w:sz="0" w:space="0" w:color="auto"/>
              </w:divBdr>
            </w:div>
            <w:div w:id="198006336">
              <w:marLeft w:val="0"/>
              <w:marRight w:val="0"/>
              <w:marTop w:val="0"/>
              <w:marBottom w:val="0"/>
              <w:divBdr>
                <w:top w:val="none" w:sz="0" w:space="0" w:color="auto"/>
                <w:left w:val="none" w:sz="0" w:space="0" w:color="auto"/>
                <w:bottom w:val="none" w:sz="0" w:space="0" w:color="auto"/>
                <w:right w:val="none" w:sz="0" w:space="0" w:color="auto"/>
              </w:divBdr>
            </w:div>
            <w:div w:id="199249139">
              <w:marLeft w:val="0"/>
              <w:marRight w:val="0"/>
              <w:marTop w:val="0"/>
              <w:marBottom w:val="0"/>
              <w:divBdr>
                <w:top w:val="none" w:sz="0" w:space="0" w:color="auto"/>
                <w:left w:val="none" w:sz="0" w:space="0" w:color="auto"/>
                <w:bottom w:val="none" w:sz="0" w:space="0" w:color="auto"/>
                <w:right w:val="none" w:sz="0" w:space="0" w:color="auto"/>
              </w:divBdr>
            </w:div>
            <w:div w:id="228853438">
              <w:marLeft w:val="0"/>
              <w:marRight w:val="0"/>
              <w:marTop w:val="0"/>
              <w:marBottom w:val="0"/>
              <w:divBdr>
                <w:top w:val="none" w:sz="0" w:space="0" w:color="auto"/>
                <w:left w:val="none" w:sz="0" w:space="0" w:color="auto"/>
                <w:bottom w:val="none" w:sz="0" w:space="0" w:color="auto"/>
                <w:right w:val="none" w:sz="0" w:space="0" w:color="auto"/>
              </w:divBdr>
            </w:div>
            <w:div w:id="237374117">
              <w:marLeft w:val="0"/>
              <w:marRight w:val="0"/>
              <w:marTop w:val="0"/>
              <w:marBottom w:val="0"/>
              <w:divBdr>
                <w:top w:val="none" w:sz="0" w:space="0" w:color="auto"/>
                <w:left w:val="none" w:sz="0" w:space="0" w:color="auto"/>
                <w:bottom w:val="none" w:sz="0" w:space="0" w:color="auto"/>
                <w:right w:val="none" w:sz="0" w:space="0" w:color="auto"/>
              </w:divBdr>
            </w:div>
            <w:div w:id="242684809">
              <w:marLeft w:val="0"/>
              <w:marRight w:val="0"/>
              <w:marTop w:val="0"/>
              <w:marBottom w:val="0"/>
              <w:divBdr>
                <w:top w:val="none" w:sz="0" w:space="0" w:color="auto"/>
                <w:left w:val="none" w:sz="0" w:space="0" w:color="auto"/>
                <w:bottom w:val="none" w:sz="0" w:space="0" w:color="auto"/>
                <w:right w:val="none" w:sz="0" w:space="0" w:color="auto"/>
              </w:divBdr>
            </w:div>
            <w:div w:id="287783209">
              <w:marLeft w:val="0"/>
              <w:marRight w:val="0"/>
              <w:marTop w:val="0"/>
              <w:marBottom w:val="0"/>
              <w:divBdr>
                <w:top w:val="none" w:sz="0" w:space="0" w:color="auto"/>
                <w:left w:val="none" w:sz="0" w:space="0" w:color="auto"/>
                <w:bottom w:val="none" w:sz="0" w:space="0" w:color="auto"/>
                <w:right w:val="none" w:sz="0" w:space="0" w:color="auto"/>
              </w:divBdr>
            </w:div>
            <w:div w:id="323749743">
              <w:marLeft w:val="0"/>
              <w:marRight w:val="0"/>
              <w:marTop w:val="0"/>
              <w:marBottom w:val="0"/>
              <w:divBdr>
                <w:top w:val="none" w:sz="0" w:space="0" w:color="auto"/>
                <w:left w:val="none" w:sz="0" w:space="0" w:color="auto"/>
                <w:bottom w:val="none" w:sz="0" w:space="0" w:color="auto"/>
                <w:right w:val="none" w:sz="0" w:space="0" w:color="auto"/>
              </w:divBdr>
            </w:div>
            <w:div w:id="325136994">
              <w:marLeft w:val="0"/>
              <w:marRight w:val="0"/>
              <w:marTop w:val="0"/>
              <w:marBottom w:val="0"/>
              <w:divBdr>
                <w:top w:val="none" w:sz="0" w:space="0" w:color="auto"/>
                <w:left w:val="none" w:sz="0" w:space="0" w:color="auto"/>
                <w:bottom w:val="none" w:sz="0" w:space="0" w:color="auto"/>
                <w:right w:val="none" w:sz="0" w:space="0" w:color="auto"/>
              </w:divBdr>
            </w:div>
            <w:div w:id="327103635">
              <w:marLeft w:val="0"/>
              <w:marRight w:val="0"/>
              <w:marTop w:val="0"/>
              <w:marBottom w:val="0"/>
              <w:divBdr>
                <w:top w:val="none" w:sz="0" w:space="0" w:color="auto"/>
                <w:left w:val="none" w:sz="0" w:space="0" w:color="auto"/>
                <w:bottom w:val="none" w:sz="0" w:space="0" w:color="auto"/>
                <w:right w:val="none" w:sz="0" w:space="0" w:color="auto"/>
              </w:divBdr>
            </w:div>
            <w:div w:id="330371309">
              <w:marLeft w:val="0"/>
              <w:marRight w:val="0"/>
              <w:marTop w:val="0"/>
              <w:marBottom w:val="0"/>
              <w:divBdr>
                <w:top w:val="none" w:sz="0" w:space="0" w:color="auto"/>
                <w:left w:val="none" w:sz="0" w:space="0" w:color="auto"/>
                <w:bottom w:val="none" w:sz="0" w:space="0" w:color="auto"/>
                <w:right w:val="none" w:sz="0" w:space="0" w:color="auto"/>
              </w:divBdr>
            </w:div>
            <w:div w:id="374277836">
              <w:marLeft w:val="0"/>
              <w:marRight w:val="0"/>
              <w:marTop w:val="0"/>
              <w:marBottom w:val="0"/>
              <w:divBdr>
                <w:top w:val="none" w:sz="0" w:space="0" w:color="auto"/>
                <w:left w:val="none" w:sz="0" w:space="0" w:color="auto"/>
                <w:bottom w:val="none" w:sz="0" w:space="0" w:color="auto"/>
                <w:right w:val="none" w:sz="0" w:space="0" w:color="auto"/>
              </w:divBdr>
            </w:div>
            <w:div w:id="397018501">
              <w:marLeft w:val="0"/>
              <w:marRight w:val="0"/>
              <w:marTop w:val="0"/>
              <w:marBottom w:val="0"/>
              <w:divBdr>
                <w:top w:val="none" w:sz="0" w:space="0" w:color="auto"/>
                <w:left w:val="none" w:sz="0" w:space="0" w:color="auto"/>
                <w:bottom w:val="none" w:sz="0" w:space="0" w:color="auto"/>
                <w:right w:val="none" w:sz="0" w:space="0" w:color="auto"/>
              </w:divBdr>
            </w:div>
            <w:div w:id="417875049">
              <w:marLeft w:val="0"/>
              <w:marRight w:val="0"/>
              <w:marTop w:val="0"/>
              <w:marBottom w:val="0"/>
              <w:divBdr>
                <w:top w:val="none" w:sz="0" w:space="0" w:color="auto"/>
                <w:left w:val="none" w:sz="0" w:space="0" w:color="auto"/>
                <w:bottom w:val="none" w:sz="0" w:space="0" w:color="auto"/>
                <w:right w:val="none" w:sz="0" w:space="0" w:color="auto"/>
              </w:divBdr>
            </w:div>
            <w:div w:id="489366941">
              <w:marLeft w:val="0"/>
              <w:marRight w:val="0"/>
              <w:marTop w:val="0"/>
              <w:marBottom w:val="0"/>
              <w:divBdr>
                <w:top w:val="none" w:sz="0" w:space="0" w:color="auto"/>
                <w:left w:val="none" w:sz="0" w:space="0" w:color="auto"/>
                <w:bottom w:val="none" w:sz="0" w:space="0" w:color="auto"/>
                <w:right w:val="none" w:sz="0" w:space="0" w:color="auto"/>
              </w:divBdr>
            </w:div>
            <w:div w:id="494496498">
              <w:marLeft w:val="0"/>
              <w:marRight w:val="0"/>
              <w:marTop w:val="0"/>
              <w:marBottom w:val="0"/>
              <w:divBdr>
                <w:top w:val="none" w:sz="0" w:space="0" w:color="auto"/>
                <w:left w:val="none" w:sz="0" w:space="0" w:color="auto"/>
                <w:bottom w:val="none" w:sz="0" w:space="0" w:color="auto"/>
                <w:right w:val="none" w:sz="0" w:space="0" w:color="auto"/>
              </w:divBdr>
            </w:div>
            <w:div w:id="495075419">
              <w:marLeft w:val="0"/>
              <w:marRight w:val="0"/>
              <w:marTop w:val="0"/>
              <w:marBottom w:val="0"/>
              <w:divBdr>
                <w:top w:val="none" w:sz="0" w:space="0" w:color="auto"/>
                <w:left w:val="none" w:sz="0" w:space="0" w:color="auto"/>
                <w:bottom w:val="none" w:sz="0" w:space="0" w:color="auto"/>
                <w:right w:val="none" w:sz="0" w:space="0" w:color="auto"/>
              </w:divBdr>
            </w:div>
            <w:div w:id="561136202">
              <w:marLeft w:val="0"/>
              <w:marRight w:val="0"/>
              <w:marTop w:val="0"/>
              <w:marBottom w:val="0"/>
              <w:divBdr>
                <w:top w:val="none" w:sz="0" w:space="0" w:color="auto"/>
                <w:left w:val="none" w:sz="0" w:space="0" w:color="auto"/>
                <w:bottom w:val="none" w:sz="0" w:space="0" w:color="auto"/>
                <w:right w:val="none" w:sz="0" w:space="0" w:color="auto"/>
              </w:divBdr>
            </w:div>
            <w:div w:id="571892030">
              <w:marLeft w:val="0"/>
              <w:marRight w:val="0"/>
              <w:marTop w:val="0"/>
              <w:marBottom w:val="0"/>
              <w:divBdr>
                <w:top w:val="none" w:sz="0" w:space="0" w:color="auto"/>
                <w:left w:val="none" w:sz="0" w:space="0" w:color="auto"/>
                <w:bottom w:val="none" w:sz="0" w:space="0" w:color="auto"/>
                <w:right w:val="none" w:sz="0" w:space="0" w:color="auto"/>
              </w:divBdr>
            </w:div>
            <w:div w:id="579171761">
              <w:marLeft w:val="0"/>
              <w:marRight w:val="0"/>
              <w:marTop w:val="0"/>
              <w:marBottom w:val="0"/>
              <w:divBdr>
                <w:top w:val="none" w:sz="0" w:space="0" w:color="auto"/>
                <w:left w:val="none" w:sz="0" w:space="0" w:color="auto"/>
                <w:bottom w:val="none" w:sz="0" w:space="0" w:color="auto"/>
                <w:right w:val="none" w:sz="0" w:space="0" w:color="auto"/>
              </w:divBdr>
            </w:div>
            <w:div w:id="591008899">
              <w:marLeft w:val="0"/>
              <w:marRight w:val="0"/>
              <w:marTop w:val="0"/>
              <w:marBottom w:val="0"/>
              <w:divBdr>
                <w:top w:val="none" w:sz="0" w:space="0" w:color="auto"/>
                <w:left w:val="none" w:sz="0" w:space="0" w:color="auto"/>
                <w:bottom w:val="none" w:sz="0" w:space="0" w:color="auto"/>
                <w:right w:val="none" w:sz="0" w:space="0" w:color="auto"/>
              </w:divBdr>
            </w:div>
            <w:div w:id="601037823">
              <w:marLeft w:val="0"/>
              <w:marRight w:val="0"/>
              <w:marTop w:val="0"/>
              <w:marBottom w:val="0"/>
              <w:divBdr>
                <w:top w:val="none" w:sz="0" w:space="0" w:color="auto"/>
                <w:left w:val="none" w:sz="0" w:space="0" w:color="auto"/>
                <w:bottom w:val="none" w:sz="0" w:space="0" w:color="auto"/>
                <w:right w:val="none" w:sz="0" w:space="0" w:color="auto"/>
              </w:divBdr>
            </w:div>
            <w:div w:id="627393927">
              <w:marLeft w:val="0"/>
              <w:marRight w:val="0"/>
              <w:marTop w:val="0"/>
              <w:marBottom w:val="0"/>
              <w:divBdr>
                <w:top w:val="none" w:sz="0" w:space="0" w:color="auto"/>
                <w:left w:val="none" w:sz="0" w:space="0" w:color="auto"/>
                <w:bottom w:val="none" w:sz="0" w:space="0" w:color="auto"/>
                <w:right w:val="none" w:sz="0" w:space="0" w:color="auto"/>
              </w:divBdr>
            </w:div>
            <w:div w:id="642083202">
              <w:marLeft w:val="0"/>
              <w:marRight w:val="0"/>
              <w:marTop w:val="0"/>
              <w:marBottom w:val="0"/>
              <w:divBdr>
                <w:top w:val="none" w:sz="0" w:space="0" w:color="auto"/>
                <w:left w:val="none" w:sz="0" w:space="0" w:color="auto"/>
                <w:bottom w:val="none" w:sz="0" w:space="0" w:color="auto"/>
                <w:right w:val="none" w:sz="0" w:space="0" w:color="auto"/>
              </w:divBdr>
            </w:div>
            <w:div w:id="642194510">
              <w:marLeft w:val="0"/>
              <w:marRight w:val="0"/>
              <w:marTop w:val="0"/>
              <w:marBottom w:val="0"/>
              <w:divBdr>
                <w:top w:val="none" w:sz="0" w:space="0" w:color="auto"/>
                <w:left w:val="none" w:sz="0" w:space="0" w:color="auto"/>
                <w:bottom w:val="none" w:sz="0" w:space="0" w:color="auto"/>
                <w:right w:val="none" w:sz="0" w:space="0" w:color="auto"/>
              </w:divBdr>
            </w:div>
            <w:div w:id="647366194">
              <w:marLeft w:val="0"/>
              <w:marRight w:val="0"/>
              <w:marTop w:val="0"/>
              <w:marBottom w:val="0"/>
              <w:divBdr>
                <w:top w:val="none" w:sz="0" w:space="0" w:color="auto"/>
                <w:left w:val="none" w:sz="0" w:space="0" w:color="auto"/>
                <w:bottom w:val="none" w:sz="0" w:space="0" w:color="auto"/>
                <w:right w:val="none" w:sz="0" w:space="0" w:color="auto"/>
              </w:divBdr>
            </w:div>
            <w:div w:id="651525216">
              <w:marLeft w:val="0"/>
              <w:marRight w:val="0"/>
              <w:marTop w:val="0"/>
              <w:marBottom w:val="0"/>
              <w:divBdr>
                <w:top w:val="none" w:sz="0" w:space="0" w:color="auto"/>
                <w:left w:val="none" w:sz="0" w:space="0" w:color="auto"/>
                <w:bottom w:val="none" w:sz="0" w:space="0" w:color="auto"/>
                <w:right w:val="none" w:sz="0" w:space="0" w:color="auto"/>
              </w:divBdr>
            </w:div>
            <w:div w:id="668482224">
              <w:marLeft w:val="0"/>
              <w:marRight w:val="0"/>
              <w:marTop w:val="0"/>
              <w:marBottom w:val="0"/>
              <w:divBdr>
                <w:top w:val="none" w:sz="0" w:space="0" w:color="auto"/>
                <w:left w:val="none" w:sz="0" w:space="0" w:color="auto"/>
                <w:bottom w:val="none" w:sz="0" w:space="0" w:color="auto"/>
                <w:right w:val="none" w:sz="0" w:space="0" w:color="auto"/>
              </w:divBdr>
            </w:div>
            <w:div w:id="712844684">
              <w:marLeft w:val="0"/>
              <w:marRight w:val="0"/>
              <w:marTop w:val="0"/>
              <w:marBottom w:val="0"/>
              <w:divBdr>
                <w:top w:val="none" w:sz="0" w:space="0" w:color="auto"/>
                <w:left w:val="none" w:sz="0" w:space="0" w:color="auto"/>
                <w:bottom w:val="none" w:sz="0" w:space="0" w:color="auto"/>
                <w:right w:val="none" w:sz="0" w:space="0" w:color="auto"/>
              </w:divBdr>
            </w:div>
            <w:div w:id="718045139">
              <w:marLeft w:val="0"/>
              <w:marRight w:val="0"/>
              <w:marTop w:val="0"/>
              <w:marBottom w:val="0"/>
              <w:divBdr>
                <w:top w:val="none" w:sz="0" w:space="0" w:color="auto"/>
                <w:left w:val="none" w:sz="0" w:space="0" w:color="auto"/>
                <w:bottom w:val="none" w:sz="0" w:space="0" w:color="auto"/>
                <w:right w:val="none" w:sz="0" w:space="0" w:color="auto"/>
              </w:divBdr>
            </w:div>
            <w:div w:id="769812700">
              <w:marLeft w:val="0"/>
              <w:marRight w:val="0"/>
              <w:marTop w:val="0"/>
              <w:marBottom w:val="0"/>
              <w:divBdr>
                <w:top w:val="none" w:sz="0" w:space="0" w:color="auto"/>
                <w:left w:val="none" w:sz="0" w:space="0" w:color="auto"/>
                <w:bottom w:val="none" w:sz="0" w:space="0" w:color="auto"/>
                <w:right w:val="none" w:sz="0" w:space="0" w:color="auto"/>
              </w:divBdr>
            </w:div>
            <w:div w:id="785851998">
              <w:marLeft w:val="0"/>
              <w:marRight w:val="0"/>
              <w:marTop w:val="0"/>
              <w:marBottom w:val="0"/>
              <w:divBdr>
                <w:top w:val="none" w:sz="0" w:space="0" w:color="auto"/>
                <w:left w:val="none" w:sz="0" w:space="0" w:color="auto"/>
                <w:bottom w:val="none" w:sz="0" w:space="0" w:color="auto"/>
                <w:right w:val="none" w:sz="0" w:space="0" w:color="auto"/>
              </w:divBdr>
            </w:div>
            <w:div w:id="791484957">
              <w:marLeft w:val="0"/>
              <w:marRight w:val="0"/>
              <w:marTop w:val="0"/>
              <w:marBottom w:val="0"/>
              <w:divBdr>
                <w:top w:val="none" w:sz="0" w:space="0" w:color="auto"/>
                <w:left w:val="none" w:sz="0" w:space="0" w:color="auto"/>
                <w:bottom w:val="none" w:sz="0" w:space="0" w:color="auto"/>
                <w:right w:val="none" w:sz="0" w:space="0" w:color="auto"/>
              </w:divBdr>
            </w:div>
            <w:div w:id="809323704">
              <w:marLeft w:val="0"/>
              <w:marRight w:val="0"/>
              <w:marTop w:val="0"/>
              <w:marBottom w:val="0"/>
              <w:divBdr>
                <w:top w:val="none" w:sz="0" w:space="0" w:color="auto"/>
                <w:left w:val="none" w:sz="0" w:space="0" w:color="auto"/>
                <w:bottom w:val="none" w:sz="0" w:space="0" w:color="auto"/>
                <w:right w:val="none" w:sz="0" w:space="0" w:color="auto"/>
              </w:divBdr>
            </w:div>
            <w:div w:id="830677393">
              <w:marLeft w:val="0"/>
              <w:marRight w:val="0"/>
              <w:marTop w:val="0"/>
              <w:marBottom w:val="0"/>
              <w:divBdr>
                <w:top w:val="none" w:sz="0" w:space="0" w:color="auto"/>
                <w:left w:val="none" w:sz="0" w:space="0" w:color="auto"/>
                <w:bottom w:val="none" w:sz="0" w:space="0" w:color="auto"/>
                <w:right w:val="none" w:sz="0" w:space="0" w:color="auto"/>
              </w:divBdr>
            </w:div>
            <w:div w:id="838542698">
              <w:marLeft w:val="0"/>
              <w:marRight w:val="0"/>
              <w:marTop w:val="0"/>
              <w:marBottom w:val="0"/>
              <w:divBdr>
                <w:top w:val="none" w:sz="0" w:space="0" w:color="auto"/>
                <w:left w:val="none" w:sz="0" w:space="0" w:color="auto"/>
                <w:bottom w:val="none" w:sz="0" w:space="0" w:color="auto"/>
                <w:right w:val="none" w:sz="0" w:space="0" w:color="auto"/>
              </w:divBdr>
            </w:div>
            <w:div w:id="868034775">
              <w:marLeft w:val="0"/>
              <w:marRight w:val="0"/>
              <w:marTop w:val="0"/>
              <w:marBottom w:val="0"/>
              <w:divBdr>
                <w:top w:val="none" w:sz="0" w:space="0" w:color="auto"/>
                <w:left w:val="none" w:sz="0" w:space="0" w:color="auto"/>
                <w:bottom w:val="none" w:sz="0" w:space="0" w:color="auto"/>
                <w:right w:val="none" w:sz="0" w:space="0" w:color="auto"/>
              </w:divBdr>
            </w:div>
            <w:div w:id="874805337">
              <w:marLeft w:val="0"/>
              <w:marRight w:val="0"/>
              <w:marTop w:val="0"/>
              <w:marBottom w:val="0"/>
              <w:divBdr>
                <w:top w:val="none" w:sz="0" w:space="0" w:color="auto"/>
                <w:left w:val="none" w:sz="0" w:space="0" w:color="auto"/>
                <w:bottom w:val="none" w:sz="0" w:space="0" w:color="auto"/>
                <w:right w:val="none" w:sz="0" w:space="0" w:color="auto"/>
              </w:divBdr>
            </w:div>
            <w:div w:id="880093501">
              <w:marLeft w:val="0"/>
              <w:marRight w:val="0"/>
              <w:marTop w:val="0"/>
              <w:marBottom w:val="0"/>
              <w:divBdr>
                <w:top w:val="none" w:sz="0" w:space="0" w:color="auto"/>
                <w:left w:val="none" w:sz="0" w:space="0" w:color="auto"/>
                <w:bottom w:val="none" w:sz="0" w:space="0" w:color="auto"/>
                <w:right w:val="none" w:sz="0" w:space="0" w:color="auto"/>
              </w:divBdr>
            </w:div>
            <w:div w:id="894198422">
              <w:marLeft w:val="0"/>
              <w:marRight w:val="0"/>
              <w:marTop w:val="0"/>
              <w:marBottom w:val="0"/>
              <w:divBdr>
                <w:top w:val="none" w:sz="0" w:space="0" w:color="auto"/>
                <w:left w:val="none" w:sz="0" w:space="0" w:color="auto"/>
                <w:bottom w:val="none" w:sz="0" w:space="0" w:color="auto"/>
                <w:right w:val="none" w:sz="0" w:space="0" w:color="auto"/>
              </w:divBdr>
            </w:div>
            <w:div w:id="906381025">
              <w:marLeft w:val="0"/>
              <w:marRight w:val="0"/>
              <w:marTop w:val="0"/>
              <w:marBottom w:val="0"/>
              <w:divBdr>
                <w:top w:val="none" w:sz="0" w:space="0" w:color="auto"/>
                <w:left w:val="none" w:sz="0" w:space="0" w:color="auto"/>
                <w:bottom w:val="none" w:sz="0" w:space="0" w:color="auto"/>
                <w:right w:val="none" w:sz="0" w:space="0" w:color="auto"/>
              </w:divBdr>
            </w:div>
            <w:div w:id="929891780">
              <w:marLeft w:val="0"/>
              <w:marRight w:val="0"/>
              <w:marTop w:val="0"/>
              <w:marBottom w:val="0"/>
              <w:divBdr>
                <w:top w:val="none" w:sz="0" w:space="0" w:color="auto"/>
                <w:left w:val="none" w:sz="0" w:space="0" w:color="auto"/>
                <w:bottom w:val="none" w:sz="0" w:space="0" w:color="auto"/>
                <w:right w:val="none" w:sz="0" w:space="0" w:color="auto"/>
              </w:divBdr>
            </w:div>
            <w:div w:id="976569503">
              <w:marLeft w:val="0"/>
              <w:marRight w:val="0"/>
              <w:marTop w:val="0"/>
              <w:marBottom w:val="0"/>
              <w:divBdr>
                <w:top w:val="none" w:sz="0" w:space="0" w:color="auto"/>
                <w:left w:val="none" w:sz="0" w:space="0" w:color="auto"/>
                <w:bottom w:val="none" w:sz="0" w:space="0" w:color="auto"/>
                <w:right w:val="none" w:sz="0" w:space="0" w:color="auto"/>
              </w:divBdr>
            </w:div>
            <w:div w:id="976760912">
              <w:marLeft w:val="0"/>
              <w:marRight w:val="0"/>
              <w:marTop w:val="0"/>
              <w:marBottom w:val="0"/>
              <w:divBdr>
                <w:top w:val="none" w:sz="0" w:space="0" w:color="auto"/>
                <w:left w:val="none" w:sz="0" w:space="0" w:color="auto"/>
                <w:bottom w:val="none" w:sz="0" w:space="0" w:color="auto"/>
                <w:right w:val="none" w:sz="0" w:space="0" w:color="auto"/>
              </w:divBdr>
            </w:div>
            <w:div w:id="1013186579">
              <w:marLeft w:val="0"/>
              <w:marRight w:val="0"/>
              <w:marTop w:val="0"/>
              <w:marBottom w:val="0"/>
              <w:divBdr>
                <w:top w:val="none" w:sz="0" w:space="0" w:color="auto"/>
                <w:left w:val="none" w:sz="0" w:space="0" w:color="auto"/>
                <w:bottom w:val="none" w:sz="0" w:space="0" w:color="auto"/>
                <w:right w:val="none" w:sz="0" w:space="0" w:color="auto"/>
              </w:divBdr>
            </w:div>
            <w:div w:id="1038314882">
              <w:marLeft w:val="0"/>
              <w:marRight w:val="0"/>
              <w:marTop w:val="0"/>
              <w:marBottom w:val="0"/>
              <w:divBdr>
                <w:top w:val="none" w:sz="0" w:space="0" w:color="auto"/>
                <w:left w:val="none" w:sz="0" w:space="0" w:color="auto"/>
                <w:bottom w:val="none" w:sz="0" w:space="0" w:color="auto"/>
                <w:right w:val="none" w:sz="0" w:space="0" w:color="auto"/>
              </w:divBdr>
            </w:div>
            <w:div w:id="1046681514">
              <w:marLeft w:val="0"/>
              <w:marRight w:val="0"/>
              <w:marTop w:val="0"/>
              <w:marBottom w:val="0"/>
              <w:divBdr>
                <w:top w:val="none" w:sz="0" w:space="0" w:color="auto"/>
                <w:left w:val="none" w:sz="0" w:space="0" w:color="auto"/>
                <w:bottom w:val="none" w:sz="0" w:space="0" w:color="auto"/>
                <w:right w:val="none" w:sz="0" w:space="0" w:color="auto"/>
              </w:divBdr>
            </w:div>
            <w:div w:id="1047336719">
              <w:marLeft w:val="0"/>
              <w:marRight w:val="0"/>
              <w:marTop w:val="0"/>
              <w:marBottom w:val="0"/>
              <w:divBdr>
                <w:top w:val="none" w:sz="0" w:space="0" w:color="auto"/>
                <w:left w:val="none" w:sz="0" w:space="0" w:color="auto"/>
                <w:bottom w:val="none" w:sz="0" w:space="0" w:color="auto"/>
                <w:right w:val="none" w:sz="0" w:space="0" w:color="auto"/>
              </w:divBdr>
            </w:div>
            <w:div w:id="1053851198">
              <w:marLeft w:val="0"/>
              <w:marRight w:val="0"/>
              <w:marTop w:val="0"/>
              <w:marBottom w:val="0"/>
              <w:divBdr>
                <w:top w:val="none" w:sz="0" w:space="0" w:color="auto"/>
                <w:left w:val="none" w:sz="0" w:space="0" w:color="auto"/>
                <w:bottom w:val="none" w:sz="0" w:space="0" w:color="auto"/>
                <w:right w:val="none" w:sz="0" w:space="0" w:color="auto"/>
              </w:divBdr>
            </w:div>
            <w:div w:id="1062825814">
              <w:marLeft w:val="0"/>
              <w:marRight w:val="0"/>
              <w:marTop w:val="0"/>
              <w:marBottom w:val="0"/>
              <w:divBdr>
                <w:top w:val="none" w:sz="0" w:space="0" w:color="auto"/>
                <w:left w:val="none" w:sz="0" w:space="0" w:color="auto"/>
                <w:bottom w:val="none" w:sz="0" w:space="0" w:color="auto"/>
                <w:right w:val="none" w:sz="0" w:space="0" w:color="auto"/>
              </w:divBdr>
            </w:div>
            <w:div w:id="1090858901">
              <w:marLeft w:val="0"/>
              <w:marRight w:val="0"/>
              <w:marTop w:val="0"/>
              <w:marBottom w:val="0"/>
              <w:divBdr>
                <w:top w:val="none" w:sz="0" w:space="0" w:color="auto"/>
                <w:left w:val="none" w:sz="0" w:space="0" w:color="auto"/>
                <w:bottom w:val="none" w:sz="0" w:space="0" w:color="auto"/>
                <w:right w:val="none" w:sz="0" w:space="0" w:color="auto"/>
              </w:divBdr>
            </w:div>
            <w:div w:id="1114593310">
              <w:marLeft w:val="0"/>
              <w:marRight w:val="0"/>
              <w:marTop w:val="0"/>
              <w:marBottom w:val="0"/>
              <w:divBdr>
                <w:top w:val="none" w:sz="0" w:space="0" w:color="auto"/>
                <w:left w:val="none" w:sz="0" w:space="0" w:color="auto"/>
                <w:bottom w:val="none" w:sz="0" w:space="0" w:color="auto"/>
                <w:right w:val="none" w:sz="0" w:space="0" w:color="auto"/>
              </w:divBdr>
            </w:div>
            <w:div w:id="1119684630">
              <w:marLeft w:val="0"/>
              <w:marRight w:val="0"/>
              <w:marTop w:val="0"/>
              <w:marBottom w:val="0"/>
              <w:divBdr>
                <w:top w:val="none" w:sz="0" w:space="0" w:color="auto"/>
                <w:left w:val="none" w:sz="0" w:space="0" w:color="auto"/>
                <w:bottom w:val="none" w:sz="0" w:space="0" w:color="auto"/>
                <w:right w:val="none" w:sz="0" w:space="0" w:color="auto"/>
              </w:divBdr>
            </w:div>
            <w:div w:id="1143086706">
              <w:marLeft w:val="0"/>
              <w:marRight w:val="0"/>
              <w:marTop w:val="0"/>
              <w:marBottom w:val="0"/>
              <w:divBdr>
                <w:top w:val="none" w:sz="0" w:space="0" w:color="auto"/>
                <w:left w:val="none" w:sz="0" w:space="0" w:color="auto"/>
                <w:bottom w:val="none" w:sz="0" w:space="0" w:color="auto"/>
                <w:right w:val="none" w:sz="0" w:space="0" w:color="auto"/>
              </w:divBdr>
            </w:div>
            <w:div w:id="1168402774">
              <w:marLeft w:val="0"/>
              <w:marRight w:val="0"/>
              <w:marTop w:val="0"/>
              <w:marBottom w:val="0"/>
              <w:divBdr>
                <w:top w:val="none" w:sz="0" w:space="0" w:color="auto"/>
                <w:left w:val="none" w:sz="0" w:space="0" w:color="auto"/>
                <w:bottom w:val="none" w:sz="0" w:space="0" w:color="auto"/>
                <w:right w:val="none" w:sz="0" w:space="0" w:color="auto"/>
              </w:divBdr>
            </w:div>
            <w:div w:id="1170293639">
              <w:marLeft w:val="0"/>
              <w:marRight w:val="0"/>
              <w:marTop w:val="0"/>
              <w:marBottom w:val="0"/>
              <w:divBdr>
                <w:top w:val="none" w:sz="0" w:space="0" w:color="auto"/>
                <w:left w:val="none" w:sz="0" w:space="0" w:color="auto"/>
                <w:bottom w:val="none" w:sz="0" w:space="0" w:color="auto"/>
                <w:right w:val="none" w:sz="0" w:space="0" w:color="auto"/>
              </w:divBdr>
            </w:div>
            <w:div w:id="1186090216">
              <w:marLeft w:val="0"/>
              <w:marRight w:val="0"/>
              <w:marTop w:val="0"/>
              <w:marBottom w:val="0"/>
              <w:divBdr>
                <w:top w:val="none" w:sz="0" w:space="0" w:color="auto"/>
                <w:left w:val="none" w:sz="0" w:space="0" w:color="auto"/>
                <w:bottom w:val="none" w:sz="0" w:space="0" w:color="auto"/>
                <w:right w:val="none" w:sz="0" w:space="0" w:color="auto"/>
              </w:divBdr>
            </w:div>
            <w:div w:id="1186556184">
              <w:marLeft w:val="0"/>
              <w:marRight w:val="0"/>
              <w:marTop w:val="0"/>
              <w:marBottom w:val="0"/>
              <w:divBdr>
                <w:top w:val="none" w:sz="0" w:space="0" w:color="auto"/>
                <w:left w:val="none" w:sz="0" w:space="0" w:color="auto"/>
                <w:bottom w:val="none" w:sz="0" w:space="0" w:color="auto"/>
                <w:right w:val="none" w:sz="0" w:space="0" w:color="auto"/>
              </w:divBdr>
            </w:div>
            <w:div w:id="1231305800">
              <w:marLeft w:val="0"/>
              <w:marRight w:val="0"/>
              <w:marTop w:val="0"/>
              <w:marBottom w:val="0"/>
              <w:divBdr>
                <w:top w:val="none" w:sz="0" w:space="0" w:color="auto"/>
                <w:left w:val="none" w:sz="0" w:space="0" w:color="auto"/>
                <w:bottom w:val="none" w:sz="0" w:space="0" w:color="auto"/>
                <w:right w:val="none" w:sz="0" w:space="0" w:color="auto"/>
              </w:divBdr>
            </w:div>
            <w:div w:id="1250309712">
              <w:marLeft w:val="0"/>
              <w:marRight w:val="0"/>
              <w:marTop w:val="0"/>
              <w:marBottom w:val="0"/>
              <w:divBdr>
                <w:top w:val="none" w:sz="0" w:space="0" w:color="auto"/>
                <w:left w:val="none" w:sz="0" w:space="0" w:color="auto"/>
                <w:bottom w:val="none" w:sz="0" w:space="0" w:color="auto"/>
                <w:right w:val="none" w:sz="0" w:space="0" w:color="auto"/>
              </w:divBdr>
            </w:div>
            <w:div w:id="1280995442">
              <w:marLeft w:val="0"/>
              <w:marRight w:val="0"/>
              <w:marTop w:val="0"/>
              <w:marBottom w:val="0"/>
              <w:divBdr>
                <w:top w:val="none" w:sz="0" w:space="0" w:color="auto"/>
                <w:left w:val="none" w:sz="0" w:space="0" w:color="auto"/>
                <w:bottom w:val="none" w:sz="0" w:space="0" w:color="auto"/>
                <w:right w:val="none" w:sz="0" w:space="0" w:color="auto"/>
              </w:divBdr>
            </w:div>
            <w:div w:id="1283070687">
              <w:marLeft w:val="0"/>
              <w:marRight w:val="0"/>
              <w:marTop w:val="0"/>
              <w:marBottom w:val="0"/>
              <w:divBdr>
                <w:top w:val="none" w:sz="0" w:space="0" w:color="auto"/>
                <w:left w:val="none" w:sz="0" w:space="0" w:color="auto"/>
                <w:bottom w:val="none" w:sz="0" w:space="0" w:color="auto"/>
                <w:right w:val="none" w:sz="0" w:space="0" w:color="auto"/>
              </w:divBdr>
            </w:div>
            <w:div w:id="1341851585">
              <w:marLeft w:val="0"/>
              <w:marRight w:val="0"/>
              <w:marTop w:val="0"/>
              <w:marBottom w:val="0"/>
              <w:divBdr>
                <w:top w:val="none" w:sz="0" w:space="0" w:color="auto"/>
                <w:left w:val="none" w:sz="0" w:space="0" w:color="auto"/>
                <w:bottom w:val="none" w:sz="0" w:space="0" w:color="auto"/>
                <w:right w:val="none" w:sz="0" w:space="0" w:color="auto"/>
              </w:divBdr>
            </w:div>
            <w:div w:id="1351909244">
              <w:marLeft w:val="0"/>
              <w:marRight w:val="0"/>
              <w:marTop w:val="0"/>
              <w:marBottom w:val="0"/>
              <w:divBdr>
                <w:top w:val="none" w:sz="0" w:space="0" w:color="auto"/>
                <w:left w:val="none" w:sz="0" w:space="0" w:color="auto"/>
                <w:bottom w:val="none" w:sz="0" w:space="0" w:color="auto"/>
                <w:right w:val="none" w:sz="0" w:space="0" w:color="auto"/>
              </w:divBdr>
            </w:div>
            <w:div w:id="1375351187">
              <w:marLeft w:val="0"/>
              <w:marRight w:val="0"/>
              <w:marTop w:val="0"/>
              <w:marBottom w:val="0"/>
              <w:divBdr>
                <w:top w:val="none" w:sz="0" w:space="0" w:color="auto"/>
                <w:left w:val="none" w:sz="0" w:space="0" w:color="auto"/>
                <w:bottom w:val="none" w:sz="0" w:space="0" w:color="auto"/>
                <w:right w:val="none" w:sz="0" w:space="0" w:color="auto"/>
              </w:divBdr>
            </w:div>
            <w:div w:id="1382560291">
              <w:marLeft w:val="0"/>
              <w:marRight w:val="0"/>
              <w:marTop w:val="0"/>
              <w:marBottom w:val="0"/>
              <w:divBdr>
                <w:top w:val="none" w:sz="0" w:space="0" w:color="auto"/>
                <w:left w:val="none" w:sz="0" w:space="0" w:color="auto"/>
                <w:bottom w:val="none" w:sz="0" w:space="0" w:color="auto"/>
                <w:right w:val="none" w:sz="0" w:space="0" w:color="auto"/>
              </w:divBdr>
            </w:div>
            <w:div w:id="1387334667">
              <w:marLeft w:val="0"/>
              <w:marRight w:val="0"/>
              <w:marTop w:val="0"/>
              <w:marBottom w:val="0"/>
              <w:divBdr>
                <w:top w:val="none" w:sz="0" w:space="0" w:color="auto"/>
                <w:left w:val="none" w:sz="0" w:space="0" w:color="auto"/>
                <w:bottom w:val="none" w:sz="0" w:space="0" w:color="auto"/>
                <w:right w:val="none" w:sz="0" w:space="0" w:color="auto"/>
              </w:divBdr>
            </w:div>
            <w:div w:id="1400784665">
              <w:marLeft w:val="0"/>
              <w:marRight w:val="0"/>
              <w:marTop w:val="0"/>
              <w:marBottom w:val="0"/>
              <w:divBdr>
                <w:top w:val="none" w:sz="0" w:space="0" w:color="auto"/>
                <w:left w:val="none" w:sz="0" w:space="0" w:color="auto"/>
                <w:bottom w:val="none" w:sz="0" w:space="0" w:color="auto"/>
                <w:right w:val="none" w:sz="0" w:space="0" w:color="auto"/>
              </w:divBdr>
            </w:div>
            <w:div w:id="1445274622">
              <w:marLeft w:val="0"/>
              <w:marRight w:val="0"/>
              <w:marTop w:val="0"/>
              <w:marBottom w:val="0"/>
              <w:divBdr>
                <w:top w:val="none" w:sz="0" w:space="0" w:color="auto"/>
                <w:left w:val="none" w:sz="0" w:space="0" w:color="auto"/>
                <w:bottom w:val="none" w:sz="0" w:space="0" w:color="auto"/>
                <w:right w:val="none" w:sz="0" w:space="0" w:color="auto"/>
              </w:divBdr>
            </w:div>
            <w:div w:id="1474058878">
              <w:marLeft w:val="0"/>
              <w:marRight w:val="0"/>
              <w:marTop w:val="0"/>
              <w:marBottom w:val="0"/>
              <w:divBdr>
                <w:top w:val="none" w:sz="0" w:space="0" w:color="auto"/>
                <w:left w:val="none" w:sz="0" w:space="0" w:color="auto"/>
                <w:bottom w:val="none" w:sz="0" w:space="0" w:color="auto"/>
                <w:right w:val="none" w:sz="0" w:space="0" w:color="auto"/>
              </w:divBdr>
            </w:div>
            <w:div w:id="1500462439">
              <w:marLeft w:val="0"/>
              <w:marRight w:val="0"/>
              <w:marTop w:val="0"/>
              <w:marBottom w:val="0"/>
              <w:divBdr>
                <w:top w:val="none" w:sz="0" w:space="0" w:color="auto"/>
                <w:left w:val="none" w:sz="0" w:space="0" w:color="auto"/>
                <w:bottom w:val="none" w:sz="0" w:space="0" w:color="auto"/>
                <w:right w:val="none" w:sz="0" w:space="0" w:color="auto"/>
              </w:divBdr>
            </w:div>
            <w:div w:id="1522822253">
              <w:marLeft w:val="0"/>
              <w:marRight w:val="0"/>
              <w:marTop w:val="0"/>
              <w:marBottom w:val="0"/>
              <w:divBdr>
                <w:top w:val="none" w:sz="0" w:space="0" w:color="auto"/>
                <w:left w:val="none" w:sz="0" w:space="0" w:color="auto"/>
                <w:bottom w:val="none" w:sz="0" w:space="0" w:color="auto"/>
                <w:right w:val="none" w:sz="0" w:space="0" w:color="auto"/>
              </w:divBdr>
            </w:div>
            <w:div w:id="1543783896">
              <w:marLeft w:val="0"/>
              <w:marRight w:val="0"/>
              <w:marTop w:val="0"/>
              <w:marBottom w:val="0"/>
              <w:divBdr>
                <w:top w:val="none" w:sz="0" w:space="0" w:color="auto"/>
                <w:left w:val="none" w:sz="0" w:space="0" w:color="auto"/>
                <w:bottom w:val="none" w:sz="0" w:space="0" w:color="auto"/>
                <w:right w:val="none" w:sz="0" w:space="0" w:color="auto"/>
              </w:divBdr>
            </w:div>
            <w:div w:id="1563324543">
              <w:marLeft w:val="0"/>
              <w:marRight w:val="0"/>
              <w:marTop w:val="0"/>
              <w:marBottom w:val="0"/>
              <w:divBdr>
                <w:top w:val="none" w:sz="0" w:space="0" w:color="auto"/>
                <w:left w:val="none" w:sz="0" w:space="0" w:color="auto"/>
                <w:bottom w:val="none" w:sz="0" w:space="0" w:color="auto"/>
                <w:right w:val="none" w:sz="0" w:space="0" w:color="auto"/>
              </w:divBdr>
            </w:div>
            <w:div w:id="1569800295">
              <w:marLeft w:val="0"/>
              <w:marRight w:val="0"/>
              <w:marTop w:val="0"/>
              <w:marBottom w:val="0"/>
              <w:divBdr>
                <w:top w:val="none" w:sz="0" w:space="0" w:color="auto"/>
                <w:left w:val="none" w:sz="0" w:space="0" w:color="auto"/>
                <w:bottom w:val="none" w:sz="0" w:space="0" w:color="auto"/>
                <w:right w:val="none" w:sz="0" w:space="0" w:color="auto"/>
              </w:divBdr>
            </w:div>
            <w:div w:id="1580093653">
              <w:marLeft w:val="0"/>
              <w:marRight w:val="0"/>
              <w:marTop w:val="0"/>
              <w:marBottom w:val="0"/>
              <w:divBdr>
                <w:top w:val="none" w:sz="0" w:space="0" w:color="auto"/>
                <w:left w:val="none" w:sz="0" w:space="0" w:color="auto"/>
                <w:bottom w:val="none" w:sz="0" w:space="0" w:color="auto"/>
                <w:right w:val="none" w:sz="0" w:space="0" w:color="auto"/>
              </w:divBdr>
            </w:div>
            <w:div w:id="1605722711">
              <w:marLeft w:val="0"/>
              <w:marRight w:val="0"/>
              <w:marTop w:val="0"/>
              <w:marBottom w:val="0"/>
              <w:divBdr>
                <w:top w:val="none" w:sz="0" w:space="0" w:color="auto"/>
                <w:left w:val="none" w:sz="0" w:space="0" w:color="auto"/>
                <w:bottom w:val="none" w:sz="0" w:space="0" w:color="auto"/>
                <w:right w:val="none" w:sz="0" w:space="0" w:color="auto"/>
              </w:divBdr>
            </w:div>
            <w:div w:id="1642802466">
              <w:marLeft w:val="0"/>
              <w:marRight w:val="0"/>
              <w:marTop w:val="0"/>
              <w:marBottom w:val="0"/>
              <w:divBdr>
                <w:top w:val="none" w:sz="0" w:space="0" w:color="auto"/>
                <w:left w:val="none" w:sz="0" w:space="0" w:color="auto"/>
                <w:bottom w:val="none" w:sz="0" w:space="0" w:color="auto"/>
                <w:right w:val="none" w:sz="0" w:space="0" w:color="auto"/>
              </w:divBdr>
            </w:div>
            <w:div w:id="1675566929">
              <w:marLeft w:val="0"/>
              <w:marRight w:val="0"/>
              <w:marTop w:val="0"/>
              <w:marBottom w:val="0"/>
              <w:divBdr>
                <w:top w:val="none" w:sz="0" w:space="0" w:color="auto"/>
                <w:left w:val="none" w:sz="0" w:space="0" w:color="auto"/>
                <w:bottom w:val="none" w:sz="0" w:space="0" w:color="auto"/>
                <w:right w:val="none" w:sz="0" w:space="0" w:color="auto"/>
              </w:divBdr>
            </w:div>
            <w:div w:id="1678923855">
              <w:marLeft w:val="0"/>
              <w:marRight w:val="0"/>
              <w:marTop w:val="0"/>
              <w:marBottom w:val="0"/>
              <w:divBdr>
                <w:top w:val="none" w:sz="0" w:space="0" w:color="auto"/>
                <w:left w:val="none" w:sz="0" w:space="0" w:color="auto"/>
                <w:bottom w:val="none" w:sz="0" w:space="0" w:color="auto"/>
                <w:right w:val="none" w:sz="0" w:space="0" w:color="auto"/>
              </w:divBdr>
            </w:div>
            <w:div w:id="1679841738">
              <w:marLeft w:val="0"/>
              <w:marRight w:val="0"/>
              <w:marTop w:val="0"/>
              <w:marBottom w:val="0"/>
              <w:divBdr>
                <w:top w:val="none" w:sz="0" w:space="0" w:color="auto"/>
                <w:left w:val="none" w:sz="0" w:space="0" w:color="auto"/>
                <w:bottom w:val="none" w:sz="0" w:space="0" w:color="auto"/>
                <w:right w:val="none" w:sz="0" w:space="0" w:color="auto"/>
              </w:divBdr>
            </w:div>
            <w:div w:id="1719161349">
              <w:marLeft w:val="0"/>
              <w:marRight w:val="0"/>
              <w:marTop w:val="0"/>
              <w:marBottom w:val="0"/>
              <w:divBdr>
                <w:top w:val="none" w:sz="0" w:space="0" w:color="auto"/>
                <w:left w:val="none" w:sz="0" w:space="0" w:color="auto"/>
                <w:bottom w:val="none" w:sz="0" w:space="0" w:color="auto"/>
                <w:right w:val="none" w:sz="0" w:space="0" w:color="auto"/>
              </w:divBdr>
            </w:div>
            <w:div w:id="1772122684">
              <w:marLeft w:val="0"/>
              <w:marRight w:val="0"/>
              <w:marTop w:val="0"/>
              <w:marBottom w:val="0"/>
              <w:divBdr>
                <w:top w:val="none" w:sz="0" w:space="0" w:color="auto"/>
                <w:left w:val="none" w:sz="0" w:space="0" w:color="auto"/>
                <w:bottom w:val="none" w:sz="0" w:space="0" w:color="auto"/>
                <w:right w:val="none" w:sz="0" w:space="0" w:color="auto"/>
              </w:divBdr>
            </w:div>
            <w:div w:id="1783840676">
              <w:marLeft w:val="0"/>
              <w:marRight w:val="0"/>
              <w:marTop w:val="0"/>
              <w:marBottom w:val="0"/>
              <w:divBdr>
                <w:top w:val="none" w:sz="0" w:space="0" w:color="auto"/>
                <w:left w:val="none" w:sz="0" w:space="0" w:color="auto"/>
                <w:bottom w:val="none" w:sz="0" w:space="0" w:color="auto"/>
                <w:right w:val="none" w:sz="0" w:space="0" w:color="auto"/>
              </w:divBdr>
            </w:div>
            <w:div w:id="1788811442">
              <w:marLeft w:val="0"/>
              <w:marRight w:val="0"/>
              <w:marTop w:val="0"/>
              <w:marBottom w:val="0"/>
              <w:divBdr>
                <w:top w:val="none" w:sz="0" w:space="0" w:color="auto"/>
                <w:left w:val="none" w:sz="0" w:space="0" w:color="auto"/>
                <w:bottom w:val="none" w:sz="0" w:space="0" w:color="auto"/>
                <w:right w:val="none" w:sz="0" w:space="0" w:color="auto"/>
              </w:divBdr>
            </w:div>
            <w:div w:id="1808693594">
              <w:marLeft w:val="0"/>
              <w:marRight w:val="0"/>
              <w:marTop w:val="0"/>
              <w:marBottom w:val="0"/>
              <w:divBdr>
                <w:top w:val="none" w:sz="0" w:space="0" w:color="auto"/>
                <w:left w:val="none" w:sz="0" w:space="0" w:color="auto"/>
                <w:bottom w:val="none" w:sz="0" w:space="0" w:color="auto"/>
                <w:right w:val="none" w:sz="0" w:space="0" w:color="auto"/>
              </w:divBdr>
            </w:div>
            <w:div w:id="1809592360">
              <w:marLeft w:val="0"/>
              <w:marRight w:val="0"/>
              <w:marTop w:val="0"/>
              <w:marBottom w:val="0"/>
              <w:divBdr>
                <w:top w:val="none" w:sz="0" w:space="0" w:color="auto"/>
                <w:left w:val="none" w:sz="0" w:space="0" w:color="auto"/>
                <w:bottom w:val="none" w:sz="0" w:space="0" w:color="auto"/>
                <w:right w:val="none" w:sz="0" w:space="0" w:color="auto"/>
              </w:divBdr>
            </w:div>
            <w:div w:id="1821577969">
              <w:marLeft w:val="0"/>
              <w:marRight w:val="0"/>
              <w:marTop w:val="0"/>
              <w:marBottom w:val="0"/>
              <w:divBdr>
                <w:top w:val="none" w:sz="0" w:space="0" w:color="auto"/>
                <w:left w:val="none" w:sz="0" w:space="0" w:color="auto"/>
                <w:bottom w:val="none" w:sz="0" w:space="0" w:color="auto"/>
                <w:right w:val="none" w:sz="0" w:space="0" w:color="auto"/>
              </w:divBdr>
            </w:div>
            <w:div w:id="1836605458">
              <w:marLeft w:val="0"/>
              <w:marRight w:val="0"/>
              <w:marTop w:val="0"/>
              <w:marBottom w:val="0"/>
              <w:divBdr>
                <w:top w:val="none" w:sz="0" w:space="0" w:color="auto"/>
                <w:left w:val="none" w:sz="0" w:space="0" w:color="auto"/>
                <w:bottom w:val="none" w:sz="0" w:space="0" w:color="auto"/>
                <w:right w:val="none" w:sz="0" w:space="0" w:color="auto"/>
              </w:divBdr>
            </w:div>
            <w:div w:id="1864708815">
              <w:marLeft w:val="0"/>
              <w:marRight w:val="0"/>
              <w:marTop w:val="0"/>
              <w:marBottom w:val="0"/>
              <w:divBdr>
                <w:top w:val="none" w:sz="0" w:space="0" w:color="auto"/>
                <w:left w:val="none" w:sz="0" w:space="0" w:color="auto"/>
                <w:bottom w:val="none" w:sz="0" w:space="0" w:color="auto"/>
                <w:right w:val="none" w:sz="0" w:space="0" w:color="auto"/>
              </w:divBdr>
            </w:div>
            <w:div w:id="1870218553">
              <w:marLeft w:val="0"/>
              <w:marRight w:val="0"/>
              <w:marTop w:val="0"/>
              <w:marBottom w:val="0"/>
              <w:divBdr>
                <w:top w:val="none" w:sz="0" w:space="0" w:color="auto"/>
                <w:left w:val="none" w:sz="0" w:space="0" w:color="auto"/>
                <w:bottom w:val="none" w:sz="0" w:space="0" w:color="auto"/>
                <w:right w:val="none" w:sz="0" w:space="0" w:color="auto"/>
              </w:divBdr>
            </w:div>
            <w:div w:id="1878158440">
              <w:marLeft w:val="0"/>
              <w:marRight w:val="0"/>
              <w:marTop w:val="0"/>
              <w:marBottom w:val="0"/>
              <w:divBdr>
                <w:top w:val="none" w:sz="0" w:space="0" w:color="auto"/>
                <w:left w:val="none" w:sz="0" w:space="0" w:color="auto"/>
                <w:bottom w:val="none" w:sz="0" w:space="0" w:color="auto"/>
                <w:right w:val="none" w:sz="0" w:space="0" w:color="auto"/>
              </w:divBdr>
            </w:div>
            <w:div w:id="1883133592">
              <w:marLeft w:val="0"/>
              <w:marRight w:val="0"/>
              <w:marTop w:val="0"/>
              <w:marBottom w:val="0"/>
              <w:divBdr>
                <w:top w:val="none" w:sz="0" w:space="0" w:color="auto"/>
                <w:left w:val="none" w:sz="0" w:space="0" w:color="auto"/>
                <w:bottom w:val="none" w:sz="0" w:space="0" w:color="auto"/>
                <w:right w:val="none" w:sz="0" w:space="0" w:color="auto"/>
              </w:divBdr>
            </w:div>
            <w:div w:id="1883983170">
              <w:marLeft w:val="0"/>
              <w:marRight w:val="0"/>
              <w:marTop w:val="0"/>
              <w:marBottom w:val="0"/>
              <w:divBdr>
                <w:top w:val="none" w:sz="0" w:space="0" w:color="auto"/>
                <w:left w:val="none" w:sz="0" w:space="0" w:color="auto"/>
                <w:bottom w:val="none" w:sz="0" w:space="0" w:color="auto"/>
                <w:right w:val="none" w:sz="0" w:space="0" w:color="auto"/>
              </w:divBdr>
            </w:div>
            <w:div w:id="1894150833">
              <w:marLeft w:val="0"/>
              <w:marRight w:val="0"/>
              <w:marTop w:val="0"/>
              <w:marBottom w:val="0"/>
              <w:divBdr>
                <w:top w:val="none" w:sz="0" w:space="0" w:color="auto"/>
                <w:left w:val="none" w:sz="0" w:space="0" w:color="auto"/>
                <w:bottom w:val="none" w:sz="0" w:space="0" w:color="auto"/>
                <w:right w:val="none" w:sz="0" w:space="0" w:color="auto"/>
              </w:divBdr>
            </w:div>
            <w:div w:id="1910654163">
              <w:marLeft w:val="0"/>
              <w:marRight w:val="0"/>
              <w:marTop w:val="0"/>
              <w:marBottom w:val="0"/>
              <w:divBdr>
                <w:top w:val="none" w:sz="0" w:space="0" w:color="auto"/>
                <w:left w:val="none" w:sz="0" w:space="0" w:color="auto"/>
                <w:bottom w:val="none" w:sz="0" w:space="0" w:color="auto"/>
                <w:right w:val="none" w:sz="0" w:space="0" w:color="auto"/>
              </w:divBdr>
            </w:div>
            <w:div w:id="1925147483">
              <w:marLeft w:val="0"/>
              <w:marRight w:val="0"/>
              <w:marTop w:val="0"/>
              <w:marBottom w:val="0"/>
              <w:divBdr>
                <w:top w:val="none" w:sz="0" w:space="0" w:color="auto"/>
                <w:left w:val="none" w:sz="0" w:space="0" w:color="auto"/>
                <w:bottom w:val="none" w:sz="0" w:space="0" w:color="auto"/>
                <w:right w:val="none" w:sz="0" w:space="0" w:color="auto"/>
              </w:divBdr>
            </w:div>
            <w:div w:id="1927300850">
              <w:marLeft w:val="0"/>
              <w:marRight w:val="0"/>
              <w:marTop w:val="0"/>
              <w:marBottom w:val="0"/>
              <w:divBdr>
                <w:top w:val="none" w:sz="0" w:space="0" w:color="auto"/>
                <w:left w:val="none" w:sz="0" w:space="0" w:color="auto"/>
                <w:bottom w:val="none" w:sz="0" w:space="0" w:color="auto"/>
                <w:right w:val="none" w:sz="0" w:space="0" w:color="auto"/>
              </w:divBdr>
            </w:div>
            <w:div w:id="1962414019">
              <w:marLeft w:val="0"/>
              <w:marRight w:val="0"/>
              <w:marTop w:val="0"/>
              <w:marBottom w:val="0"/>
              <w:divBdr>
                <w:top w:val="none" w:sz="0" w:space="0" w:color="auto"/>
                <w:left w:val="none" w:sz="0" w:space="0" w:color="auto"/>
                <w:bottom w:val="none" w:sz="0" w:space="0" w:color="auto"/>
                <w:right w:val="none" w:sz="0" w:space="0" w:color="auto"/>
              </w:divBdr>
            </w:div>
            <w:div w:id="1967662530">
              <w:marLeft w:val="0"/>
              <w:marRight w:val="0"/>
              <w:marTop w:val="0"/>
              <w:marBottom w:val="0"/>
              <w:divBdr>
                <w:top w:val="none" w:sz="0" w:space="0" w:color="auto"/>
                <w:left w:val="none" w:sz="0" w:space="0" w:color="auto"/>
                <w:bottom w:val="none" w:sz="0" w:space="0" w:color="auto"/>
                <w:right w:val="none" w:sz="0" w:space="0" w:color="auto"/>
              </w:divBdr>
            </w:div>
            <w:div w:id="1987659483">
              <w:marLeft w:val="0"/>
              <w:marRight w:val="0"/>
              <w:marTop w:val="0"/>
              <w:marBottom w:val="0"/>
              <w:divBdr>
                <w:top w:val="none" w:sz="0" w:space="0" w:color="auto"/>
                <w:left w:val="none" w:sz="0" w:space="0" w:color="auto"/>
                <w:bottom w:val="none" w:sz="0" w:space="0" w:color="auto"/>
                <w:right w:val="none" w:sz="0" w:space="0" w:color="auto"/>
              </w:divBdr>
            </w:div>
            <w:div w:id="2075465944">
              <w:marLeft w:val="0"/>
              <w:marRight w:val="0"/>
              <w:marTop w:val="0"/>
              <w:marBottom w:val="0"/>
              <w:divBdr>
                <w:top w:val="none" w:sz="0" w:space="0" w:color="auto"/>
                <w:left w:val="none" w:sz="0" w:space="0" w:color="auto"/>
                <w:bottom w:val="none" w:sz="0" w:space="0" w:color="auto"/>
                <w:right w:val="none" w:sz="0" w:space="0" w:color="auto"/>
              </w:divBdr>
            </w:div>
            <w:div w:id="2081362354">
              <w:marLeft w:val="0"/>
              <w:marRight w:val="0"/>
              <w:marTop w:val="0"/>
              <w:marBottom w:val="0"/>
              <w:divBdr>
                <w:top w:val="none" w:sz="0" w:space="0" w:color="auto"/>
                <w:left w:val="none" w:sz="0" w:space="0" w:color="auto"/>
                <w:bottom w:val="none" w:sz="0" w:space="0" w:color="auto"/>
                <w:right w:val="none" w:sz="0" w:space="0" w:color="auto"/>
              </w:divBdr>
            </w:div>
            <w:div w:id="2092462169">
              <w:marLeft w:val="0"/>
              <w:marRight w:val="0"/>
              <w:marTop w:val="0"/>
              <w:marBottom w:val="0"/>
              <w:divBdr>
                <w:top w:val="none" w:sz="0" w:space="0" w:color="auto"/>
                <w:left w:val="none" w:sz="0" w:space="0" w:color="auto"/>
                <w:bottom w:val="none" w:sz="0" w:space="0" w:color="auto"/>
                <w:right w:val="none" w:sz="0" w:space="0" w:color="auto"/>
              </w:divBdr>
            </w:div>
            <w:div w:id="2100707856">
              <w:marLeft w:val="0"/>
              <w:marRight w:val="0"/>
              <w:marTop w:val="0"/>
              <w:marBottom w:val="0"/>
              <w:divBdr>
                <w:top w:val="none" w:sz="0" w:space="0" w:color="auto"/>
                <w:left w:val="none" w:sz="0" w:space="0" w:color="auto"/>
                <w:bottom w:val="none" w:sz="0" w:space="0" w:color="auto"/>
                <w:right w:val="none" w:sz="0" w:space="0" w:color="auto"/>
              </w:divBdr>
            </w:div>
            <w:div w:id="21039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3863">
      <w:bodyDiv w:val="1"/>
      <w:marLeft w:val="0"/>
      <w:marRight w:val="0"/>
      <w:marTop w:val="0"/>
      <w:marBottom w:val="0"/>
      <w:divBdr>
        <w:top w:val="none" w:sz="0" w:space="0" w:color="auto"/>
        <w:left w:val="none" w:sz="0" w:space="0" w:color="auto"/>
        <w:bottom w:val="none" w:sz="0" w:space="0" w:color="auto"/>
        <w:right w:val="none" w:sz="0" w:space="0" w:color="auto"/>
      </w:divBdr>
    </w:div>
    <w:div w:id="1147822110">
      <w:bodyDiv w:val="1"/>
      <w:marLeft w:val="0"/>
      <w:marRight w:val="0"/>
      <w:marTop w:val="0"/>
      <w:marBottom w:val="0"/>
      <w:divBdr>
        <w:top w:val="none" w:sz="0" w:space="0" w:color="auto"/>
        <w:left w:val="none" w:sz="0" w:space="0" w:color="auto"/>
        <w:bottom w:val="none" w:sz="0" w:space="0" w:color="auto"/>
        <w:right w:val="none" w:sz="0" w:space="0" w:color="auto"/>
      </w:divBdr>
    </w:div>
    <w:div w:id="1156263142">
      <w:bodyDiv w:val="1"/>
      <w:marLeft w:val="0"/>
      <w:marRight w:val="0"/>
      <w:marTop w:val="0"/>
      <w:marBottom w:val="0"/>
      <w:divBdr>
        <w:top w:val="none" w:sz="0" w:space="0" w:color="auto"/>
        <w:left w:val="none" w:sz="0" w:space="0" w:color="auto"/>
        <w:bottom w:val="none" w:sz="0" w:space="0" w:color="auto"/>
        <w:right w:val="none" w:sz="0" w:space="0" w:color="auto"/>
      </w:divBdr>
      <w:divsChild>
        <w:div w:id="1296177077">
          <w:marLeft w:val="0"/>
          <w:marRight w:val="0"/>
          <w:marTop w:val="0"/>
          <w:marBottom w:val="0"/>
          <w:divBdr>
            <w:top w:val="none" w:sz="0" w:space="0" w:color="auto"/>
            <w:left w:val="none" w:sz="0" w:space="0" w:color="auto"/>
            <w:bottom w:val="none" w:sz="0" w:space="0" w:color="auto"/>
            <w:right w:val="none" w:sz="0" w:space="0" w:color="auto"/>
          </w:divBdr>
        </w:div>
      </w:divsChild>
    </w:div>
    <w:div w:id="1173957134">
      <w:bodyDiv w:val="1"/>
      <w:marLeft w:val="0"/>
      <w:marRight w:val="0"/>
      <w:marTop w:val="0"/>
      <w:marBottom w:val="0"/>
      <w:divBdr>
        <w:top w:val="none" w:sz="0" w:space="0" w:color="auto"/>
        <w:left w:val="none" w:sz="0" w:space="0" w:color="auto"/>
        <w:bottom w:val="none" w:sz="0" w:space="0" w:color="auto"/>
        <w:right w:val="none" w:sz="0" w:space="0" w:color="auto"/>
      </w:divBdr>
    </w:div>
    <w:div w:id="1176116308">
      <w:bodyDiv w:val="1"/>
      <w:marLeft w:val="0"/>
      <w:marRight w:val="0"/>
      <w:marTop w:val="0"/>
      <w:marBottom w:val="0"/>
      <w:divBdr>
        <w:top w:val="none" w:sz="0" w:space="0" w:color="auto"/>
        <w:left w:val="none" w:sz="0" w:space="0" w:color="auto"/>
        <w:bottom w:val="none" w:sz="0" w:space="0" w:color="auto"/>
        <w:right w:val="none" w:sz="0" w:space="0" w:color="auto"/>
      </w:divBdr>
    </w:div>
    <w:div w:id="1179392421">
      <w:bodyDiv w:val="1"/>
      <w:marLeft w:val="0"/>
      <w:marRight w:val="0"/>
      <w:marTop w:val="0"/>
      <w:marBottom w:val="0"/>
      <w:divBdr>
        <w:top w:val="none" w:sz="0" w:space="0" w:color="auto"/>
        <w:left w:val="none" w:sz="0" w:space="0" w:color="auto"/>
        <w:bottom w:val="none" w:sz="0" w:space="0" w:color="auto"/>
        <w:right w:val="none" w:sz="0" w:space="0" w:color="auto"/>
      </w:divBdr>
    </w:div>
    <w:div w:id="1224171685">
      <w:bodyDiv w:val="1"/>
      <w:marLeft w:val="0"/>
      <w:marRight w:val="0"/>
      <w:marTop w:val="0"/>
      <w:marBottom w:val="0"/>
      <w:divBdr>
        <w:top w:val="none" w:sz="0" w:space="0" w:color="auto"/>
        <w:left w:val="none" w:sz="0" w:space="0" w:color="auto"/>
        <w:bottom w:val="none" w:sz="0" w:space="0" w:color="auto"/>
        <w:right w:val="none" w:sz="0" w:space="0" w:color="auto"/>
      </w:divBdr>
    </w:div>
    <w:div w:id="1303197300">
      <w:bodyDiv w:val="1"/>
      <w:marLeft w:val="0"/>
      <w:marRight w:val="0"/>
      <w:marTop w:val="0"/>
      <w:marBottom w:val="0"/>
      <w:divBdr>
        <w:top w:val="none" w:sz="0" w:space="0" w:color="auto"/>
        <w:left w:val="none" w:sz="0" w:space="0" w:color="auto"/>
        <w:bottom w:val="none" w:sz="0" w:space="0" w:color="auto"/>
        <w:right w:val="none" w:sz="0" w:space="0" w:color="auto"/>
      </w:divBdr>
    </w:div>
    <w:div w:id="1351687910">
      <w:bodyDiv w:val="1"/>
      <w:marLeft w:val="0"/>
      <w:marRight w:val="0"/>
      <w:marTop w:val="0"/>
      <w:marBottom w:val="0"/>
      <w:divBdr>
        <w:top w:val="none" w:sz="0" w:space="0" w:color="auto"/>
        <w:left w:val="none" w:sz="0" w:space="0" w:color="auto"/>
        <w:bottom w:val="none" w:sz="0" w:space="0" w:color="auto"/>
        <w:right w:val="none" w:sz="0" w:space="0" w:color="auto"/>
      </w:divBdr>
    </w:div>
    <w:div w:id="1355770024">
      <w:bodyDiv w:val="1"/>
      <w:marLeft w:val="0"/>
      <w:marRight w:val="0"/>
      <w:marTop w:val="0"/>
      <w:marBottom w:val="0"/>
      <w:divBdr>
        <w:top w:val="none" w:sz="0" w:space="0" w:color="auto"/>
        <w:left w:val="none" w:sz="0" w:space="0" w:color="auto"/>
        <w:bottom w:val="none" w:sz="0" w:space="0" w:color="auto"/>
        <w:right w:val="none" w:sz="0" w:space="0" w:color="auto"/>
      </w:divBdr>
    </w:div>
    <w:div w:id="1357317938">
      <w:bodyDiv w:val="1"/>
      <w:marLeft w:val="0"/>
      <w:marRight w:val="0"/>
      <w:marTop w:val="0"/>
      <w:marBottom w:val="0"/>
      <w:divBdr>
        <w:top w:val="none" w:sz="0" w:space="0" w:color="auto"/>
        <w:left w:val="none" w:sz="0" w:space="0" w:color="auto"/>
        <w:bottom w:val="none" w:sz="0" w:space="0" w:color="auto"/>
        <w:right w:val="none" w:sz="0" w:space="0" w:color="auto"/>
      </w:divBdr>
    </w:div>
    <w:div w:id="1452162062">
      <w:bodyDiv w:val="1"/>
      <w:marLeft w:val="0"/>
      <w:marRight w:val="0"/>
      <w:marTop w:val="0"/>
      <w:marBottom w:val="0"/>
      <w:divBdr>
        <w:top w:val="none" w:sz="0" w:space="0" w:color="auto"/>
        <w:left w:val="none" w:sz="0" w:space="0" w:color="auto"/>
        <w:bottom w:val="none" w:sz="0" w:space="0" w:color="auto"/>
        <w:right w:val="none" w:sz="0" w:space="0" w:color="auto"/>
      </w:divBdr>
    </w:div>
    <w:div w:id="1484082117">
      <w:bodyDiv w:val="1"/>
      <w:marLeft w:val="0"/>
      <w:marRight w:val="0"/>
      <w:marTop w:val="0"/>
      <w:marBottom w:val="0"/>
      <w:divBdr>
        <w:top w:val="none" w:sz="0" w:space="0" w:color="auto"/>
        <w:left w:val="none" w:sz="0" w:space="0" w:color="auto"/>
        <w:bottom w:val="none" w:sz="0" w:space="0" w:color="auto"/>
        <w:right w:val="none" w:sz="0" w:space="0" w:color="auto"/>
      </w:divBdr>
    </w:div>
    <w:div w:id="1518959580">
      <w:bodyDiv w:val="1"/>
      <w:marLeft w:val="0"/>
      <w:marRight w:val="0"/>
      <w:marTop w:val="0"/>
      <w:marBottom w:val="0"/>
      <w:divBdr>
        <w:top w:val="none" w:sz="0" w:space="0" w:color="auto"/>
        <w:left w:val="none" w:sz="0" w:space="0" w:color="auto"/>
        <w:bottom w:val="none" w:sz="0" w:space="0" w:color="auto"/>
        <w:right w:val="none" w:sz="0" w:space="0" w:color="auto"/>
      </w:divBdr>
    </w:div>
    <w:div w:id="1526361672">
      <w:bodyDiv w:val="1"/>
      <w:marLeft w:val="0"/>
      <w:marRight w:val="0"/>
      <w:marTop w:val="0"/>
      <w:marBottom w:val="0"/>
      <w:divBdr>
        <w:top w:val="none" w:sz="0" w:space="0" w:color="auto"/>
        <w:left w:val="none" w:sz="0" w:space="0" w:color="auto"/>
        <w:bottom w:val="none" w:sz="0" w:space="0" w:color="auto"/>
        <w:right w:val="none" w:sz="0" w:space="0" w:color="auto"/>
      </w:divBdr>
    </w:div>
    <w:div w:id="1527521505">
      <w:bodyDiv w:val="1"/>
      <w:marLeft w:val="0"/>
      <w:marRight w:val="0"/>
      <w:marTop w:val="0"/>
      <w:marBottom w:val="0"/>
      <w:divBdr>
        <w:top w:val="none" w:sz="0" w:space="0" w:color="auto"/>
        <w:left w:val="none" w:sz="0" w:space="0" w:color="auto"/>
        <w:bottom w:val="none" w:sz="0" w:space="0" w:color="auto"/>
        <w:right w:val="none" w:sz="0" w:space="0" w:color="auto"/>
      </w:divBdr>
      <w:divsChild>
        <w:div w:id="1351569062">
          <w:marLeft w:val="0"/>
          <w:marRight w:val="0"/>
          <w:marTop w:val="0"/>
          <w:marBottom w:val="0"/>
          <w:divBdr>
            <w:top w:val="none" w:sz="0" w:space="0" w:color="auto"/>
            <w:left w:val="none" w:sz="0" w:space="0" w:color="auto"/>
            <w:bottom w:val="none" w:sz="0" w:space="0" w:color="auto"/>
            <w:right w:val="none" w:sz="0" w:space="0" w:color="auto"/>
          </w:divBdr>
          <w:divsChild>
            <w:div w:id="1162575853">
              <w:marLeft w:val="0"/>
              <w:marRight w:val="0"/>
              <w:marTop w:val="0"/>
              <w:marBottom w:val="0"/>
              <w:divBdr>
                <w:top w:val="none" w:sz="0" w:space="0" w:color="auto"/>
                <w:left w:val="none" w:sz="0" w:space="0" w:color="auto"/>
                <w:bottom w:val="none" w:sz="0" w:space="0" w:color="auto"/>
                <w:right w:val="none" w:sz="0" w:space="0" w:color="auto"/>
              </w:divBdr>
              <w:divsChild>
                <w:div w:id="2038120427">
                  <w:marLeft w:val="0"/>
                  <w:marRight w:val="0"/>
                  <w:marTop w:val="0"/>
                  <w:marBottom w:val="0"/>
                  <w:divBdr>
                    <w:top w:val="none" w:sz="0" w:space="0" w:color="auto"/>
                    <w:left w:val="none" w:sz="0" w:space="0" w:color="auto"/>
                    <w:bottom w:val="none" w:sz="0" w:space="0" w:color="auto"/>
                    <w:right w:val="none" w:sz="0" w:space="0" w:color="auto"/>
                  </w:divBdr>
                  <w:divsChild>
                    <w:div w:id="805245800">
                      <w:marLeft w:val="0"/>
                      <w:marRight w:val="0"/>
                      <w:marTop w:val="0"/>
                      <w:marBottom w:val="0"/>
                      <w:divBdr>
                        <w:top w:val="none" w:sz="0" w:space="0" w:color="auto"/>
                        <w:left w:val="none" w:sz="0" w:space="0" w:color="auto"/>
                        <w:bottom w:val="none" w:sz="0" w:space="0" w:color="auto"/>
                        <w:right w:val="none" w:sz="0" w:space="0" w:color="auto"/>
                      </w:divBdr>
                      <w:divsChild>
                        <w:div w:id="2003658397">
                          <w:marLeft w:val="0"/>
                          <w:marRight w:val="0"/>
                          <w:marTop w:val="0"/>
                          <w:marBottom w:val="0"/>
                          <w:divBdr>
                            <w:top w:val="none" w:sz="0" w:space="0" w:color="auto"/>
                            <w:left w:val="none" w:sz="0" w:space="0" w:color="auto"/>
                            <w:bottom w:val="none" w:sz="0" w:space="0" w:color="auto"/>
                            <w:right w:val="none" w:sz="0" w:space="0" w:color="auto"/>
                          </w:divBdr>
                          <w:divsChild>
                            <w:div w:id="1452240720">
                              <w:marLeft w:val="0"/>
                              <w:marRight w:val="0"/>
                              <w:marTop w:val="0"/>
                              <w:marBottom w:val="0"/>
                              <w:divBdr>
                                <w:top w:val="none" w:sz="0" w:space="0" w:color="auto"/>
                                <w:left w:val="none" w:sz="0" w:space="0" w:color="auto"/>
                                <w:bottom w:val="none" w:sz="0" w:space="0" w:color="auto"/>
                                <w:right w:val="none" w:sz="0" w:space="0" w:color="auto"/>
                              </w:divBdr>
                              <w:divsChild>
                                <w:div w:id="729039629">
                                  <w:marLeft w:val="0"/>
                                  <w:marRight w:val="0"/>
                                  <w:marTop w:val="0"/>
                                  <w:marBottom w:val="0"/>
                                  <w:divBdr>
                                    <w:top w:val="none" w:sz="0" w:space="0" w:color="auto"/>
                                    <w:left w:val="none" w:sz="0" w:space="0" w:color="auto"/>
                                    <w:bottom w:val="none" w:sz="0" w:space="0" w:color="auto"/>
                                    <w:right w:val="none" w:sz="0" w:space="0" w:color="auto"/>
                                  </w:divBdr>
                                </w:div>
                                <w:div w:id="2011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298578">
      <w:bodyDiv w:val="1"/>
      <w:marLeft w:val="0"/>
      <w:marRight w:val="0"/>
      <w:marTop w:val="0"/>
      <w:marBottom w:val="0"/>
      <w:divBdr>
        <w:top w:val="none" w:sz="0" w:space="0" w:color="auto"/>
        <w:left w:val="none" w:sz="0" w:space="0" w:color="auto"/>
        <w:bottom w:val="none" w:sz="0" w:space="0" w:color="auto"/>
        <w:right w:val="none" w:sz="0" w:space="0" w:color="auto"/>
      </w:divBdr>
    </w:div>
    <w:div w:id="1542135578">
      <w:bodyDiv w:val="1"/>
      <w:marLeft w:val="0"/>
      <w:marRight w:val="0"/>
      <w:marTop w:val="0"/>
      <w:marBottom w:val="0"/>
      <w:divBdr>
        <w:top w:val="none" w:sz="0" w:space="0" w:color="auto"/>
        <w:left w:val="none" w:sz="0" w:space="0" w:color="auto"/>
        <w:bottom w:val="none" w:sz="0" w:space="0" w:color="auto"/>
        <w:right w:val="none" w:sz="0" w:space="0" w:color="auto"/>
      </w:divBdr>
    </w:div>
    <w:div w:id="1641374272">
      <w:bodyDiv w:val="1"/>
      <w:marLeft w:val="0"/>
      <w:marRight w:val="0"/>
      <w:marTop w:val="0"/>
      <w:marBottom w:val="0"/>
      <w:divBdr>
        <w:top w:val="none" w:sz="0" w:space="0" w:color="auto"/>
        <w:left w:val="none" w:sz="0" w:space="0" w:color="auto"/>
        <w:bottom w:val="none" w:sz="0" w:space="0" w:color="auto"/>
        <w:right w:val="none" w:sz="0" w:space="0" w:color="auto"/>
      </w:divBdr>
    </w:div>
    <w:div w:id="1654529029">
      <w:bodyDiv w:val="1"/>
      <w:marLeft w:val="0"/>
      <w:marRight w:val="0"/>
      <w:marTop w:val="0"/>
      <w:marBottom w:val="0"/>
      <w:divBdr>
        <w:top w:val="none" w:sz="0" w:space="0" w:color="auto"/>
        <w:left w:val="none" w:sz="0" w:space="0" w:color="auto"/>
        <w:bottom w:val="none" w:sz="0" w:space="0" w:color="auto"/>
        <w:right w:val="none" w:sz="0" w:space="0" w:color="auto"/>
      </w:divBdr>
    </w:div>
    <w:div w:id="1655332050">
      <w:bodyDiv w:val="1"/>
      <w:marLeft w:val="0"/>
      <w:marRight w:val="0"/>
      <w:marTop w:val="0"/>
      <w:marBottom w:val="0"/>
      <w:divBdr>
        <w:top w:val="none" w:sz="0" w:space="0" w:color="auto"/>
        <w:left w:val="none" w:sz="0" w:space="0" w:color="auto"/>
        <w:bottom w:val="none" w:sz="0" w:space="0" w:color="auto"/>
        <w:right w:val="none" w:sz="0" w:space="0" w:color="auto"/>
      </w:divBdr>
    </w:div>
    <w:div w:id="1692102852">
      <w:bodyDiv w:val="1"/>
      <w:marLeft w:val="0"/>
      <w:marRight w:val="0"/>
      <w:marTop w:val="0"/>
      <w:marBottom w:val="0"/>
      <w:divBdr>
        <w:top w:val="none" w:sz="0" w:space="0" w:color="auto"/>
        <w:left w:val="none" w:sz="0" w:space="0" w:color="auto"/>
        <w:bottom w:val="none" w:sz="0" w:space="0" w:color="auto"/>
        <w:right w:val="none" w:sz="0" w:space="0" w:color="auto"/>
      </w:divBdr>
    </w:div>
    <w:div w:id="1698310851">
      <w:bodyDiv w:val="1"/>
      <w:marLeft w:val="0"/>
      <w:marRight w:val="0"/>
      <w:marTop w:val="0"/>
      <w:marBottom w:val="0"/>
      <w:divBdr>
        <w:top w:val="none" w:sz="0" w:space="0" w:color="auto"/>
        <w:left w:val="none" w:sz="0" w:space="0" w:color="auto"/>
        <w:bottom w:val="none" w:sz="0" w:space="0" w:color="auto"/>
        <w:right w:val="none" w:sz="0" w:space="0" w:color="auto"/>
      </w:divBdr>
    </w:div>
    <w:div w:id="1741319557">
      <w:bodyDiv w:val="1"/>
      <w:marLeft w:val="0"/>
      <w:marRight w:val="0"/>
      <w:marTop w:val="0"/>
      <w:marBottom w:val="0"/>
      <w:divBdr>
        <w:top w:val="none" w:sz="0" w:space="0" w:color="auto"/>
        <w:left w:val="none" w:sz="0" w:space="0" w:color="auto"/>
        <w:bottom w:val="none" w:sz="0" w:space="0" w:color="auto"/>
        <w:right w:val="none" w:sz="0" w:space="0" w:color="auto"/>
      </w:divBdr>
    </w:div>
    <w:div w:id="1776827755">
      <w:bodyDiv w:val="1"/>
      <w:marLeft w:val="0"/>
      <w:marRight w:val="0"/>
      <w:marTop w:val="0"/>
      <w:marBottom w:val="0"/>
      <w:divBdr>
        <w:top w:val="none" w:sz="0" w:space="0" w:color="auto"/>
        <w:left w:val="none" w:sz="0" w:space="0" w:color="auto"/>
        <w:bottom w:val="none" w:sz="0" w:space="0" w:color="auto"/>
        <w:right w:val="none" w:sz="0" w:space="0" w:color="auto"/>
      </w:divBdr>
    </w:div>
    <w:div w:id="1822963623">
      <w:bodyDiv w:val="1"/>
      <w:marLeft w:val="0"/>
      <w:marRight w:val="0"/>
      <w:marTop w:val="0"/>
      <w:marBottom w:val="0"/>
      <w:divBdr>
        <w:top w:val="none" w:sz="0" w:space="0" w:color="auto"/>
        <w:left w:val="none" w:sz="0" w:space="0" w:color="auto"/>
        <w:bottom w:val="none" w:sz="0" w:space="0" w:color="auto"/>
        <w:right w:val="none" w:sz="0" w:space="0" w:color="auto"/>
      </w:divBdr>
    </w:div>
    <w:div w:id="1832526596">
      <w:bodyDiv w:val="1"/>
      <w:marLeft w:val="0"/>
      <w:marRight w:val="0"/>
      <w:marTop w:val="0"/>
      <w:marBottom w:val="0"/>
      <w:divBdr>
        <w:top w:val="none" w:sz="0" w:space="0" w:color="auto"/>
        <w:left w:val="none" w:sz="0" w:space="0" w:color="auto"/>
        <w:bottom w:val="none" w:sz="0" w:space="0" w:color="auto"/>
        <w:right w:val="none" w:sz="0" w:space="0" w:color="auto"/>
      </w:divBdr>
    </w:div>
    <w:div w:id="1834445961">
      <w:bodyDiv w:val="1"/>
      <w:marLeft w:val="0"/>
      <w:marRight w:val="0"/>
      <w:marTop w:val="0"/>
      <w:marBottom w:val="0"/>
      <w:divBdr>
        <w:top w:val="none" w:sz="0" w:space="0" w:color="auto"/>
        <w:left w:val="none" w:sz="0" w:space="0" w:color="auto"/>
        <w:bottom w:val="none" w:sz="0" w:space="0" w:color="auto"/>
        <w:right w:val="none" w:sz="0" w:space="0" w:color="auto"/>
      </w:divBdr>
    </w:div>
    <w:div w:id="1889685447">
      <w:bodyDiv w:val="1"/>
      <w:marLeft w:val="0"/>
      <w:marRight w:val="0"/>
      <w:marTop w:val="0"/>
      <w:marBottom w:val="0"/>
      <w:divBdr>
        <w:top w:val="none" w:sz="0" w:space="0" w:color="auto"/>
        <w:left w:val="none" w:sz="0" w:space="0" w:color="auto"/>
        <w:bottom w:val="none" w:sz="0" w:space="0" w:color="auto"/>
        <w:right w:val="none" w:sz="0" w:space="0" w:color="auto"/>
      </w:divBdr>
    </w:div>
    <w:div w:id="1903831597">
      <w:bodyDiv w:val="1"/>
      <w:marLeft w:val="0"/>
      <w:marRight w:val="0"/>
      <w:marTop w:val="0"/>
      <w:marBottom w:val="0"/>
      <w:divBdr>
        <w:top w:val="none" w:sz="0" w:space="0" w:color="auto"/>
        <w:left w:val="none" w:sz="0" w:space="0" w:color="auto"/>
        <w:bottom w:val="none" w:sz="0" w:space="0" w:color="auto"/>
        <w:right w:val="none" w:sz="0" w:space="0" w:color="auto"/>
      </w:divBdr>
    </w:div>
    <w:div w:id="1976330649">
      <w:bodyDiv w:val="1"/>
      <w:marLeft w:val="0"/>
      <w:marRight w:val="0"/>
      <w:marTop w:val="0"/>
      <w:marBottom w:val="0"/>
      <w:divBdr>
        <w:top w:val="none" w:sz="0" w:space="0" w:color="auto"/>
        <w:left w:val="none" w:sz="0" w:space="0" w:color="auto"/>
        <w:bottom w:val="none" w:sz="0" w:space="0" w:color="auto"/>
        <w:right w:val="none" w:sz="0" w:space="0" w:color="auto"/>
      </w:divBdr>
    </w:div>
    <w:div w:id="2018195412">
      <w:bodyDiv w:val="1"/>
      <w:marLeft w:val="0"/>
      <w:marRight w:val="0"/>
      <w:marTop w:val="0"/>
      <w:marBottom w:val="0"/>
      <w:divBdr>
        <w:top w:val="none" w:sz="0" w:space="0" w:color="auto"/>
        <w:left w:val="none" w:sz="0" w:space="0" w:color="auto"/>
        <w:bottom w:val="none" w:sz="0" w:space="0" w:color="auto"/>
        <w:right w:val="none" w:sz="0" w:space="0" w:color="auto"/>
      </w:divBdr>
    </w:div>
    <w:div w:id="2026902780">
      <w:bodyDiv w:val="1"/>
      <w:marLeft w:val="0"/>
      <w:marRight w:val="0"/>
      <w:marTop w:val="0"/>
      <w:marBottom w:val="0"/>
      <w:divBdr>
        <w:top w:val="none" w:sz="0" w:space="0" w:color="auto"/>
        <w:left w:val="none" w:sz="0" w:space="0" w:color="auto"/>
        <w:bottom w:val="none" w:sz="0" w:space="0" w:color="auto"/>
        <w:right w:val="none" w:sz="0" w:space="0" w:color="auto"/>
      </w:divBdr>
    </w:div>
    <w:div w:id="2039234207">
      <w:bodyDiv w:val="1"/>
      <w:marLeft w:val="0"/>
      <w:marRight w:val="0"/>
      <w:marTop w:val="0"/>
      <w:marBottom w:val="0"/>
      <w:divBdr>
        <w:top w:val="none" w:sz="0" w:space="0" w:color="auto"/>
        <w:left w:val="none" w:sz="0" w:space="0" w:color="auto"/>
        <w:bottom w:val="none" w:sz="0" w:space="0" w:color="auto"/>
        <w:right w:val="none" w:sz="0" w:space="0" w:color="auto"/>
      </w:divBdr>
    </w:div>
    <w:div w:id="2060594668">
      <w:bodyDiv w:val="1"/>
      <w:marLeft w:val="0"/>
      <w:marRight w:val="0"/>
      <w:marTop w:val="0"/>
      <w:marBottom w:val="0"/>
      <w:divBdr>
        <w:top w:val="none" w:sz="0" w:space="0" w:color="auto"/>
        <w:left w:val="none" w:sz="0" w:space="0" w:color="auto"/>
        <w:bottom w:val="none" w:sz="0" w:space="0" w:color="auto"/>
        <w:right w:val="none" w:sz="0" w:space="0" w:color="auto"/>
      </w:divBdr>
    </w:div>
    <w:div w:id="2095202993">
      <w:bodyDiv w:val="1"/>
      <w:marLeft w:val="0"/>
      <w:marRight w:val="0"/>
      <w:marTop w:val="0"/>
      <w:marBottom w:val="0"/>
      <w:divBdr>
        <w:top w:val="none" w:sz="0" w:space="0" w:color="auto"/>
        <w:left w:val="none" w:sz="0" w:space="0" w:color="auto"/>
        <w:bottom w:val="none" w:sz="0" w:space="0" w:color="auto"/>
        <w:right w:val="none" w:sz="0" w:space="0" w:color="auto"/>
      </w:divBdr>
    </w:div>
    <w:div w:id="2108455332">
      <w:bodyDiv w:val="1"/>
      <w:marLeft w:val="0"/>
      <w:marRight w:val="0"/>
      <w:marTop w:val="0"/>
      <w:marBottom w:val="0"/>
      <w:divBdr>
        <w:top w:val="none" w:sz="0" w:space="0" w:color="auto"/>
        <w:left w:val="none" w:sz="0" w:space="0" w:color="auto"/>
        <w:bottom w:val="none" w:sz="0" w:space="0" w:color="auto"/>
        <w:right w:val="none" w:sz="0" w:space="0" w:color="auto"/>
      </w:divBdr>
    </w:div>
    <w:div w:id="2123645133">
      <w:bodyDiv w:val="1"/>
      <w:marLeft w:val="0"/>
      <w:marRight w:val="0"/>
      <w:marTop w:val="0"/>
      <w:marBottom w:val="0"/>
      <w:divBdr>
        <w:top w:val="none" w:sz="0" w:space="0" w:color="auto"/>
        <w:left w:val="none" w:sz="0" w:space="0" w:color="auto"/>
        <w:bottom w:val="none" w:sz="0" w:space="0" w:color="auto"/>
        <w:right w:val="none" w:sz="0" w:space="0" w:color="auto"/>
      </w:divBdr>
    </w:div>
    <w:div w:id="21298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6A549-8E37-4531-87F5-C46C26578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20855</TotalTime>
  <Pages>45</Pages>
  <Words>19251</Words>
  <Characters>109736</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Dahlke</dc:creator>
  <cp:keywords/>
  <dc:description/>
  <cp:lastModifiedBy>Dahlke, Steven</cp:lastModifiedBy>
  <cp:revision>590</cp:revision>
  <dcterms:created xsi:type="dcterms:W3CDTF">2024-12-31T13:56:00Z</dcterms:created>
  <dcterms:modified xsi:type="dcterms:W3CDTF">2026-01-13T18:14:00Z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id="CMaFQg37"/&gt;&lt;style id="http://www.zotero.org/styles/energy-policy" hasBibliography="1" bibliographyStyleHasBeenSet="1"/&gt;&lt;prefs&gt;&lt;pref name="fieldType" value="Field"/&gt;&lt;/prefs&gt;&lt;/data&gt;</vt:lpwstr>
  </property>
</Properties>
</file>