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Noto Sans CJK TC" w:hAnsi="Noto Sans CJK TC" w:eastAsia="Noto Sans CJK TC"/>
          <w:b/>
          <w:color w:val="151A33"/>
          <w:sz w:val="36"/>
        </w:rPr>
        <w:t>ACPOS MASTER-INDEX｜18 Current Pages + Login Entry + System Logic｜總目錄與治理說明</w:t>
        <w:br/>
        <w:t>Mother-Compliant Basic Design / 基礎設計施工藍圖規格</w:t>
      </w:r>
    </w:p>
    <w:p>
      <w:pPr>
        <w:spacing w:after="140"/>
        <w:jc w:val="center"/>
      </w:pPr>
      <w:r>
        <w:rPr>
          <w:rFonts w:ascii="Noto Sans CJK TC" w:hAnsi="Noto Sans CJK TC" w:eastAsia="Noto Sans CJK TC"/>
          <w:color w:val="596078"/>
          <w:sz w:val="16"/>
        </w:rPr>
        <w:t>GitHub new @ 165c6440cb53 · Current Authority 基準 + 使用者指定更新／補充 · DESIGN_FROZEN = FALSE</w:t>
      </w:r>
    </w:p>
    <w:p>
      <w:pPr>
        <w:pStyle w:val="Heading1"/>
        <w:keepNext/>
      </w:pPr>
      <w:r>
        <w:rPr>
          <w:rFonts w:ascii="Noto Sans CJK TC" w:hAnsi="Noto Sans CJK TC" w:eastAsia="Noto Sans CJK TC"/>
        </w:rPr>
        <w:t>1. 交付範圍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color w:val="171A2B"/>
          <w:sz w:val="16"/>
        </w:rPr>
        <w:t>本包共 20 份 Basic Design：18 個 GitHub Current Pages + Login/Identity Entry + 全站 System Logic；另有本總目錄，共 21 份 Word。每一份頁面文件均獨立完成 Mother S076–S083 相容的 27 項 Blueprint artifact denominator，避免把所有頁面混成一份大文件。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7769"/>
            <w:shd w:fill="151A3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Item</w:t>
            </w:r>
          </w:p>
        </w:tc>
        <w:tc>
          <w:tcPr>
            <w:tcW w:type="dxa" w:w="7769"/>
            <w:shd w:fill="151A3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Count / State</w:t>
            </w:r>
          </w:p>
        </w:tc>
      </w:tr>
      <w:tr>
        <w:tc>
          <w:tcPr>
            <w:tcW w:type="dxa" w:w="776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3"/>
              </w:rPr>
              <w:t>GitHub branch</w:t>
            </w:r>
          </w:p>
        </w:tc>
        <w:tc>
          <w:tcPr>
            <w:tcW w:type="dxa" w:w="776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3"/>
              </w:rPr>
              <w:t>new</w:t>
            </w:r>
          </w:p>
        </w:tc>
      </w:tr>
      <w:tr>
        <w:tc>
          <w:tcPr>
            <w:tcW w:type="dxa" w:w="776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3"/>
              </w:rPr>
              <w:t>GitHub live HEAD</w:t>
            </w:r>
          </w:p>
        </w:tc>
        <w:tc>
          <w:tcPr>
            <w:tcW w:type="dxa" w:w="776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3"/>
              </w:rPr>
              <w:t>165c6440cb53b1b45ec96905241fb4d56dc3b867</w:t>
            </w:r>
          </w:p>
        </w:tc>
      </w:tr>
      <w:tr>
        <w:tc>
          <w:tcPr>
            <w:tcW w:type="dxa" w:w="776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3"/>
              </w:rPr>
              <w:t>Current pages</w:t>
            </w:r>
          </w:p>
        </w:tc>
        <w:tc>
          <w:tcPr>
            <w:tcW w:type="dxa" w:w="776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3"/>
              </w:rPr>
              <w:t>18</w:t>
            </w:r>
          </w:p>
        </w:tc>
      </w:tr>
      <w:tr>
        <w:tc>
          <w:tcPr>
            <w:tcW w:type="dxa" w:w="776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3"/>
              </w:rPr>
              <w:t>Additional design surfaces</w:t>
            </w:r>
          </w:p>
        </w:tc>
        <w:tc>
          <w:tcPr>
            <w:tcW w:type="dxa" w:w="776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3"/>
              </w:rPr>
              <w:t>Login Entry + System Logic = 2</w:t>
            </w:r>
          </w:p>
        </w:tc>
      </w:tr>
      <w:tr>
        <w:tc>
          <w:tcPr>
            <w:tcW w:type="dxa" w:w="776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3"/>
              </w:rPr>
              <w:t>Per-page Visual Candidates</w:t>
            </w:r>
          </w:p>
        </w:tc>
        <w:tc>
          <w:tcPr>
            <w:tcW w:type="dxa" w:w="776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3"/>
              </w:rPr>
              <w:t>A–H = 8</w:t>
            </w:r>
          </w:p>
        </w:tc>
      </w:tr>
      <w:tr>
        <w:tc>
          <w:tcPr>
            <w:tcW w:type="dxa" w:w="776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3"/>
              </w:rPr>
              <w:t>Per-page required Blueprint artifacts</w:t>
            </w:r>
          </w:p>
        </w:tc>
        <w:tc>
          <w:tcPr>
            <w:tcW w:type="dxa" w:w="776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3"/>
              </w:rPr>
              <w:t>27 + hard-prohibition appendix</w:t>
            </w:r>
          </w:p>
        </w:tc>
      </w:tr>
      <w:tr>
        <w:tc>
          <w:tcPr>
            <w:tcW w:type="dxa" w:w="776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3"/>
              </w:rPr>
              <w:t>Design freeze</w:t>
            </w:r>
          </w:p>
        </w:tc>
        <w:tc>
          <w:tcPr>
            <w:tcW w:type="dxa" w:w="776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3"/>
              </w:rPr>
              <w:t>FALSE / human visual approval pending</w:t>
            </w:r>
          </w:p>
        </w:tc>
      </w:tr>
      <w:tr>
        <w:tc>
          <w:tcPr>
            <w:tcW w:type="dxa" w:w="776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3"/>
              </w:rPr>
              <w:t>Repository mutation</w:t>
            </w:r>
          </w:p>
        </w:tc>
        <w:tc>
          <w:tcPr>
            <w:tcW w:type="dxa" w:w="776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3"/>
              </w:rPr>
              <w:t>NONE — this delivery is local planning artifact only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TC" w:hAnsi="Noto Sans CJK TC" w:eastAsia="Noto Sans CJK TC"/>
        </w:rPr>
        <w:t>2. 來源處理順序（分開處理，不混抽）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rPr>
          <w:tblHeader w:val="true"/>
        </w:trPr>
        <w:tc>
          <w:tcPr>
            <w:tcW w:type="dxa" w:w="3884"/>
            <w:shd w:fill="151A3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Order</w:t>
            </w:r>
          </w:p>
        </w:tc>
        <w:tc>
          <w:tcPr>
            <w:tcW w:type="dxa" w:w="3884"/>
            <w:shd w:fill="151A3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Source Group</w:t>
            </w:r>
          </w:p>
        </w:tc>
        <w:tc>
          <w:tcPr>
            <w:tcW w:type="dxa" w:w="3884"/>
            <w:shd w:fill="151A3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Role</w:t>
            </w:r>
          </w:p>
        </w:tc>
        <w:tc>
          <w:tcPr>
            <w:tcW w:type="dxa" w:w="3884"/>
            <w:shd w:fill="151A3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Conflict Rule</w:t>
            </w:r>
          </w:p>
        </w:tc>
      </w:tr>
      <w:tr>
        <w:tc>
          <w:tcPr>
            <w:tcW w:type="dxa" w:w="3884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1</w:t>
            </w:r>
          </w:p>
        </w:tc>
        <w:tc>
          <w:tcPr>
            <w:tcW w:type="dxa" w:w="3884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Current Authority Clean / GitHub Current</w:t>
            </w:r>
          </w:p>
        </w:tc>
        <w:tc>
          <w:tcPr>
            <w:tcW w:type="dxa" w:w="3884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確立 current page owner / global/system boundaries</w:t>
            </w:r>
          </w:p>
        </w:tc>
        <w:tc>
          <w:tcPr>
            <w:tcW w:type="dxa" w:w="3884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GitHub new Current wins</w:t>
            </w:r>
          </w:p>
        </w:tc>
      </w:tr>
      <w:tr>
        <w:tc>
          <w:tcPr>
            <w:tcW w:type="dxa" w:w="3884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2</w:t>
            </w:r>
          </w:p>
        </w:tc>
        <w:tc>
          <w:tcPr>
            <w:tcW w:type="dxa" w:w="3884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企業開發與自動廣告</w:t>
            </w:r>
          </w:p>
        </w:tc>
        <w:tc>
          <w:tcPr>
            <w:tcW w:type="dxa" w:w="3884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DEV/SOC 更新需求；必要影響 KB/System</w:t>
            </w:r>
          </w:p>
        </w:tc>
        <w:tc>
          <w:tcPr>
            <w:tcW w:type="dxa" w:w="3884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Authorized design update only</w:t>
            </w:r>
          </w:p>
        </w:tc>
      </w:tr>
      <w:tr>
        <w:tc>
          <w:tcPr>
            <w:tcW w:type="dxa" w:w="3884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3</w:t>
            </w:r>
          </w:p>
        </w:tc>
        <w:tc>
          <w:tcPr>
            <w:tcW w:type="dxa" w:w="3884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AI 對話邏輯</w:t>
            </w:r>
          </w:p>
        </w:tc>
        <w:tc>
          <w:tcPr>
            <w:tcW w:type="dxa" w:w="3884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Shared AI Conversation Core + Multi-AI + Continuity</w:t>
            </w:r>
          </w:p>
        </w:tc>
        <w:tc>
          <w:tcPr>
            <w:tcW w:type="dxa" w:w="3884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No second AI system</w:t>
            </w:r>
          </w:p>
        </w:tc>
      </w:tr>
      <w:tr>
        <w:tc>
          <w:tcPr>
            <w:tcW w:type="dxa" w:w="3884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4</w:t>
            </w:r>
          </w:p>
        </w:tc>
        <w:tc>
          <w:tcPr>
            <w:tcW w:type="dxa" w:w="3884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Word 頁面規範</w:t>
            </w:r>
          </w:p>
        </w:tc>
        <w:tc>
          <w:tcPr>
            <w:tcW w:type="dxa" w:w="3884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各頁原始概念與細節補充</w:t>
            </w:r>
          </w:p>
        </w:tc>
        <w:tc>
          <w:tcPr>
            <w:tcW w:type="dxa" w:w="3884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Reference only; cannot override Current</w:t>
            </w:r>
          </w:p>
        </w:tc>
      </w:tr>
      <w:tr>
        <w:tc>
          <w:tcPr>
            <w:tcW w:type="dxa" w:w="3884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5</w:t>
            </w:r>
          </w:p>
        </w:tc>
        <w:tc>
          <w:tcPr>
            <w:tcW w:type="dxa" w:w="3884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Mother Basic Design</w:t>
            </w:r>
          </w:p>
        </w:tc>
        <w:tc>
          <w:tcPr>
            <w:tcW w:type="dxa" w:w="3884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將上述內容編譯成完整設計 artifacts</w:t>
            </w:r>
          </w:p>
        </w:tc>
        <w:tc>
          <w:tcPr>
            <w:tcW w:type="dxa" w:w="3884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Controls depth/trace/freeze; not product authority</w:t>
            </w:r>
          </w:p>
        </w:tc>
      </w:tr>
      <w:tr>
        <w:tc>
          <w:tcPr>
            <w:tcW w:type="dxa" w:w="3884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6</w:t>
            </w:r>
          </w:p>
        </w:tc>
        <w:tc>
          <w:tcPr>
            <w:tcW w:type="dxa" w:w="3884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本輪設計延伸</w:t>
            </w:r>
          </w:p>
        </w:tc>
        <w:tc>
          <w:tcPr>
            <w:tcW w:type="dxa" w:w="3884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只補 minimal functional closure</w:t>
            </w:r>
          </w:p>
        </w:tc>
        <w:tc>
          <w:tcPr>
            <w:tcW w:type="dxa" w:w="3884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REVIEW_REQUIRED; not implemented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TC" w:hAnsi="Noto Sans CJK TC" w:eastAsia="Noto Sans CJK TC"/>
        </w:rPr>
        <w:t>3. 每份 Word 固定 27 項 Artifact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rPr>
          <w:tblHeader w:val="true"/>
        </w:trPr>
        <w:tc>
          <w:tcPr>
            <w:tcW w:type="dxa" w:w="5179"/>
            <w:shd w:fill="151A3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#</w:t>
            </w:r>
          </w:p>
        </w:tc>
        <w:tc>
          <w:tcPr>
            <w:tcW w:type="dxa" w:w="5179"/>
            <w:shd w:fill="151A3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Required Artifact</w:t>
            </w:r>
          </w:p>
        </w:tc>
        <w:tc>
          <w:tcPr>
            <w:tcW w:type="dxa" w:w="5179"/>
            <w:shd w:fill="151A3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Hard Rule</w:t>
            </w:r>
          </w:p>
        </w:tc>
      </w:tr>
      <w:tr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1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Current Truth / Source Map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2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Requirement / Problem Definition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3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Business Entity Inventory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4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Business Entity Operation Matrix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5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Entity Hierarchy Matrix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6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User Journey Registry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7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Functional Workbench Contract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8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Interaction Topology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9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AI Continuity Contract（適用）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10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Functional Chain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11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Cross-page Flow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12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Page Design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13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Section / Component Registry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14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Control / Field / Action / Gate / Permission Binding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15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State / Transition / Recovery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16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Data Object Binding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17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Function Visual Impact Matrix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18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Visual Anchor Registry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19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Visual Generation Manifest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20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Visual Candidates A–H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21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Code Gap / Construction Delta Matrix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22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Pre-Implementation Guards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23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Implementation Handoff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24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Acceptance Matrix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25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Audit Baseline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26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Definition of Done</w:t>
            </w:r>
          </w:p>
        </w:tc>
        <w:tc>
          <w:tcPr>
            <w:tcW w:type="dxa" w:w="5179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  <w:tr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27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Resume / Next Step</w:t>
            </w:r>
          </w:p>
        </w:tc>
        <w:tc>
          <w:tcPr>
            <w:tcW w:type="dxa" w:w="5179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2"/>
              </w:rPr>
              <w:t>Missing =&gt; package incomplete / implementation forbidden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TC" w:hAnsi="Noto Sans CJK TC" w:eastAsia="Noto Sans CJK TC"/>
        </w:rPr>
        <w:t>4. 文件索引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2220"/>
            <w:shd w:fill="151A3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/>
                <w:color w:val="FFFFFF"/>
                <w:sz w:val="11"/>
              </w:rPr>
              <w:t>#</w:t>
            </w:r>
          </w:p>
        </w:tc>
        <w:tc>
          <w:tcPr>
            <w:tcW w:type="dxa" w:w="2220"/>
            <w:shd w:fill="151A3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/>
                <w:color w:val="FFFFFF"/>
                <w:sz w:val="11"/>
              </w:rPr>
              <w:t>UID</w:t>
            </w:r>
          </w:p>
        </w:tc>
        <w:tc>
          <w:tcPr>
            <w:tcW w:type="dxa" w:w="2220"/>
            <w:shd w:fill="151A3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/>
                <w:color w:val="FFFFFF"/>
                <w:sz w:val="11"/>
              </w:rPr>
              <w:t>Name</w:t>
            </w:r>
          </w:p>
        </w:tc>
        <w:tc>
          <w:tcPr>
            <w:tcW w:type="dxa" w:w="2220"/>
            <w:shd w:fill="151A3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/>
                <w:color w:val="FFFFFF"/>
                <w:sz w:val="11"/>
              </w:rPr>
              <w:t>Surface</w:t>
            </w:r>
          </w:p>
        </w:tc>
        <w:tc>
          <w:tcPr>
            <w:tcW w:type="dxa" w:w="2220"/>
            <w:shd w:fill="151A3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/>
                <w:color w:val="FFFFFF"/>
                <w:sz w:val="11"/>
              </w:rPr>
              <w:t>Current Owner Basis</w:t>
            </w:r>
          </w:p>
        </w:tc>
        <w:tc>
          <w:tcPr>
            <w:tcW w:type="dxa" w:w="2220"/>
            <w:shd w:fill="151A3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/>
                <w:color w:val="FFFFFF"/>
                <w:sz w:val="11"/>
              </w:rPr>
              <w:t>Special Merge</w:t>
            </w:r>
          </w:p>
        </w:tc>
        <w:tc>
          <w:tcPr>
            <w:tcW w:type="dxa" w:w="2220"/>
            <w:shd w:fill="151A33"/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/>
                <w:color w:val="FFFFFF"/>
                <w:sz w:val="11"/>
              </w:rPr>
              <w:t>Word Path</w:t>
            </w:r>
          </w:p>
        </w:tc>
      </w:tr>
      <w:tr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1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WB-01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公司首頁／儀表板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HOME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authority/pages/workspace/WB-01/ACPOS_WB-01_FINAL_LOCKED_ENCODING.yaml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Current + page concept reconciliation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01_HOME/01_WB-01_公司首頁_儀表板_Mother_Compliant_Basic_Design.docx</w:t>
            </w:r>
          </w:p>
        </w:tc>
      </w:tr>
      <w:tr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2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CORE-01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核心 AI 工作區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FRONT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authority/pages/workspace/CORE-01/CORE_PAGE_VISUAL_AUTHORITY_FINAL_SCRIPT_CONTENT_CLOSED.yaml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AI continuity integrated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02_FRONT/02_CORE-01_核心 AI 工作區_Mother_Compliant_Basic_Design.docx</w:t>
            </w:r>
          </w:p>
        </w:tc>
      </w:tr>
      <w:tr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3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ASSET-01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素材生產工作區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FRONT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authority/pages/workspace/ASSET-01/ASSET_PAGE_VISUAL_AUTHORITY_FINAL_SCRIPT_CONTENT_CLOSED_V1.1.yaml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AI continuity integrated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02_FRONT/03_ASSET-01_素材生產工作區_Mother_Compliant_Basic_Design.docx</w:t>
            </w:r>
          </w:p>
        </w:tc>
      </w:tr>
      <w:tr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4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VIDEO-01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影片生成工作區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FRONT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authority/pages/workspace/VIDEO-01/VIDEO_PAGE_VISUAL_AUTHORITY_FINAL_SCRIPT_CONTENT_CLOSED_V1.1.yaml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AI continuity integrated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02_FRONT/04_VIDEO-01_影片生成工作區_Mother_Compliant_Basic_Design.docx</w:t>
            </w:r>
          </w:p>
        </w:tc>
      </w:tr>
      <w:tr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5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EDIT-01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整合後製剪輯工作台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FRONT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authority/pages/workspace/EDIT-01/ACPOS_EDIT-01_FINAL_LOCKED_ENCODING_SCRIPT_CONTENT_CLOSED_V1.1.yaml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AI continuity integrated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02_FRONT/05_EDIT-01_整合後製剪輯工作台_Mother_Compliant_Basic_Design.docx</w:t>
            </w:r>
          </w:p>
        </w:tc>
      </w:tr>
      <w:tr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6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QA-01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QA 審查工作區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FRONT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authority/pages/workspace/QA-01/ACPOS_QA-01_FINAL_LOCKED_ENCODING_DEDUP_CLEAN.yaml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Current + page concept reconciliation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02_FRONT/06_QA-01_QA 審查工作區_Mother_Compliant_Basic_Design.docx</w:t>
            </w:r>
          </w:p>
        </w:tc>
      </w:tr>
      <w:tr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7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DB-01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資料庫／資料血緣工作區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FRONT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authority/pages/admin/DB-01/ACPOS_DB-01_FINAL_LOCKED_ENCODING.yaml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Current + page concept reconciliation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02_FRONT/07_DB-01_資料庫_資料血緣工作區_Mother_Compliant_Basic_Design.docx</w:t>
            </w:r>
          </w:p>
        </w:tc>
      </w:tr>
      <w:tr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8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STR-01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戰略中心工作區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FRONT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authority/pages/workspace/STR-01/ACPOS_STR-01_FINAL_LOCKED_ENCODING_PROVIDER_BOUND.yaml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AI continuity integrated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02_FRONT/08_STR-01_戰略中心工作區_Mother_Compliant_Basic_Design.docx</w:t>
            </w:r>
          </w:p>
        </w:tc>
      </w:tr>
      <w:tr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9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INFO-01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最新資訊工作區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FRONT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authority/pages/workspace/INFO-01/ACPOS_INFO-01_FINAL_LOCKED_ENCODING.yaml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Current + page concept reconciliation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02_FRONT/09_INFO-01_最新資訊工作區_Mother_Compliant_Basic_Design.docx</w:t>
            </w:r>
          </w:p>
        </w:tc>
      </w:tr>
      <w:tr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10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SYS-01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系統維護／系統生命週期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ADMIN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authority/pages/admin/SYS-01/ACPOS_SYS-01_SYSTEM_LIFECYCLE_AI_FINAL_DESIGN_ENCODING.yaml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AI continuity integrated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03_ADMIN/10_SYS-01_系統維護_系統生命週期_Mother_Compliant_Basic_Design.docx</w:t>
            </w:r>
          </w:p>
        </w:tc>
      </w:tr>
      <w:tr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11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IAM-01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帳戶與權限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ADMIN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authority/pages/admin/IAM-01/ACPOS_IAM-01_ACCOUNT_PERMISSION_SINGLE_PAGE_FINAL_LOCKED_ENCODING.yaml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Current + page concept reconciliation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03_ADMIN/11_IAM-01_帳戶與權限_Mother_Compliant_Basic_Design.docx</w:t>
            </w:r>
          </w:p>
        </w:tc>
      </w:tr>
      <w:tr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12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DEV-01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企業開發與商機自動化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ADMIN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authority/pages/admin/DEV-01/ACPOS_DEV-01_ENTERPRISE_AUTOMATION_SINGLE_PAGE_FINAL_LOCKED_ENCODING.yaml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Enterprise/Ads update integrated; AI continuity integrated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03_ADMIN/12_DEV-01_企業開發與商機自動化_Mother_Compliant_Basic_Design.docx</w:t>
            </w:r>
          </w:p>
        </w:tc>
      </w:tr>
      <w:tr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13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SOC-01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自動廣告／公開市場商機與社群發布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ADMIN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authority/pages/admin/SOC-01/ACPOS_SOC-01_SOCIAL_PUBLISHING_SINGLE_PAGE_FINAL_LOCKED_ENCODING.yaml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Enterprise/Ads update integrated; AI continuity integrated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03_ADMIN/13_SOC-01_自動廣告_公開市場商機與社群發布_Mother_Compliant_Basic_Design.docx</w:t>
            </w:r>
          </w:p>
        </w:tc>
      </w:tr>
      <w:tr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14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ERP-01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ERP／財務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ADMIN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authority/pages/admin/ERP-01/ACPOS_ERP-01_ERP_FINANCE_SINGLE_PAGE_FINAL_LOCKED_ENCODING.yaml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Current + page concept reconciliation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03_ADMIN/14_ERP-01_ERP_財務_Mother_Compliant_Basic_Design.docx</w:t>
            </w:r>
          </w:p>
        </w:tc>
      </w:tr>
      <w:tr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15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AIAPI-01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AI API 管理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ADMIN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authority/pages/admin/AIAPI-01/ACPOS_AIAPI-01_FINAL_LOCKED_ENCODING.yaml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Current + page concept reconciliation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03_ADMIN/15_AIAPI-01_AI API 管理_Mother_Compliant_Basic_Design.docx</w:t>
            </w:r>
          </w:p>
        </w:tc>
      </w:tr>
      <w:tr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16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SG-02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QA 審查項目／品質標準治理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ADMIN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authority/pages/admin/SG-02/ACPOS_SG-02_QA_REVIEW_STANDARD_FINAL_LOCKED_ENCODING.yaml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Current + page concept reconciliation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03_ADMIN/16_SG-02_QA 審查項目_品質標準治理_Mother_Compliant_Basic_Design.docx</w:t>
            </w:r>
          </w:p>
        </w:tc>
      </w:tr>
      <w:tr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17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ADMIN-STR-01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戰略中心後台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ADMIN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authority/pages/admin/STR-01/ACPOS_STRATEGY_CENTER_SINGLE_PAGE_FINAL_LOCKED_ENCODING.yaml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Current + page concept reconciliation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03_ADMIN/17_ADMIN-STR-01_戰略中心後台_Mother_Compliant_Basic_Design.docx</w:t>
            </w:r>
          </w:p>
        </w:tc>
      </w:tr>
      <w:tr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18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KB-01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知識庫與 Experience 中心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ADMIN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authority/pages/admin/KB-01/ACPOS_KB-01_FINAL_LOCKED_ENCODING.yaml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AI continuity integrated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03_ADMIN/18_KB-01_知識庫與 Experience 中心_Mother_Compliant_Basic_Design.docx</w:t>
            </w:r>
          </w:p>
        </w:tc>
      </w:tr>
      <w:tr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19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LOGIN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登入／身份入口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LOGIN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authority/global/ACPOS_SYSTEM_AUTHORITY_FINAL_LOCKED_CURRENT.yaml + production identity runtime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Current + page concept reconciliation</w:t>
            </w:r>
          </w:p>
        </w:tc>
        <w:tc>
          <w:tcPr>
            <w:tcW w:type="dxa" w:w="2220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04_LOGIN/19_LOGIN_登入_身份入口_Mother_Compliant_Basic_Design.docx</w:t>
            </w:r>
          </w:p>
        </w:tc>
      </w:tr>
      <w:tr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20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SYSTEM-LOGIC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全站系統邏輯與共享 Runtime/AI Continuity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SYSTEM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authority/global/ACPOS_SYSTEM_AUTHORITY_FINAL_LOCKED_CURRENT.yaml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AI continuity integrated</w:t>
            </w:r>
          </w:p>
        </w:tc>
        <w:tc>
          <w:tcPr>
            <w:tcW w:type="dxa" w:w="2220"/>
            <w:shd w:fill="F1F2F8"/>
            <w:vAlign w:val="top"/>
          </w:tcPr>
          <w:p>
            <w:pPr>
              <w:spacing w:after="0" w:before="0" w:line="240" w:lineRule="auto"/>
            </w:pPr>
            <w:r>
              <w:rPr>
                <w:rFonts w:ascii="Noto Sans CJK TC" w:hAnsi="Noto Sans CJK TC" w:eastAsia="Noto Sans CJK TC"/>
                <w:b w:val="0"/>
                <w:color w:val="171A2B"/>
                <w:sz w:val="11"/>
              </w:rPr>
              <w:t>05_SYSTEM_LOGIC/20_SYSTEM-LOGIC_全站系統邏輯與共享 Runtime_AI Continuity_Mother_Compliant_Basic_Design.docx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TC" w:hAnsi="Noto Sans CJK TC" w:eastAsia="Noto Sans CJK TC"/>
        </w:rPr>
        <w:t>5. 全包 Design Freeze 狀態</w:t>
      </w:r>
    </w:p>
    <w:p>
      <w:pPr>
        <w:spacing w:after="80" w:line="259" w:lineRule="auto"/>
        <w:shd w:fill="FFF4DF"/>
      </w:pPr>
      <w:r>
        <w:rPr>
          <w:rFonts w:ascii="Noto Sans CJK TC" w:hAnsi="Noto Sans CJK TC" w:eastAsia="Noto Sans CJK TC"/>
          <w:color w:val="171A2B"/>
          <w:sz w:val="16"/>
        </w:rPr>
        <w:t>這一包是「最完整方向的 Basic Design Draft」，不是施工證據。每頁均已建立完整 artifacts 與 8 種視覺候選，但正式 DESIGN_FROZEN 仍需 Human Visual/Functional Review，並在核准後把變更 materialize 回既有 Current Authority owner。未經該步驟，不得直接施工。</w:t>
      </w:r>
    </w:p>
    <w:p>
      <w:pPr>
        <w:sectPr>
          <w:pgSz w:w="16834" w:h="11909" w:orient="landscape"/>
          <w:pgMar w:top="576" w:right="504" w:bottom="576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2026-09-21 Source-Grounded Construction Closure Index</w:t>
      </w:r>
    </w:p>
    <w:p>
      <w:r>
        <w:rPr>
          <w:b/>
        </w:rPr>
        <w:t xml:space="preserve">[ACPOS-20260921-SOURCE-GROUNDED-CONSTRUCTION-CLOSURE-V2] </w:t>
      </w:r>
      <w:r>
        <w:t>Source-grounded only. Existing Current source wins; missing source values remain blocked/decision-required. This closure supersedes the prior generic 2026-09-21 V1/V3 annex only, not the original domain logic or human visual review gates.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80"/>
        <w:gridCol w:w="2180"/>
        <w:gridCol w:w="2180"/>
        <w:gridCol w:w="2180"/>
        <w:gridCol w:w="2180"/>
      </w:tblGrid>
      <w:tr>
        <w:trPr>
          <w:tblHeader w:val="true"/>
        </w:trPr>
        <w:tc>
          <w:tcPr>
            <w:tcW w:type="dxa" w:w="2180"/>
            <w:shd w:fill="EDE9FE"/>
          </w:tcPr>
          <w:p>
            <w:r>
              <w:rPr>
                <w:sz w:val="13"/>
              </w:rPr>
              <w:t>Page</w:t>
            </w:r>
          </w:p>
        </w:tc>
        <w:tc>
          <w:tcPr>
            <w:tcW w:type="dxa" w:w="2180"/>
            <w:shd w:fill="EDE9FE"/>
          </w:tcPr>
          <w:p>
            <w:r>
              <w:rPr>
                <w:sz w:val="13"/>
              </w:rPr>
              <w:t>Expected Controls</w:t>
            </w:r>
          </w:p>
        </w:tc>
        <w:tc>
          <w:tcPr>
            <w:tcW w:type="dxa" w:w="2180"/>
            <w:shd w:fill="EDE9FE"/>
          </w:tcPr>
          <w:p>
            <w:r>
              <w:rPr>
                <w:sz w:val="13"/>
              </w:rPr>
              <w:t>Exact Rows</w:t>
            </w:r>
          </w:p>
        </w:tc>
        <w:tc>
          <w:tcPr>
            <w:tcW w:type="dxa" w:w="2180"/>
            <w:shd w:fill="EDE9FE"/>
          </w:tcPr>
          <w:p>
            <w:r>
              <w:rPr>
                <w:sz w:val="13"/>
              </w:rPr>
              <w:t>Denominator</w:t>
            </w:r>
          </w:p>
        </w:tc>
        <w:tc>
          <w:tcPr>
            <w:tcW w:type="dxa" w:w="2180"/>
            <w:shd w:fill="EDE9FE"/>
          </w:tcPr>
          <w:p>
            <w:r>
              <w:rPr>
                <w:sz w:val="13"/>
              </w:rPr>
              <w:t>True Runtime / Governance Status</w:t>
            </w:r>
          </w:p>
        </w:tc>
      </w:tr>
      <w:tr>
        <w:tc>
          <w:tcPr>
            <w:tcW w:type="dxa" w:w="2180"/>
          </w:tcPr>
          <w:p>
            <w:r>
              <w:rPr>
                <w:sz w:val="13"/>
              </w:rPr>
              <w:t>WB-01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14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14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PASS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NO_DEFINITION_GAP</w:t>
            </w:r>
          </w:p>
        </w:tc>
      </w:tr>
      <w:tr>
        <w:tc>
          <w:tcPr>
            <w:tcW w:type="dxa" w:w="2180"/>
          </w:tcPr>
          <w:p>
            <w:r>
              <w:rPr>
                <w:sz w:val="13"/>
              </w:rPr>
              <w:t>CORE-01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50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50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PASS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NO_DEFINITION_GAP</w:t>
            </w:r>
          </w:p>
        </w:tc>
      </w:tr>
      <w:tr>
        <w:tc>
          <w:tcPr>
            <w:tcW w:type="dxa" w:w="2180"/>
          </w:tcPr>
          <w:p>
            <w:r>
              <w:rPr>
                <w:sz w:val="13"/>
              </w:rPr>
              <w:t>ASSET-01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85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85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PASS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NO_DEFINITION_GAP</w:t>
            </w:r>
          </w:p>
        </w:tc>
      </w:tr>
      <w:tr>
        <w:tc>
          <w:tcPr>
            <w:tcW w:type="dxa" w:w="2180"/>
          </w:tcPr>
          <w:p>
            <w:r>
              <w:rPr>
                <w:sz w:val="13"/>
              </w:rPr>
              <w:t>VIDEO-01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85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85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PASS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NO_DEFINITION_GAP</w:t>
            </w:r>
          </w:p>
        </w:tc>
      </w:tr>
      <w:tr>
        <w:tc>
          <w:tcPr>
            <w:tcW w:type="dxa" w:w="2180"/>
          </w:tcPr>
          <w:p>
            <w:r>
              <w:rPr>
                <w:sz w:val="13"/>
              </w:rPr>
              <w:t>EDIT-01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160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160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PASS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STALE_DERIVED_VALIDATION_COUNT</w:t>
            </w:r>
          </w:p>
        </w:tc>
      </w:tr>
      <w:tr>
        <w:tc>
          <w:tcPr>
            <w:tcW w:type="dxa" w:w="2180"/>
          </w:tcPr>
          <w:p>
            <w:r>
              <w:rPr>
                <w:sz w:val="13"/>
              </w:rPr>
              <w:t>QA-01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87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87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PASS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NO_DEFINITION_GAP</w:t>
            </w:r>
          </w:p>
        </w:tc>
      </w:tr>
      <w:tr>
        <w:tc>
          <w:tcPr>
            <w:tcW w:type="dxa" w:w="2180"/>
          </w:tcPr>
          <w:p>
            <w:r>
              <w:rPr>
                <w:sz w:val="13"/>
              </w:rPr>
              <w:t>DB-01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49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49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PASS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NO_DEFINITION_GAP</w:t>
            </w:r>
          </w:p>
        </w:tc>
      </w:tr>
      <w:tr>
        <w:tc>
          <w:tcPr>
            <w:tcW w:type="dxa" w:w="2180"/>
          </w:tcPr>
          <w:p>
            <w:r>
              <w:rPr>
                <w:sz w:val="13"/>
              </w:rPr>
              <w:t>STR-01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57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57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PASS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NO_DEFINITION_GAP</w:t>
            </w:r>
          </w:p>
        </w:tc>
      </w:tr>
      <w:tr>
        <w:tc>
          <w:tcPr>
            <w:tcW w:type="dxa" w:w="2180"/>
          </w:tcPr>
          <w:p>
            <w:r>
              <w:rPr>
                <w:sz w:val="13"/>
              </w:rPr>
              <w:t>INFO-01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66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66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PASS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NO_DEFINITION_GAP</w:t>
            </w:r>
          </w:p>
        </w:tc>
      </w:tr>
      <w:tr>
        <w:tc>
          <w:tcPr>
            <w:tcW w:type="dxa" w:w="2180"/>
          </w:tcPr>
          <w:p>
            <w:r>
              <w:rPr>
                <w:sz w:val="13"/>
              </w:rPr>
              <w:t>SYS-01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12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12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PASS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NO_DEFINITION_GAP</w:t>
            </w:r>
          </w:p>
        </w:tc>
      </w:tr>
      <w:tr>
        <w:tc>
          <w:tcPr>
            <w:tcW w:type="dxa" w:w="2180"/>
          </w:tcPr>
          <w:p>
            <w:r>
              <w:rPr>
                <w:sz w:val="13"/>
              </w:rPr>
              <w:t>IAM-01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14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14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PASS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NO_DEFINITION_GAP</w:t>
            </w:r>
          </w:p>
        </w:tc>
      </w:tr>
      <w:tr>
        <w:tc>
          <w:tcPr>
            <w:tcW w:type="dxa" w:w="2180"/>
          </w:tcPr>
          <w:p>
            <w:r>
              <w:rPr>
                <w:sz w:val="13"/>
              </w:rPr>
              <w:t>DEV-01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22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22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PASS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NO_DEFINITION_GAP</w:t>
            </w:r>
          </w:p>
        </w:tc>
      </w:tr>
      <w:tr>
        <w:tc>
          <w:tcPr>
            <w:tcW w:type="dxa" w:w="2180"/>
          </w:tcPr>
          <w:p>
            <w:r>
              <w:rPr>
                <w:sz w:val="13"/>
              </w:rPr>
              <w:t>SOC-01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67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67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PASS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NO_DEFINITION_GAP</w:t>
            </w:r>
          </w:p>
        </w:tc>
      </w:tr>
      <w:tr>
        <w:tc>
          <w:tcPr>
            <w:tcW w:type="dxa" w:w="2180"/>
          </w:tcPr>
          <w:p>
            <w:r>
              <w:rPr>
                <w:sz w:val="13"/>
              </w:rPr>
              <w:t>ERP-01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42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42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PASS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NO_DEFINITION_GAP</w:t>
            </w:r>
          </w:p>
        </w:tc>
      </w:tr>
      <w:tr>
        <w:tc>
          <w:tcPr>
            <w:tcW w:type="dxa" w:w="2180"/>
          </w:tcPr>
          <w:p>
            <w:r>
              <w:rPr>
                <w:sz w:val="13"/>
              </w:rPr>
              <w:t>AIAPI-01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17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17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PASS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NO_DEFINITION_GAP</w:t>
            </w:r>
          </w:p>
        </w:tc>
      </w:tr>
      <w:tr>
        <w:tc>
          <w:tcPr>
            <w:tcW w:type="dxa" w:w="2180"/>
          </w:tcPr>
          <w:p>
            <w:r>
              <w:rPr>
                <w:sz w:val="13"/>
              </w:rPr>
              <w:t>SG-02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11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11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PASS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RUNTIME_BINDING_VALIDATION</w:t>
            </w:r>
          </w:p>
        </w:tc>
      </w:tr>
      <w:tr>
        <w:tc>
          <w:tcPr>
            <w:tcW w:type="dxa" w:w="2180"/>
          </w:tcPr>
          <w:p>
            <w:r>
              <w:rPr>
                <w:sz w:val="13"/>
              </w:rPr>
              <w:t>ADMIN-STR-01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19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19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PASS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RUNTIME_IMPLEMENTATION_BLOCKED; RUNTIME_IMPLEMENTATION_BLOCKED; RUNTIME_IMPLEMENTATION_BLOCKED; RUNTIME_IMPLEMENTATION_BLOCKED; RUNTIME_IMPLEMENTATION_BLOCKED; RUNTIME_IMPLEMENTATION_BLOCKED; PARTIAL_RUNTIME_MATERIALIZATION</w:t>
            </w:r>
          </w:p>
        </w:tc>
      </w:tr>
      <w:tr>
        <w:tc>
          <w:tcPr>
            <w:tcW w:type="dxa" w:w="2180"/>
          </w:tcPr>
          <w:p>
            <w:r>
              <w:rPr>
                <w:sz w:val="13"/>
              </w:rPr>
              <w:t>KB-01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27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27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PASS</w:t>
            </w:r>
          </w:p>
        </w:tc>
        <w:tc>
          <w:tcPr>
            <w:tcW w:type="dxa" w:w="2180"/>
          </w:tcPr>
          <w:p>
            <w:r>
              <w:rPr>
                <w:sz w:val="13"/>
              </w:rPr>
              <w:t>IMPLEMENTATION_EXECUTION_EVIDENCE</w:t>
            </w:r>
          </w:p>
        </w:tc>
      </w:tr>
    </w:tbl>
    <w:p>
      <w:r>
        <w:t>This index records construction definition status only. Human Visual Review / Design Freeze and Production runtime acceptance remain independent gates.</w:t>
      </w:r>
    </w:p>
    <w:sectPr w:rsidR="00FC693F" w:rsidRPr="0006063C" w:rsidSect="00034616">
      <w:pgSz w:w="11909" w:h="16834" w:orient="landscape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596078"/>
        <w:sz w:val="12"/>
      </w:rPr>
      <w:t>GitHub new @ 165c6440cb53 · Planning Artifact · Not Implementation Evidence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color w:val="596078"/>
        <w:sz w:val="13"/>
      </w:rPr>
      <w:t>ORANGE ONE · ACPOS · MASTER-INDEX · BASIC DESIGN REBUILD · 2026-09-20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51A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6F56D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D5DB7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