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Quality Profile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Department → Profile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Department / Artifact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Profile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Concrete review scope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image-compatible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QCP-ASSET-IMAGE-V1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Identity/DNA, Object, Scene, Composition, Geometry/Artifacts, Style/Color/Lighting, Technical,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audio-compatible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QCP-ASSET-AUDIO-V1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Voice/Semantic Fit, Pronunciation/Content, Timing, Noise/Clipping, Level/Dynamics, Technical Format,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VIDEO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QCP-VIDEO-BASELINE-V1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Script, Identity, Motion/Body, Camera/Gaze, Scene/Continuity, Timing/Duration, Technical, Asset/DNA Fidelity,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EDIT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QCP-EDIT-FINAL-V1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Assembly, Pacing, Visual/Frame Continuity, Voice, BGM, SFX, AV Sync, Lip Sync, Subtitle Content, Subtitle Timing/Readability, Technical, Rights/Provenance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Final QA / Release Candidate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QCP-QA-FINAL-OUTPUT-V1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17 concrete final-output dimensions including identity, frame continuity, lip sync, audio, subtitle, composition, edit, AV sync, technical, rights/policy</w:t>
            </w:r>
          </w:p>
        </w:tc>
      </w:tr>
    </w:tbl>
    <w:p>
      <w:pPr>
        <w:pStyle w:val="Heading2"/>
      </w:pPr>
      <w:r>
        <w:t>Creative Production QA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Step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Contract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Generate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Department creates exact output/version; output identity/checksum/lineage immutable for that review.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Resolve exact approved profile/version; produce scorecard with concrete dimension rows.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Create canonical finding with category/severity/evidence and exact affected scope.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Correction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Route to original owner; do not edit output inside QA.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New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Owner generates NEW exact version.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Recheck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Fresh scorecard on NEW version; previous scorecard remains historical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Final Gate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Total &gt;=95 AND all hard blocks/required checks PASS before release-candidate eligibility.</w:t>
            </w:r>
          </w:p>
        </w:tc>
      </w:tr>
    </w:tbl>
    <w:p>
      <w:r>
        <w:t>SG-02 control denominator is 12. The Submit Review control/action is part of the governing criteria lifecycle and 05 must not retain an 11-control assumption.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