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[ACPOS-20260921-BATCH-10-CANONICAL-OWNER-PRECEDENCE-V1::REFERENCE_ONLY::08_ACPOS_Strategy_Intelligence_MultiAI_Decision_System_Mother_Basic_Logic_Design_Normative_Contract_v1.0.docx]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Strategy Compare / Adopt Contract Reconciliation</w:t>
      </w:r>
    </w:p>
    <w:p>
      <w:r>
        <w:rPr>
          <w:b/>
        </w:rPr>
        <w:t xml:space="preserve">[ACPOS-20260922-BATCH-27-CANONICAL-CONTRACT-RECONCILIATION-V1::SYSTEM08] </w:t>
      </w:r>
      <w:r>
        <w:t>compareCandidates is reconciled as a read-only comparison contract because the existing owner contract is GET /v1/candidates/compare, uses a no-form read contract, and explicitly expects no mutation. adoptAsContextCandidate remains EFFECTFUL_EXACT and reuses the existing POST + AdoptAsContextCandidateRequest contract. Runtime execution is not asserted by this Word closure.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STR-01-TBL-COMPARE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Still requires explicit persistence-owner remediation if no exact owner is defined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