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864"/>
          </w:tcPr>
          <w:p>
            <w:r>
              <w:t>SYS-01-GATE-CR-CREATE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864"/>
          </w:tcPr>
          <w:p>
            <w:r>
              <w:t>SYS-01-GATE-SANDBOX-TEST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Quality Governance / Content Completeness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Concrete Criteria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QA/CORE/ASSET/VIDEO/EDIT review surfaces require actual dimension rows, not empty catalogs.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SG-02 lifecycle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EMPTY→DRAFT→REVIEW→APPROVED must be reachable; Submit Review is now required New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Runtime acceptance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Production read-only SG-02 9/9 PASS; effectful acceptance remains blocked until lifecycle implementation and real CriteriaVersion materialization.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Completion declaration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page may be declared complete if a required static business catalog is absent, even when UID/API bindings are complete.</w:t>
            </w:r>
          </w:p>
        </w:tc>
      </w:tr>
    </w:tbl>
    <w:p>
      <w:pPr>
        <w:sectPr>
          <w:pgSz w:w="15840" w:h="122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Engineer / Self-Inspection Quality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System Self-Inspection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Gate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Inspection rule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Failure classification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STATIC_CATALOG_CONTENT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Declared static Catalog/Criteria/Dimension/Checklist/Profile must contain concrete canonical rows and render contract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CONTENT_INCOMPLETE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must support EMPTY→DRAFT→REVIEW→APPROVED; Submit Review control/action/operation must exist in authority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LIFECYCLE_GAP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current control denominator =12; any current 11-control claim is stale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DENOMINATOR_STALE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CONSUMER_BINDING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Quality-consuming system must carry exact profile/version/policy/scorecard/finding/evidence refs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QUALITY_CONTEXT_UNBOUND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STALE_SCORECARD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Exact output/version changed after QA but prior scorecard still treated current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STALE_QA_EVIDENCE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Total score or human review used to bypass Rights/Policy/Evidence/etc.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QUALITY_GATE_BYPASS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Word authority exists but Runtime/Production not actually validated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IMPLEMENTATION_EVIDENCE_MISSING</w:t>
            </w:r>
          </w:p>
        </w:tc>
      </w:tr>
    </w:tbl>
    <w:p>
      <w:pPr>
        <w:pStyle w:val="Heading2"/>
      </w:pPr>
      <w:r>
        <w:t>Nine-System Synchronization Requirement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System document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synchronization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01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Global owner matrix + Business Content Completeness + completion declaration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02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Conversation/memory preservation of exact QA context refs; no criteria mutation via chat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03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Execution payloads/operations for evaluate/finding/correction/recheck and SG-02 lifecycle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04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CORE profile consumption/handoff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05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ASSET/VIDEO/EDIT/QA profile mapping and correction/recheck flow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06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Enterprise outputs consume governed QA; no parallel QA score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07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Publish only exact QA-passed version; rights/policy hard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08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Strategy decision score/human approval separated from QA score/gate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09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Self-inspection catches empty static catalogs, stale denominators, missing QA context and false runtime-completion claims</w:t>
            </w:r>
          </w:p>
        </w:tc>
      </w:tr>
    </w:tbl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[ACPOS-20260921-BATCH-08-AUTHORITY-REMEDIATION-DENOMINATOR-V1::09_ACPOS_AI_System_Engineer_Self_Inspection_Evolution_System_Mother_Basic_Logic_Design_Normative_Contract_v1.0.docx]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6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system.change.propose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SYS-01-ACT-SANDBOX-TEST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system.test.execute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runSandboxTest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5840" w:h="122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[ACPOS-20260921-BATCH-10-CANONICAL-OWNER-PRECEDENCE-V1::REFERENCE_ONLY::09_ACPOS_AI_System_Engineer_Self_Inspection_Evolution_System_Mother_Basic_Logic_Design_Normative_Contract_v1.0.docx]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6"/>
        <w:gridCol w:w="1896"/>
        <w:gridCol w:w="1896"/>
        <w:gridCol w:w="1896"/>
        <w:gridCol w:w="1896"/>
        <w:gridCol w:w="1896"/>
      </w:tblGrid>
      <w:tr>
        <w:trPr>
          <w:tblHeader w:val="true"/>
        </w:trPr>
        <w:tc>
          <w:tcPr>
            <w:tcW w:type="dxa" w:w="18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AIAPI-01-BTN-RUN-PROVIDER-QUEUE-PROBE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CTRL-ADMIN-AIAPI-05-PROVIDER-CANDIDATE-GROUPS-CREATE-GROUP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CTRL-ADMIN-AIAPI-05-PROVIDER-CANDIDATE-GROUPS-RESTORE-PROVIDER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CTRL-ADMIN-AIAPI-05-PROVIDER-CANDIDATE-GROUPS-VIEW-QUARANTINE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CTRL-ADMIN-AIAPI-06-PROVIDER-MODEL-PROFILES-CREATE-PROFILE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CTRL-ADMIN-AIAPI-06-PROVIDER-MODEL-PROFILES-DELETE-CREDENTIAL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CTRL-ADMIN-AIAPI-06-PROVIDER-MODEL-PROFILES-RETIRE-PROFILE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CTRL-ADMIN-AIAPI-06-PROVIDER-MODEL-PROFILES-SET-CREDENTIAL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CTRL-ADMIN-AIAPI-06-PROVIDER-MODEL-PROFILES-TEST-PROFILE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CTRL-ADMIN-AIAPI-06-PROVIDER-MODEL-PROFILES-UPDATE-PROFILE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CTRL-ADMIN-AIAPI-06-PROVIDER-MODEL-PROFILES-VIEW-PROFILE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CTRL-ADMIN-AIAPI-08-ROUTE-SIMULATION-EXECUTE-ROUTE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CTRL-ADMIN-AIAPI-08-ROUTE-SIMULATION-VIEW-ROUTE-DECISION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DB-01-BTN-AUDIT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DB-01-BTN-INTEGRITY-REFRESH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DB-01-BTN-MIGRATION-REFRESH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DB-01-BTN-SCHEMA-REFRESH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DB-01-BTN-TRACE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DB-01-INP-MIGRATION-SEARCH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DB-01-INP-SEARCH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CTRL-ADMIN-SG-02-APPROVAL-OPEN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CTRL-ADMIN-SG-02-CRITERIA-TABLE-OPEN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CTRL-ADMIN-SG-02-DEPARTMENT-MAPPING-OPEN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CTRL-ADMIN-SG-02-DIMENSION-LIBRARY-OPEN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CTRL-ADMIN-SG-02-GATE-POLICY-OPEN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CTRL-ADMIN-SG-02-IMPACT-OPEN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CTRL-ADMIN-SG-02-REQUIRED-CHECKS-OPEN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CTRL-ADMIN-SG-02-THRESHOLDS-OPEN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SYS-01-BTN-ATTACH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is the unique Shared Conversation Core; SYS attachment is a conversation-core concern while System 09 remains governance/engineering consumer.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p>
      <w:pPr>
        <w:sectPr>
          <w:pgSz w:w="12240" w:h="158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14 · Aggregate Orchestration Operation / Owner Applicability Rule</w:t>
      </w:r>
    </w:p>
    <w:p>
      <w:r>
        <w:rPr>
          <w:b/>
        </w:rPr>
        <w:t xml:space="preserve">[ACPOS-20260921-BATCH-14-LOCAL-ORCHESTRATION-NA-SEMANTICS-V1::SYSTEM09] </w:t>
      </w:r>
      <w:r>
        <w:t>IAM-01-BTN-COMPLETE is explicitly classified ORCHESTRATES_EXISTING_EXACT_OPERATIONS. The aggregate UI control delegates to already-defined exact IAM operations and their respective runtime owners. Therefore the aggregate row has no single Operation and no single Runtime Owner; both cells MUST remain '—'. This rule does not alter constituent operation contracts.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95"/>
        <w:gridCol w:w="2995"/>
        <w:gridCol w:w="2995"/>
        <w:gridCol w:w="2995"/>
        <w:gridCol w:w="2995"/>
      </w:tblGrid>
      <w:tr>
        <w:trPr>
          <w:tblHeader w:val="true"/>
        </w:trPr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Target UID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Field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Runtime Status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Applicability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Handling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Operation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LEGITIMATE_NA_ORCHESTRATION_AGGREGATE_OPERATION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Delegate to constituent exact operations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Runtime Owner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LEGITIMATE_NA_ORCHESTRATION_AGGREGATE_RUNTIME_OWNER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Delegate to constituent operation owners</w:t>
            </w:r>
          </w:p>
        </w:tc>
      </w:tr>
    </w:tbl>
    <w:p>
      <w:pPr>
        <w:sectPr>
          <w:pgSz w:w="15840" w:h="12240" w:orient="landscape"/>
          <w:pgMar w:top="490" w:right="432" w:bottom="490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Canonical Operation / Runtime Owner Contract Closure</w:t>
      </w:r>
    </w:p>
    <w:p>
      <w:r>
        <w:rPr>
          <w:b/>
        </w:rPr>
        <w:t xml:space="preserve">[ACPOS-20260921-BATCH-16-OPERATION-OWNER-CONTRACT-CLOSURE-V1::CANONICAL_OWNER] </w:t>
      </w:r>
      <w:r>
        <w:t>This ledger materializes the missing Operation and/or Runtime Owner definitions inside the already-resolved Canonical Owner. It does not create a parallel owner, and it does not synthesize public API routes. Existing Method/Path values are preserved; where Method/Path is absent, transport binding remains implementation-required.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Page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Target UID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Closed Field(s)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Owner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Status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Transport Handling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SYS-01-BTN-CANDIDATE-CREATE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ChangePlanner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POST /v1/system/changes/candidates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 Engineer component/event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SYS-01-BTN-CR-CREATE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SystemEngineer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POST /v1/system/changes/{SYSTEM_CHANGE_ID}/requests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 Engineer component/event owner boundary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17 · SYS Canonical Gate Contracts / Conflict Resolution</w:t>
      </w:r>
    </w:p>
    <w:p>
      <w:r>
        <w:rPr>
          <w:b/>
        </w:rPr>
        <w:t xml:space="preserve">[ACPOS-20260921-BATCH-17-REMAINING-DEFINITION-CLOSURE-V1::SYSTEM09::SYS] </w:t>
      </w:r>
      <w:r>
        <w:t>System 09 is the Canonical Owner for these three SYS-01 controls. Two effectful controls had no Gate defined and now receive explicit owner-defined Gate UIDs. SYS-01-BTN-NAV-OPEN had a preserved conflict between CURRENT_VIEW_AND_SOURCE_ACTION_GATE and SOURCE_PAGE_GATE. The later exact binding of operation=getUiProjection and Runtime Owner='Projection / source page read owner', together with ops.read and UI_LOCAL_OR_READ_SOURCE, disambiguates the control to the source-page read domain; SOURCE_PAGE_GATE is therefore the canonical Gate. The mutation-oriented CURRENT_VIEW_AND_SOURCE_ACTION_GATE is not transferred.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tblHeader w:val="true"/>
        </w:trPr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Canonical Gate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Authority Basis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Precondition / Failure Semantics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SYS-01-GATE-CR-CREATE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Canonical owner new definition for createChangeRequest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SYSTEM_CHANGE_ID resolves; core.change.create authorized; request validates against existing createChangeRequest contract. Missing/invalid precondition =&gt; fail closed.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SYS-01-BTN-NAV-OPEN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SOURCE_PAGE_GATE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Resolved historical conflict by getUiProjection + source-page read owner + ops.read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Referenced source-page/projection target must resolve under read authority. No mutation; unresolved source =&gt; fail closed.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SYS-01-GATE-SANDBOX-TEST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Canonical owner new definition for runSandboxTest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SYSTEM_CHANGE_ID resolves; system.test.execute authorized; sandbox remains non-production and provider command runtime is eligible. Failure =&gt; no production promotion and fail closed.</w:t>
            </w:r>
          </w:p>
        </w:tc>
      </w:tr>
    </w:tbl>
    <w:p>
      <w:pPr>
        <w:sectPr>
          <w:pgSz w:w="15840" w:h="122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20 · IAM Permission Conflict Closure / Audit Identity Semantics</w:t>
      </w:r>
    </w:p>
    <w:p>
      <w:r>
        <w:rPr>
          <w:b/>
        </w:rPr>
        <w:t xml:space="preserve">[ACPOS-20260922-BATCH-20-AUDIT-SEMANTICS-IAM-CONFLICT-CLOSURE-V1::SYSTEM09] </w:t>
      </w:r>
      <w:r>
        <w:t>IAM-01-BTN-COMPLETE is one control identity. System 09 Canonical Owner occurrences unanimously bind Permission/Auth Resource to 'iam.user.create/configure + iam.permission.configure'. The page-local legacy phrase 'user manage + permission configure' is not a second permission identity and is superseded for Current construction binding. This closure changes no runtime implementation claim.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Canonical Value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Superseded Page Alias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IAM-01-BTN-COMPLETE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Permission / Auth Resource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iam.user.create/configure + iam.permission.configure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user manage + permission configure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NORMALIZE_TO_CANONICAL_OWNER_VALUE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27 · IAM Audit Read Contract Reconciliation</w:t>
      </w:r>
    </w:p>
    <w:p>
      <w:r>
        <w:rPr>
          <w:b/>
        </w:rPr>
        <w:t xml:space="preserve">[ACPOS-20260922-BATCH-27-CANONICAL-CONTRACT-RECONCILIATION-V1::SYSTEM09] </w:t>
      </w:r>
      <w:r>
        <w:t>IAM-01-BTN-AUDIT uses getUiProjection, page.view and the existing GET /v1/ui-projections/{pageUid} contract. The prior EFFECTFUL_EXACT status contradicts the operation's read-only contract and is superseded by READ_EXACT. No mutation or persistence owner is applicable.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7"/>
        <w:gridCol w:w="3007"/>
        <w:gridCol w:w="3007"/>
        <w:gridCol w:w="3007"/>
        <w:gridCol w:w="3007"/>
      </w:tblGrid>
      <w:tr>
        <w:trPr>
          <w:tblHeader w:val="true"/>
        </w:trPr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Persistence Semantics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IAM-01-BTN-AUDIT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GET /v1/ui-projections/{pageUid}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N/A - read-only projection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