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admin STR-01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戰略中心後台｜Mother Basic Design</w:t>
      </w:r>
    </w:p>
    <w:p>
      <w:pPr>
        <w:spacing w:after="140"/>
      </w:pPr>
      <w:r>
        <w:rPr>
          <w:rFonts w:ascii="Noto Sans CJK TC" w:hAnsi="Noto Sans CJK TC" w:eastAsia="Noto Sans CJK TC"/>
          <w:b/>
          <w:color w:val="5840A0"/>
          <w:sz w:val="20"/>
        </w:rPr>
        <w:t>Strategy Administration · Intelligence / Fact · Playbook · Opportunity · Decision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頁面身份</w:t>
            </w:r>
          </w:p>
        </w:tc>
        <w:tc>
          <w:tcPr>
            <w:tcW w:type="dxa" w:w="72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admin:STR-01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戰略中心後台 / Strategy Center Administration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Current UX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/ 5 same-page views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Owner Boundary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StrategyService + StrategyFactPackService；禁止 merge/rebuild 第二套服務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Route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由 Current Navigation Authority 解譯；本頁禁止自行推導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Data Truth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Real projection only；缺值 = —；Inference 不得冒充 Fact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Status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Page Role / 前台與後台責任邊界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admin STR-01 戰略中心後台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workspace STR-01 戰略中心工作區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主要角色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 Source / Fact / Playbook / Opportunity / Decision Candidate、審批與可追溯性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策略 AI 對話、分析、方案比較、Human Review 與決策輔助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AI Conversation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不作為主工作面；不得複製前台 Conversation Core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正式 Strategic AI Conversation 使用面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資料管理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管理治理物件、品質、版本、Scope、Retention、Citation、Fact Registry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消費受治理的 Strategic Context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決策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Lab 比較候選、記錄理由、建立 governed handoff/context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人類審查策略建議並形成決策紀錄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直接寫 Canon Lock / Task / Budget / Publish、建立第二套 Strategy Service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取代 Finance / Workflow / Governance / Production owner 執行權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核心裁決｜</w:t>
            </w:r>
            <w:r>
              <w:rPr>
                <w:rFonts w:ascii="Noto Sans CJK TC" w:hAnsi="Noto Sans CJK TC" w:eastAsia="Noto Sans CJK TC"/>
                <w:sz w:val="16"/>
              </w:rPr>
              <w:t>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49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5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唯一 Owner 邊界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外部/內部情報來源、Scope、Quality、Retention、Health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 / shared acquisition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可追溯 Fact、Citation、Completeness、Confidence/Quality state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Watchlist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受治理觀察範圍與追蹤項目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projection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平台 Profile、Account Scope、Playbook、Hypothesis、Evidence、Version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Trend/Momentum/Forecast 產生的策略機會候選；非正式決策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可比較/拒絕/採納為 Context 的決策候選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DecisionContext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候選、Evidence、Risk/Cost/Capacity、Gate、Human Reason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受治理的跨模組 Context handoff；不是執行命令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downstream owner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AuditEvidence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Source/version/citation/correlation/approval/decision lineage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existing owners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2"/>
        <w:gridCol w:w="116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Discover/List</w:t>
            </w:r>
          </w:p>
        </w:tc>
        <w:tc>
          <w:tcPr>
            <w:tcW w:type="dxa" w:w="69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Create/Edit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Approve/Decide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Search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Export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StrategicSource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StrategicFact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Watchlist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PlatformPlaybook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Save*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OpportunityCandidate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Reject/Decide*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DecisionContext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Human reason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Immutable lineage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</w:tbl>
    <w:p>
      <w:pPr>
        <w:spacing w:after="10"/>
      </w:pPr>
    </w:p>
    <w:p>
      <w:pPr>
        <w:spacing w:after="60"/>
      </w:pPr>
      <w:r>
        <w:rPr>
          <w:rFonts w:ascii="Noto Sans CJK TC" w:hAnsi="Noto Sans CJK TC" w:eastAsia="Noto Sans CJK TC"/>
          <w:b w:val="0"/>
          <w:color w:val="804D00"/>
          <w:sz w:val="15"/>
        </w:rPr>
        <w:t>* 表示 Effectful 動作：只有 exact Operation Registry + Page Permission + State/Version/Idempotency/Audit 綁定 materialize 後才可 Enable；否則保持 Disabled / BLOCK。</w:t>
      </w: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上游</w:t>
            </w:r>
          </w:p>
        </w:tc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關係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下游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不可破壞規則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evidence/source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來源、版本、時間、Scope、Quality 必須可追溯；外部資料不得覆蓋 Current internal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supports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/ Opportunity / Strategy Candidate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與 inference 分離；Confidence 不得由前端生成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versioned hypothesis/evidence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不是 Publish Command；版本 append-only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reviewed candidate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 / DecisionContext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不得自動改 Project / Budget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decide / adopt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 ≠ 正式下游執行；採納只產生受治理 Context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handoff ref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Owner Module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Budget→ERP/Finance；Production→Workflow/Department；Publish→Publishing owner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View</w:t>
            </w:r>
          </w:p>
        </w:tc>
        <w:tc>
          <w:tcPr>
            <w:tcW w:type="dxa" w:w="48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主要責任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 Action</w:t>
            </w:r>
          </w:p>
        </w:tc>
        <w:tc>
          <w:tcPr>
            <w:tcW w:type="dxa" w:w="1007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拓撲分類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戰略總覽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Summary、Source Health、Fact Quality、Watchlist、Risk Alert、Candidate Queue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Refresh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READ/SEARCH/REFRESH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情報與 Fact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Registry、Scope Policy、Quality、Retention、Fact Registry、Cohort、Market Map、Citation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Search / Export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+ READ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平台 Playbook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 Profile、Account Scope、Playbook、Hypothesis、Evidence、Version、Approval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 / Approve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+ APPROVAL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趨勢與機會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Trend、Momentum、Forecast、Opportunity Queue、Confidence、Evidence、Review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Candidate / Approve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決策實驗室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Context、Option Compare、Evidence、Risk/Cost/Capacity、Decision Gate、Handoff、Audit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Reject-Decide / Adopt Context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+ HANDOFF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Layout / Visual Geometry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Global Shell：Header 58px；workspace slot 從 x=78 / y=68 開始；Sidebar 預設只顯示 icon，展開為 overlay，不得讓本頁 reflow。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本頁：Top Context + 5 View Tabs + Main Work Area + Right Information Panel；Detail 使用 480–560px Drawer，Effectful action 使用 Modal。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桌面優先；同頁 reflow。不得建立 Mobile-only 第二頁。長值採 ellipsis + Drawer；隱藏 row click 禁止。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一個 context 最多一個 dominant Primary CTA；其餘 Secondary。Disabled effectful control 必須顯示可存取 disabled reason。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表格／卡片只顯示 real projection。禁止 sample strategy data、假 confidence、假 health、假 cost/capacity。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admin STR-01 戰略總覽與情報治理工作區參考設計" title="admin STR-01 戰略總覽與情報治理工作區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OVERVIEW_INTELLI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A｜戰略總覽：五個 View 同頁切換；左側主工作區呈現真實 Strategy Projection，右側固定顯示 Owner、Truth、Permission 與 Runtime Boundary。</w:t>
      </w:r>
    </w:p>
    <w:p>
      <w:pPr>
        <w:pStyle w:val="Heading1"/>
        <w:spacing w:before="80" w:after="40"/>
      </w:pPr>
      <w:r>
        <w:t>7. Functional Chain / 端到端功能鏈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Flow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Functional Chain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Search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Configure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Draft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Candidate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Trend/Forecast projection + evidence → Create Candidate → candidate owner → DRAFT/REVIEW → explicit approval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Compare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Strategy candidates → compareCandidates READ → normalized comparison projection → Human review → no mutation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Reject/Adopt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Operation / Runtime Binding &amp; Current Blockers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929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24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11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施工 Gate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getUiProjection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/v1/ui-projections/{pageUid}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 projection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projection route must resolve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/v1/search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admin STR-01 exact authorization context must resolve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/v1/projections/refresh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Source registry currently INFO-owned; STR binding must be exact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PATCH /v1/governance/resources/{id}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/v1/governance/resources/{id}/approve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/v1/drafts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draft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Reused source operation; exact STR source binding required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/v1/exports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Registry reports canonical export persistence owner blocker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/v1/candidates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compareCandidates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/v1/candidates/compare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comparison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COMPARE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read contract exists;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/v1/ai/strategy/candidates/{strategyCandidateId}/reject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DECIDE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/v1/state-commands/strategycandidate/adoptascontextcandidate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context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Current Runtime Truth｜</w:t>
            </w:r>
            <w:r>
              <w:rPr>
                <w:rFonts w:ascii="Noto Sans CJK TC" w:hAnsi="Noto Sans CJK TC" w:eastAsia="Noto Sans CJK TC"/>
                <w:sz w:val="16"/>
              </w:rPr>
              <w:t>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Form / Input Contracts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Contract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Business Fields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View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Rule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query*；scope_ref*；filters_json?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 / Intelligence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不得用前端自行衍生 unauthorized filter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只刷新 exact projection/scope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resource_type*；resource_id*；config_patch_json*；reason*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禁止跨 domain union payload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Playbook / Opportunity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Approval 綁 exact resource/version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resource_type*；target_ref*；content*；reference_ids?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不等於 Approved / Published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projection_type*；scope_ref*；format*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Persistence owner 未閉合時不可假下載成功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resource_type*；title?；source_ref?；content?；reference_ids?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Candidate ≠ Decision；需保留 evidence lineage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path strategyCandidateId；decision_reason*；evidence_refs?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Body ID 若存在必須等於 path canonical ID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strategy_candidate_id*；decision_reason*；evidence_refs?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只建立 Context Candidate，不執行 downstream owner action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 Candidates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READ_ONLY；不得改 candidate state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Permission / Gate / Security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4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條件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+ exact account page permission + admin Strategy target + scope + condition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exact section/control/field read permission + classification/mask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 + configure action permission + exact resource/version + state guard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approve permission + REVIEW/eligible state + exact version + rationale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candidate action permission + evidence/source scope + state/version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 + compare/decide/adopt permission + Human reason + evidence refs + state/version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Guardrail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Risk/Cost/Capacity 僅在 authorized finance projection 下顯示；否則 MASK/DENY，不得用推估填值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State Model / Truthful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/ Runtime semantics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geometry；effectful controls 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READY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依 permission/state 顯示與 enable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顯示空狀態；不造 sample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ERROR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actual error / permitted reason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但政策阻擋 → disabled + reason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停止寫入；reload exact version；force overwrite 禁止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 Human/Governance review；不得自動 approve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外部情報或 acquisition pending；不得標示成功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READ_ONLY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只讀；Effectful controls 隱藏/disabled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ARCHIVED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只讀歷史；不可覆寫 lineage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Data Truth / Fact Quality / Lineage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任何 Fact 必須可回溯 source_ref、source_type、source_time_or_version、scope、confidence_or_quality_state。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External Intelligence 只能成為 P4 輸入；不得覆蓋 Confirmed Decision / Current governed internal truth。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Confidence、Completeness、Source Health 必須由 registered projection/evidence logic 提供，前端不可計分或手動改綠。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Candidate / Opportunity / Playbook 是版本化治理物件；revision 建立新版本，歷史不覆蓋。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Context 必須同時呈現 Evidence、Assumption、Risk、Cost/Capacity Boundary、Uncertainty 與 Human reason；不能只顯示推薦結論。</w:t>
      </w:r>
    </w:p>
    <w:p>
      <w:pPr>
        <w:pStyle w:val="Heading1"/>
        <w:spacing w:before="80" w:after="40"/>
      </w:pPr>
      <w:r>
        <w:t>13. Shared Acquisition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ACPOS_SHARED_EXTERNAL_DATA_ACQUISITION_RUNTIME；admin STR-01 不擁有第二套 crawler/search runtime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Mode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STRATEGIC_INTELLIGENCE_ACQUISITION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Allowed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 / WEB_CRAWL / WEB_FETCH / SCHEDULED_RECRAWL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Result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僅為 acquisition evidence；必須經 Fact quality / source / citation / governance 才能成為 governed Fact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Failure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exact source/error/pending；不得用 AI 摘要偽裝成成功抓取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14. Decision Lab / Governed Handoff Design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admin STR-01 決策實驗室與治理交接參考設計" title="admin STR-01 決策實驗室與治理交接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DECISION_L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B｜決策實驗室：比較候選、Evidence、Risk/Cost/Capacity 與 Human Gate 同屏；Adopt 僅建立 Context Candidate，禁止直接修改 Canon、Task、Budget 或 Publish state。</w:t>
      </w:r>
    </w:p>
    <w:p>
      <w:pPr>
        <w:pStyle w:val="Heading1"/>
        <w:spacing w:before="80" w:after="40"/>
      </w:pPr>
      <w:r>
        <w:t>15. Error / Recovery / Partial Failure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72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AUTH_DENIED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Hide/deny protected control/value；server 仍拒絕 direct call；不得以角色名或部門作 allow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SOURCE_STALE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標示 stale / actual timestamp；保留上一可驗證 projection；提供 registered refresh only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FACT_INCOMPLETE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missing / incomplete / confidence state；不得補 0、補假 Fact 或 AI 猜值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阻止 effectful write；reload exact object/version；保留未提交表單供人工比較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OPERATION_UNMATERIALIZED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reason + REPORT_AUTHORITY_GAP；不得自行創 endpoint / permission / runtime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EXPORT_BLOCKED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不顯示假下載；顯示 persistence owner 未閉合或 actual backend reason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ACQUISITION_PARTIAL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保留已取得 evidence；缺失來源仍 pending/error；只重試合法缺失工作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DOWNSTREAM_OWNER_BLOCKED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Context Candidate / handoff ref；由 owner module 處理；Strategy page 不越權執行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7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i18n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en；ORANGE ONE、ACPOS、AI、API、QA 等固定詞依 Global 規則處理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Tabs / Table actions / Drawer / Modal 全可鍵盤到達；Focus visible，不可只靠色彩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Drawer/Modal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trap；Escape/Close；Effectful Modal 關閉前保留/提示未提交內容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Success/Warning/Error/Processing 不只用顏色；必須有文字或 icon 語義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Desktop-first，同頁 reflow；不得建立 mobile-only 第二頁；長表格允許受控 horizontal scroll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長 title/source/citation 採 ellipsis + Detail Drawer；按鈕文字不得壓框/破框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Single Current Page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只存在 admin:STR-01 Current Strategy admin page；不得重建舊多頁 Strategy admin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Five Views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總覽 / 情報與 Fact / Playbook / 趨勢與機會 / 決策實驗室皆為同頁 View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STR-A-03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Owner Reuse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只使用 StrategyService + StrategyFactPackService + shared owners；無第二套服務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STR-A-04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Action Isolation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每個 View 只使用其 registered action family；payload 不跨 source union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STR-A-05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Fact Truth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Inference 不得標 Fact；Confidence/Health/Cost/Capacity 不得偽造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STR-A-06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 Lineage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Playbook/Opportunity/Candidate/Context 變更保留版本與 evidence lineage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STR-A-07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Boundary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Lab 不直接寫 Canon/Task/Budget/Publish；handoff 到 owner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STR-A-08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Boundary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只走 shared acquisition runtime；raw result 不直接成 Fact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STR-A-09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Permission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Account assignment + scope/condition/state/version/idempotency/audit server-side gate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STR-A-10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 Honesty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Visual Geometry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無壓邊/破框/重疊；Drawer/Modal/Tab/Table 遵守 Global geometry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A11y / i18n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Keyboard/Focus/Status/i18n 三語施工條件完整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只允許一個 admin:STR-01 Current Strategy Administration；禁止平行 Strategy admin pages。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本頁不得定義 Global Sidebar sibling order；只宣告自己的 active menu key / page identity。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StrategyService 與 StrategyFactPackService 不得 merge/rebuild；shared acquisition runtime 不得複製。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Inference ≠ Fact；Candidate ≠ Decision；Playbook ≠ Publish；Opportunity ≠ Project/Budget mutation。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Lab 不得直接寫 Canon Lock、Task、Budget、Publish 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外部情報不得覆蓋 Current governed internal truth；缺值顯示 —，不得 AI-fill。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Effectful action 必須 exact Operation + Permission + State + Version + Idempotency + Audit；缺任一項即 BLOCK。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Export、Candidate、Decision 等若 runtime owner/persistence/authorization 未 current materialize，不得假接、不得 fake success。</w:t>
      </w:r>
    </w:p>
    <w:p>
      <w:pPr>
        <w:pStyle w:val="Heading1"/>
        <w:spacing w:before="80" w:after="40"/>
      </w:pPr>
      <w:r>
        <w:t>19.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770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施工與驗收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Shell / Page Mount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掛載 admin:STR-01；只消費 Global navigation，不改 menu order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Five-view Context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建立同頁 tabs + preserve scope/object/query/form state；無 route split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Projection Layer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/ Fact / Playbook / Opportunity / Decision read projections；缺值與 masking 正確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Drawer / Modal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Detail Drawer + schema-driven Effectful Modal；focus/a11y 完整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Operation Binding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逐 Action 對 exact operation/schema/runtime/permission；未 materialized 控制維持 disabled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 Data Lineage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→ Fact → Evidence → Candidate → Context / Approval / Audit exact refs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 Acquisition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接 shared strategic intelligence acquisition；raw→fact governance boundary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 Decision Boundary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 / Adopt Context；確認無 downstream direct mutation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9 Regression / E2E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五 View、所有可見控制、權限、state/version/idempotency、error/recovery、restart persistence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10 Production Acceptance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deployed SHA + production evidence 成立後，才可把 Runtime status 改為完成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ADMIN STR Runtime / Persistence / Authorization Boundary Closure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Persistence owner must be canonically bound + runtime authorization/persistence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BLOCKED_NO_CANONICAL_EXPORT_PERSISTENCE_OWNER must be resolved +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must be resolved; permission must be enforced there.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 mutation expected; read/runtime owner still 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read/runtime owner +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and state-transition/audit handling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persistence/context-state owner and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T6R9[Immutable lineage]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T6R8[Human reason]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T6R3[—]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T6R2[—]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T6R7[Reject/Decide*]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T6R4[—]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[ACPOS-DESIGN-CLOSURE:ADMIN-STR-01:GEOMETRY]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Viewport / Breakpoint UID</w:t>
            </w:r>
          </w:p>
        </w:tc>
        <w:tc>
          <w:tcPr>
            <w:tcW w:type="dxa" w:w="56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616"/>
          </w:tcPr>
          <w:p>
            <w:r>
              <w:t>Container Width / Min / Max</w:t>
            </w:r>
          </w:p>
        </w:tc>
        <w:tc>
          <w:tcPr>
            <w:tcW w:type="dxa" w:w="56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616"/>
          </w:tcPr>
          <w:p>
            <w:r>
              <w:t>Grid Columns / Span / Gutter / Outer Margin</w:t>
            </w:r>
          </w:p>
        </w:tc>
        <w:tc>
          <w:tcPr>
            <w:tcW w:type="dxa" w:w="56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616"/>
          </w:tcPr>
          <w:p>
            <w:r>
              <w:t>Section Bounding Rules</w:t>
            </w:r>
          </w:p>
        </w:tc>
        <w:tc>
          <w:tcPr>
            <w:tcW w:type="dxa" w:w="56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616"/>
          </w:tcPr>
          <w:p>
            <w:r>
              <w:t>Component / Control / Field Width / Height Rules</w:t>
            </w:r>
          </w:p>
        </w:tc>
        <w:tc>
          <w:tcPr>
            <w:tcW w:type="dxa" w:w="56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616"/>
          </w:tcPr>
          <w:p>
            <w:r>
              <w:t>Min / Max Width / Height</w:t>
            </w:r>
          </w:p>
        </w:tc>
        <w:tc>
          <w:tcPr>
            <w:tcW w:type="dxa" w:w="56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616"/>
          </w:tcPr>
          <w:p>
            <w:r>
              <w:t>Gap / Padding / Alignment</w:t>
            </w:r>
          </w:p>
        </w:tc>
        <w:tc>
          <w:tcPr>
            <w:tcW w:type="dxa" w:w="56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616"/>
          </w:tcPr>
          <w:p>
            <w:r>
              <w:t>Aspect Ratio</w:t>
            </w:r>
          </w:p>
        </w:tc>
        <w:tc>
          <w:tcPr>
            <w:tcW w:type="dxa" w:w="56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616"/>
          </w:tcPr>
          <w:p>
            <w:r>
              <w:t>Overflow / Scroll Rule</w:t>
            </w:r>
          </w:p>
        </w:tc>
        <w:tc>
          <w:tcPr>
            <w:tcW w:type="dxa" w:w="56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616"/>
          </w:tcPr>
          <w:p>
            <w:r>
              <w:t>Collapse / Stack / Wrap Rule</w:t>
            </w:r>
          </w:p>
        </w:tc>
        <w:tc>
          <w:tcPr>
            <w:tcW w:type="dxa" w:w="56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616"/>
          </w:tcPr>
          <w:p>
            <w:r>
              <w:t>Z-order / Overlay Rule</w:t>
            </w:r>
          </w:p>
        </w:tc>
        <w:tc>
          <w:tcPr>
            <w:tcW w:type="dxa" w:w="56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616"/>
          </w:tcPr>
          <w:p>
            <w:r>
              <w:t>Text Capacity / Truncation / Wrap Rule</w:t>
            </w:r>
          </w:p>
        </w:tc>
        <w:tc>
          <w:tcPr>
            <w:tcW w:type="dxa" w:w="56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616"/>
          </w:tcPr>
          <w:p>
            <w:r>
              <w:t>Asset Object-fit / Object-position</w:t>
            </w:r>
          </w:p>
        </w:tc>
        <w:tc>
          <w:tcPr>
            <w:tcW w:type="dxa" w:w="56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616"/>
          </w:tcPr>
          <w:p>
            <w:r>
              <w:t>Locked Visual Anchors</w:t>
            </w:r>
          </w:p>
        </w:tc>
        <w:tc>
          <w:tcPr>
            <w:tcW w:type="dxa" w:w="56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616"/>
          </w:tcPr>
          <w:p>
            <w:r>
              <w:t>Allowed Tolerance / Diff Threshold</w:t>
            </w:r>
          </w:p>
        </w:tc>
        <w:tc>
          <w:tcPr>
            <w:tcW w:type="dxa" w:w="56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616"/>
          </w:tcPr>
          <w:p>
            <w:r>
              <w:t>Geometry Failure Set</w:t>
            </w:r>
          </w:p>
        </w:tc>
        <w:tc>
          <w:tcPr>
            <w:tcW w:type="dxa" w:w="56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[ACPOS-DESIGN-CLOSURE:ADMIN-STR-01:VISUAL]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c>
          <w:tcPr>
            <w:tcW w:type="dxa" w:w="2246"/>
          </w:tcPr>
          <w:p>
            <w:r>
              <w:t>Anchor UID</w:t>
            </w:r>
          </w:p>
        </w:tc>
        <w:tc>
          <w:tcPr>
            <w:tcW w:type="dxa" w:w="2246"/>
          </w:tcPr>
          <w:p>
            <w:r>
              <w:t>Position Rule</w:t>
            </w:r>
          </w:p>
        </w:tc>
        <w:tc>
          <w:tcPr>
            <w:tcW w:type="dxa" w:w="2246"/>
          </w:tcPr>
          <w:p>
            <w:r>
              <w:t>Dimension Rule</w:t>
            </w:r>
          </w:p>
        </w:tc>
        <w:tc>
          <w:tcPr>
            <w:tcW w:type="dxa" w:w="2246"/>
          </w:tcPr>
          <w:p>
            <w:r>
              <w:t>Relationship Rule</w:t>
            </w:r>
          </w:p>
        </w:tc>
        <w:tc>
          <w:tcPr>
            <w:tcW w:type="dxa" w:w="2246"/>
          </w:tcPr>
          <w:p>
            <w:r>
              <w:t>Lock Status</w:t>
            </w:r>
          </w:p>
        </w:tc>
      </w:tr>
      <w:tr>
        <w:tc>
          <w:tcPr>
            <w:tcW w:type="dxa" w:w="2246"/>
          </w:tcPr>
          <w:p>
            <w:r>
              <w:t>ADMIN-STR-01-VA-HEADER</w:t>
            </w:r>
          </w:p>
        </w:tc>
        <w:tc>
          <w:tcPr>
            <w:tcW w:type="dxa" w:w="2246"/>
          </w:tcPr>
          <w:p>
            <w:r>
              <w:t>Fixed at top of shared shell</w:t>
            </w:r>
          </w:p>
        </w:tc>
        <w:tc>
          <w:tcPr>
            <w:tcW w:type="dxa" w:w="2246"/>
          </w:tcPr>
          <w:p>
            <w:r>
              <w:t>58px full-width according to current shell authority</w:t>
            </w:r>
          </w:p>
        </w:tc>
        <w:tc>
          <w:tcPr>
            <w:tcW w:type="dxa" w:w="2246"/>
          </w:tcPr>
          <w:p>
            <w:r>
              <w:t>Above Sidebar/Workspace; must not be covered by page content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ADMIN-STR-01-VA-SIDEBAR</w:t>
            </w:r>
          </w:p>
        </w:tc>
        <w:tc>
          <w:tcPr>
            <w:tcW w:type="dxa" w:w="2246"/>
          </w:tcPr>
          <w:p>
            <w:r>
              <w:t>Fixed left rail under shared shell header</w:t>
            </w:r>
          </w:p>
        </w:tc>
        <w:tc>
          <w:tcPr>
            <w:tcW w:type="dxa" w:w="2246"/>
          </w:tcPr>
          <w:p>
            <w:r>
              <w:t>64px resting; 221px overlay expansion where current shell defines it</w:t>
            </w:r>
          </w:p>
        </w:tc>
        <w:tc>
          <w:tcPr>
            <w:tcW w:type="dxa" w:w="224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ADMIN-STR-01-VA-WORKSPACE</w:t>
            </w:r>
          </w:p>
        </w:tc>
        <w:tc>
          <w:tcPr>
            <w:tcW w:type="dxa" w:w="2246"/>
          </w:tcPr>
          <w:p>
            <w:r>
              <w:t>Current page primary content region below Header / beside resting rail</w:t>
            </w:r>
          </w:p>
        </w:tc>
        <w:tc>
          <w:tcPr>
            <w:tcW w:type="dxa" w:w="2246"/>
          </w:tcPr>
          <w:p>
            <w:r>
              <w:t>Use this Word's existing Primary Grid / section dimensions</w:t>
            </w:r>
          </w:p>
        </w:tc>
        <w:tc>
          <w:tcPr>
            <w:tcW w:type="dxa" w:w="224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4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[ACPOS-DESIGN-CLOSURE:ADMIN-STR-01:VISUAL-CONTRACT]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616"/>
          </w:tcPr>
          <w:p>
            <w:r>
              <w:t>Visual Candidate UID</w:t>
            </w:r>
          </w:p>
        </w:tc>
        <w:tc>
          <w:tcPr>
            <w:tcW w:type="dxa" w:w="56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616"/>
          </w:tcPr>
          <w:p>
            <w:r>
              <w:t>Visual Preview</w:t>
            </w:r>
          </w:p>
        </w:tc>
        <w:tc>
          <w:tcPr>
            <w:tcW w:type="dxa" w:w="56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616"/>
          </w:tcPr>
          <w:p>
            <w:r>
              <w:t>Visual Review</w:t>
            </w:r>
          </w:p>
        </w:tc>
        <w:tc>
          <w:tcPr>
            <w:tcW w:type="dxa" w:w="56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616"/>
          </w:tcPr>
          <w:p>
            <w:r>
              <w:t>Approval Status</w:t>
            </w:r>
          </w:p>
        </w:tc>
        <w:tc>
          <w:tcPr>
            <w:tcW w:type="dxa" w:w="56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616"/>
          </w:tcPr>
          <w:p>
            <w:r>
              <w:t>Change Set / Drift</w:t>
            </w:r>
          </w:p>
        </w:tc>
        <w:tc>
          <w:tcPr>
            <w:tcW w:type="dxa" w:w="56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[ACPOS-DESIGN-CLOSURE:ADMIN-STR-01:ASSET]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Page-local Asset Registry Applicability</w:t>
            </w:r>
          </w:p>
        </w:tc>
        <w:tc>
          <w:tcPr>
            <w:tcW w:type="dxa" w:w="5616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5616"/>
          </w:tcPr>
          <w:p>
            <w:r>
              <w:t>Shared Shell Assets</w:t>
            </w:r>
          </w:p>
        </w:tc>
        <w:tc>
          <w:tcPr>
            <w:tcW w:type="dxa" w:w="5616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5616"/>
          </w:tcPr>
          <w:p>
            <w:r>
              <w:t>Dynamic Business Content</w:t>
            </w:r>
          </w:p>
        </w:tc>
        <w:tc>
          <w:tcPr>
            <w:tcW w:type="dxa" w:w="5616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5616"/>
          </w:tcPr>
          <w:p>
            <w:r>
              <w:t>Binding Contract</w:t>
            </w:r>
          </w:p>
        </w:tc>
        <w:tc>
          <w:tcPr>
            <w:tcW w:type="dxa" w:w="5616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5616"/>
          </w:tcPr>
          <w:p>
            <w:r>
              <w:t>Modification Rule</w:t>
            </w:r>
          </w:p>
        </w:tc>
        <w:tc>
          <w:tcPr>
            <w:tcW w:type="dxa" w:w="5616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5616"/>
          </w:tcPr>
          <w:p>
            <w:r>
              <w:t>N/A Authority</w:t>
            </w:r>
          </w:p>
        </w:tc>
        <w:tc>
          <w:tcPr>
            <w:tcW w:type="dxa" w:w="5616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p>
      <w:pPr>
        <w:pStyle w:val="Heading2"/>
      </w:pPr>
      <w:r>
        <w:t>Design Freeze Package Closure｜設計封板包補齊</w:t>
      </w:r>
    </w:p>
    <w:p>
      <w:r>
        <w:t>[ACPOS-DESIGN-CLOSURE:ADMIN-STR-01:FREEZE]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Canonical UID</w:t>
            </w:r>
          </w:p>
        </w:tc>
        <w:tc>
          <w:tcPr>
            <w:tcW w:type="dxa" w:w="5616"/>
          </w:tcPr>
          <w:p>
            <w:r>
              <w:t>ADMIN-STR-01</w:t>
            </w:r>
          </w:p>
        </w:tc>
      </w:tr>
      <w:tr>
        <w:tc>
          <w:tcPr>
            <w:tcW w:type="dxa" w:w="5616"/>
          </w:tcPr>
          <w:p>
            <w:r>
              <w:t>Canonical Name</w:t>
            </w:r>
          </w:p>
        </w:tc>
        <w:tc>
          <w:tcPr>
            <w:tcW w:type="dxa" w:w="5616"/>
          </w:tcPr>
          <w:p>
            <w:r>
              <w:t>ADMIN-STR-01</w:t>
            </w:r>
          </w:p>
        </w:tc>
      </w:tr>
      <w:tr>
        <w:tc>
          <w:tcPr>
            <w:tcW w:type="dxa" w:w="5616"/>
          </w:tcPr>
          <w:p>
            <w:r>
              <w:t>Owner File</w:t>
            </w:r>
          </w:p>
        </w:tc>
        <w:tc>
          <w:tcPr>
            <w:tcW w:type="dxa" w:w="5616"/>
          </w:tcPr>
          <w:p>
            <w:r>
              <w:t>ACPOS_admin_STR-01_戰略中心後台_Mother_Basic_Design_OPTIMIZED.docx</w:t>
            </w:r>
          </w:p>
        </w:tc>
      </w:tr>
      <w:tr>
        <w:tc>
          <w:tcPr>
            <w:tcW w:type="dxa" w:w="5616"/>
          </w:tcPr>
          <w:p>
            <w:r>
              <w:t>Page / Capability Spec</w:t>
            </w:r>
          </w:p>
        </w:tc>
        <w:tc>
          <w:tcPr>
            <w:tcW w:type="dxa" w:w="5616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5616"/>
          </w:tcPr>
          <w:p>
            <w:r>
              <w:t>Layout Mapping</w:t>
            </w:r>
          </w:p>
        </w:tc>
        <w:tc>
          <w:tcPr>
            <w:tcW w:type="dxa" w:w="5616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5616"/>
          </w:tcPr>
          <w:p>
            <w:r>
              <w:t>Component Mapping</w:t>
            </w:r>
          </w:p>
        </w:tc>
        <w:tc>
          <w:tcPr>
            <w:tcW w:type="dxa" w:w="5616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5616"/>
          </w:tcPr>
          <w:p>
            <w:r>
              <w:t>Control / Field Mapping</w:t>
            </w:r>
          </w:p>
        </w:tc>
        <w:tc>
          <w:tcPr>
            <w:tcW w:type="dxa" w:w="5616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5616"/>
          </w:tcPr>
          <w:p>
            <w:r>
              <w:t>Asset Mapping</w:t>
            </w:r>
          </w:p>
        </w:tc>
        <w:tc>
          <w:tcPr>
            <w:tcW w:type="dxa" w:w="5616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5616"/>
          </w:tcPr>
          <w:p>
            <w:r>
              <w:t>Responsive Spec</w:t>
            </w:r>
          </w:p>
        </w:tc>
        <w:tc>
          <w:tcPr>
            <w:tcW w:type="dxa" w:w="5616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5616"/>
          </w:tcPr>
          <w:p>
            <w:r>
              <w:t>Audit Baseline</w:t>
            </w:r>
          </w:p>
        </w:tc>
        <w:tc>
          <w:tcPr>
            <w:tcW w:type="dxa" w:w="5616"/>
          </w:tcPr>
          <w:p>
            <w:r>
              <w:t>REFERENCE → existing Audit/Acceptance section in this Word.</w:t>
            </w:r>
          </w:p>
        </w:tc>
      </w:tr>
      <w:tr>
        <w:tc>
          <w:tcPr>
            <w:tcW w:type="dxa" w:w="5616"/>
          </w:tcPr>
          <w:p>
            <w:r>
              <w:t>Acceptance Matrix</w:t>
            </w:r>
          </w:p>
        </w:tc>
        <w:tc>
          <w:tcPr>
            <w:tcW w:type="dxa" w:w="5616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5616"/>
          </w:tcPr>
          <w:p>
            <w:r>
              <w:t>Definition of Done</w:t>
            </w:r>
          </w:p>
        </w:tc>
        <w:tc>
          <w:tcPr>
            <w:tcW w:type="dxa" w:w="5616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5616"/>
          </w:tcPr>
          <w:p>
            <w:r>
              <w:t>Design Version</w:t>
            </w:r>
          </w:p>
        </w:tc>
        <w:tc>
          <w:tcPr>
            <w:tcW w:type="dxa" w:w="5616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5616"/>
          </w:tcPr>
          <w:p>
            <w:r>
              <w:t>Freeze Status</w:t>
            </w:r>
          </w:p>
        </w:tc>
        <w:tc>
          <w:tcPr>
            <w:tcW w:type="dxa" w:w="5616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p>
      <w:pPr>
        <w:pStyle w:val="Heading2"/>
      </w:pPr>
      <w:r>
        <w:t>Control State / Specification Closure｜控制項規格補齊</w:t>
      </w:r>
    </w:p>
    <w:p>
      <w:r>
        <w:t>[ACPOS-DESIGN-CLOSURE:ADMIN-STR-01:CONTROL]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Scope</w:t>
            </w:r>
          </w:p>
        </w:tc>
        <w:tc>
          <w:tcPr>
            <w:tcW w:type="dxa" w:w="5616"/>
          </w:tcPr>
          <w:p>
            <w:r>
              <w:t>This invariant applies to every existing ADMIN-STR-01 Control UID; it does not create new controls.</w:t>
            </w:r>
          </w:p>
        </w:tc>
      </w:tr>
      <w:tr>
        <w:tc>
          <w:tcPr>
            <w:tcW w:type="dxa" w:w="5616"/>
          </w:tcPr>
          <w:p>
            <w:r>
              <w:t>Canonical Name / Type / Label</w:t>
            </w:r>
          </w:p>
        </w:tc>
        <w:tc>
          <w:tcPr>
            <w:tcW w:type="dxa" w:w="5616"/>
          </w:tcPr>
          <w:p>
            <w:r>
              <w:t>Use each current control row's exact identity/type/label. Label copy must resolve through the current localization owner; no second label authority.</w:t>
            </w:r>
          </w:p>
        </w:tc>
      </w:tr>
      <w:tr>
        <w:tc>
          <w:tcPr>
            <w:tcW w:type="dxa" w:w="5616"/>
          </w:tcPr>
          <w:p>
            <w:r>
              <w:t>Icon Reference</w:t>
            </w:r>
          </w:p>
        </w:tc>
        <w:tc>
          <w:tcPr>
            <w:tcW w:type="dxa" w:w="5616"/>
          </w:tcPr>
          <w:p>
            <w:r>
              <w:t>Use current registered/shared icon reference; when no icon is required, NOT_APPLICABLE with the existing visual design as evidence.</w:t>
            </w:r>
          </w:p>
        </w:tc>
      </w:tr>
      <w:tr>
        <w:tc>
          <w:tcPr>
            <w:tcW w:type="dxa" w:w="5616"/>
          </w:tcPr>
          <w:p>
            <w:r>
              <w:t>Position / Dimensions</w:t>
            </w:r>
          </w:p>
        </w:tc>
        <w:tc>
          <w:tcPr>
            <w:tcW w:type="dxa" w:w="5616"/>
          </w:tcPr>
          <w:p>
            <w:r>
              <w:t>Use the current Section/Layout/Geometry mapping and existing control dimensions. Control state changes may not alter footprint unexpectedly.</w:t>
            </w:r>
          </w:p>
        </w:tc>
      </w:tr>
      <w:tr>
        <w:tc>
          <w:tcPr>
            <w:tcW w:type="dxa" w:w="5616"/>
          </w:tcPr>
          <w:p>
            <w:r>
              <w:t>Default / Hover / Focus / Active</w:t>
            </w:r>
          </w:p>
        </w:tc>
        <w:tc>
          <w:tcPr>
            <w:tcW w:type="dxa" w:w="5616"/>
          </w:tcPr>
          <w:p>
            <w:r>
              <w:t>Default preserves baseline; Hover reveals affordance only; Focus is keyboard-visible; Active indicates the current selected/invoked state without semantic mutation.</w:t>
            </w:r>
          </w:p>
        </w:tc>
      </w:tr>
      <w:tr>
        <w:tc>
          <w:tcPr>
            <w:tcW w:type="dxa" w:w="5616"/>
          </w:tcPr>
          <w:p>
            <w:r>
              <w:t>Loading</w:t>
            </w:r>
          </w:p>
        </w:tc>
        <w:tc>
          <w:tcPr>
            <w:tcW w:type="dxa" w:w="5616"/>
          </w:tcPr>
          <w:p>
            <w:r>
              <w:t>For an invoked async/effectful action, loading state prevents duplicate activation while preserving current context and label/status readability.</w:t>
            </w:r>
          </w:p>
        </w:tc>
      </w:tr>
      <w:tr>
        <w:tc>
          <w:tcPr>
            <w:tcW w:type="dxa" w:w="5616"/>
          </w:tcPr>
          <w:p>
            <w:r>
              <w:t>Disabled</w:t>
            </w:r>
          </w:p>
        </w:tc>
        <w:tc>
          <w:tcPr>
            <w:tcW w:type="dxa" w:w="5616"/>
          </w:tcPr>
          <w:p>
            <w:r>
              <w:t>Disabled is explicit and must expose the blocking reason/permission/gate when relevant; disabled state is not a hidden action.</w:t>
            </w:r>
          </w:p>
        </w:tc>
      </w:tr>
      <w:tr>
        <w:tc>
          <w:tcPr>
            <w:tcW w:type="dxa" w:w="5616"/>
          </w:tcPr>
          <w:p>
            <w:r>
              <w:t>Success</w:t>
            </w:r>
          </w:p>
        </w:tc>
        <w:tc>
          <w:tcPr>
            <w:tcW w:type="dxa" w:w="5616"/>
          </w:tcPr>
          <w:p>
            <w:r>
              <w:t>Success state is shown only after the current design's confirmed success outcome; it does not invent runtime completion.</w:t>
            </w:r>
          </w:p>
        </w:tc>
      </w:tr>
      <w:tr>
        <w:tc>
          <w:tcPr>
            <w:tcW w:type="dxa" w:w="5616"/>
          </w:tcPr>
          <w:p>
            <w:r>
              <w:t>Error</w:t>
            </w:r>
          </w:p>
        </w:tc>
        <w:tc>
          <w:tcPr>
            <w:tcW w:type="dxa" w:w="5616"/>
          </w:tcPr>
          <w:p>
            <w:r>
              <w:t>Error state preserves recoverable context, displays actionable failure information and follows current retry/recovery design.</w:t>
            </w:r>
          </w:p>
        </w:tc>
      </w:tr>
      <w:tr>
        <w:tc>
          <w:tcPr>
            <w:tcW w:type="dxa" w:w="5616"/>
          </w:tcPr>
          <w:p>
            <w:r>
              <w:t>Visibility / Permission / Action Reference</w:t>
            </w:r>
          </w:p>
        </w:tc>
        <w:tc>
          <w:tcPr>
            <w:tcW w:type="dxa" w:w="5616"/>
          </w:tcPr>
          <w:p>
            <w:r>
              <w:t>Use each current control's existing Visibility Condition + Permission Reference + Action Reference; missing exact authority remains fail closed.</w:t>
            </w:r>
          </w:p>
        </w:tc>
      </w:tr>
    </w:tbl>
    <w:sectPr w:rsidR="00FC693F" w:rsidRPr="0006063C" w:rsidSect="00034616">
      <w:pgSz w:w="12240" w:h="158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 STR-01 戰略中心後台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admin STR-01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admin STR-01 戰略中心後台 Mother Basic Design</dc:title>
  <dc:subject>Construction-ready optimized page design</dc:subject>
  <dc:creator>ORANGE ONE</dc:creator>
  <cp:keywords>ACPOS, STR-01, Strategy Center Administration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