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IAM_RUNTIME ingress → StrategyService / PlatformPlaybook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DESIGN_BOUND_TO_EXISTING_SHARED_EXPORT_OWNER — exact exportProjection/ExportProjectionRequest evidence resolves to the shared INFO export persistence owner;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StrategyService / OpportunityCandidate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READ_EXACT design contract is source-backed by STR-01 compareCandidates. Persistence is NOT_APPLICABLE because the operation is a no-form read;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StrategyService / StrategyCandidate Decision State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DESIGN_BOUND_TO_EXISTING_SHARED_CONTEXT_OWNER — source-backed adoptAsContextCandidate binding preserves AI-01 Context authority and System 08 audit linkage;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PlatformPlaybook Draft Version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OpportunityCandidate + Version/Audit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StrategyCandidate Rejected State + DecisionContext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"saveDraft", "design_runtime_owner": "IAM_RUNTIME", "design_persistence_owner": "StrategyService / PlatformPlaybook Draft Version + 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"createCandidate", "design_runtime_owner": "StrategyService", "design_persistence_owner": "StrategyService / OpportunityCandidate + Version/Audit",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"rejectStrategyCandidate", "design_runtime_owner": "StrategyService", "design_persistence_owner": "StrategyService / StrategyCandidate Rejected State + DecisionContext + 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DESIGN_AUTHORITY_COMPLETE_RUNTIME_EVIDENCE_SEPARATE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{"design_bound": ["saveDraft", "exportProjection", "createCandidate", "compareCandidates", "rejectStrategyCandidate", "adoptAsContextCandidate"], "runtime_execution_claimed": false}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saveDraft is now canonically bound to shared IAM_RUNTIME ingress with StrategyService / PlatformPlaybook Draft Version + Audit persistence; createCandidate is bound to StrategyService / OpportunityCandidate + Version/Audit; rejectStrategyCandidate is bound to StrategyService / StrategyCandidate Rejected State + DecisionContext + Audit. exportProjection, compareCandidates and adoptAsContextCandidate retain their prior source-backed bindings. These are design-authority bindings only; this Word does not claim runtime execution or Production readiness.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PlatformPlaybook Draft Version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OpportunityCandidate + Version/Audit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StrategyCandidate Rejected State + DecisionContext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[ACPOS-DESIGN-CLOSURE:ADMIN-STR-01:FREEZE]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ACPOS_admin_STR-01_戰略中心後台_Mother_Basic_Design_OPTIMIZED.docx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p>
      <w:pPr>
        <w:pStyle w:val="Heading2"/>
      </w:pPr>
      <w:r>
        <w:t>Control State / Specification Closure｜控制項規格補齊</w:t>
      </w:r>
    </w:p>
    <w:p>
      <w:r>
        <w:t>[ACPOS-DESIGN-CLOSURE:ADMIN-STR-01:CONTROL]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Scope</w:t>
            </w:r>
          </w:p>
        </w:tc>
        <w:tc>
          <w:tcPr>
            <w:tcW w:type="dxa" w:w="5616"/>
          </w:tcPr>
          <w:p>
            <w:r>
              <w:t>This invariant applies to every existing ADMIN-STR-01 Control UID; it does not create new controls.</w:t>
            </w:r>
          </w:p>
        </w:tc>
      </w:tr>
      <w:tr>
        <w:tc>
          <w:tcPr>
            <w:tcW w:type="dxa" w:w="5616"/>
          </w:tcPr>
          <w:p>
            <w:r>
              <w:t>Canonical Name / Type / Label</w:t>
            </w:r>
          </w:p>
        </w:tc>
        <w:tc>
          <w:tcPr>
            <w:tcW w:type="dxa" w:w="5616"/>
          </w:tcPr>
          <w:p>
            <w:r>
              <w:t>Use each current control row's exact identity/type/label. Label copy must resolve through the current localization owner; no second label authority.</w:t>
            </w:r>
          </w:p>
        </w:tc>
      </w:tr>
      <w:tr>
        <w:tc>
          <w:tcPr>
            <w:tcW w:type="dxa" w:w="5616"/>
          </w:tcPr>
          <w:p>
            <w:r>
              <w:t>Icon Reference</w:t>
            </w:r>
          </w:p>
        </w:tc>
        <w:tc>
          <w:tcPr>
            <w:tcW w:type="dxa" w:w="5616"/>
          </w:tcPr>
          <w:p>
            <w:r>
              <w:t>Use current registered/shared icon reference; when no icon is required, NOT_APPLICABLE with the existing visual design as evidence.</w:t>
            </w:r>
          </w:p>
        </w:tc>
      </w:tr>
      <w:tr>
        <w:tc>
          <w:tcPr>
            <w:tcW w:type="dxa" w:w="5616"/>
          </w:tcPr>
          <w:p>
            <w:r>
              <w:t>Position / Dimensions</w:t>
            </w:r>
          </w:p>
        </w:tc>
        <w:tc>
          <w:tcPr>
            <w:tcW w:type="dxa" w:w="5616"/>
          </w:tcPr>
          <w:p>
            <w:r>
              <w:t>Use the current Section/Layout/Geometry mapping and existing control dimensions. Control state changes may not alter footprint unexpectedly.</w:t>
            </w:r>
          </w:p>
        </w:tc>
      </w:tr>
      <w:tr>
        <w:tc>
          <w:tcPr>
            <w:tcW w:type="dxa" w:w="5616"/>
          </w:tcPr>
          <w:p>
            <w:r>
              <w:t>Default / Hover / Focus / Active</w:t>
            </w:r>
          </w:p>
        </w:tc>
        <w:tc>
          <w:tcPr>
            <w:tcW w:type="dxa" w:w="5616"/>
          </w:tcPr>
          <w:p>
            <w:r>
              <w:t>Default preserves baseline; Hover reveals affordance only; Focus is keyboard-visible; Active indicates the current selected/invoked state without semantic mutation.</w:t>
            </w:r>
          </w:p>
        </w:tc>
      </w:tr>
      <w:tr>
        <w:tc>
          <w:tcPr>
            <w:tcW w:type="dxa" w:w="5616"/>
          </w:tcPr>
          <w:p>
            <w:r>
              <w:t>Loading</w:t>
            </w:r>
          </w:p>
        </w:tc>
        <w:tc>
          <w:tcPr>
            <w:tcW w:type="dxa" w:w="5616"/>
          </w:tcPr>
          <w:p>
            <w:r>
              <w:t>For an invoked async/effectful action, loading state prevents duplicate activation while preserving current context and label/status readability.</w:t>
            </w:r>
          </w:p>
        </w:tc>
      </w:tr>
      <w:tr>
        <w:tc>
          <w:tcPr>
            <w:tcW w:type="dxa" w:w="5616"/>
          </w:tcPr>
          <w:p>
            <w:r>
              <w:t>Disabled</w:t>
            </w:r>
          </w:p>
        </w:tc>
        <w:tc>
          <w:tcPr>
            <w:tcW w:type="dxa" w:w="5616"/>
          </w:tcPr>
          <w:p>
            <w:r>
              <w:t>Disabled is explicit and must expose the blocking reason/permission/gate when relevant; disabled state is not a hidden action.</w:t>
            </w:r>
          </w:p>
        </w:tc>
      </w:tr>
      <w:tr>
        <w:tc>
          <w:tcPr>
            <w:tcW w:type="dxa" w:w="5616"/>
          </w:tcPr>
          <w:p>
            <w:r>
              <w:t>Success</w:t>
            </w:r>
          </w:p>
        </w:tc>
        <w:tc>
          <w:tcPr>
            <w:tcW w:type="dxa" w:w="5616"/>
          </w:tcPr>
          <w:p>
            <w:r>
              <w:t>Success state is shown only after the current design's confirmed success outcome; it does not invent runtime completion.</w:t>
            </w:r>
          </w:p>
        </w:tc>
      </w:tr>
      <w:tr>
        <w:tc>
          <w:tcPr>
            <w:tcW w:type="dxa" w:w="5616"/>
          </w:tcPr>
          <w:p>
            <w:r>
              <w:t>Error</w:t>
            </w:r>
          </w:p>
        </w:tc>
        <w:tc>
          <w:tcPr>
            <w:tcW w:type="dxa" w:w="5616"/>
          </w:tcPr>
          <w:p>
            <w:r>
              <w:t>Error state preserves recoverable context, displays actionable failure information and follows current retry/recovery design.</w:t>
            </w:r>
          </w:p>
        </w:tc>
      </w:tr>
      <w:tr>
        <w:tc>
          <w:tcPr>
            <w:tcW w:type="dxa" w:w="5616"/>
          </w:tcPr>
          <w:p>
            <w:r>
              <w:t>Visibility / Permission / Action Reference</w:t>
            </w:r>
          </w:p>
        </w:tc>
        <w:tc>
          <w:tcPr>
            <w:tcW w:type="dxa" w:w="5616"/>
          </w:tcPr>
          <w:p>
            <w:r>
              <w:t>Use each current control's existing Visibility Condition + Permission Reference + Action Reference; missing exact authority remains fail closed.</w:t>
            </w:r>
          </w:p>
        </w:tc>
      </w:tr>
    </w:tbl>
    <w:p>
      <w:r>
        <w:br w:type="page"/>
      </w:r>
    </w:p>
    <w:p>
      <w:pPr>
        <w:pStyle w:val="Heading1"/>
      </w:pPr>
      <w:r>
        <w:t>Strategy Canonical Authority Closure｜戰略功能正式 Owner 收斂</w:t>
      </w:r>
    </w:p>
    <w:p>
      <w:r>
        <w:t>[ACPOS-STRATEGY-AUTHORITY-CLOSURE-V1] This annex closes the three remaining planning/basic-design Authority gaps without creating a parallel Strategy runtime. It is derived from the existing Owner Boundary (StrategyService + StrategyFactPackService + shared owners), Business Entity registry, lifecycle matrix, functional chains, payload contracts and existing operation routes.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r>
              <w:t>Control UID</w:t>
            </w:r>
          </w:p>
        </w:tc>
        <w:tc>
          <w:tcPr>
            <w:tcW w:type="dxa" w:w="1872"/>
          </w:tcPr>
          <w:p>
            <w:r>
              <w:t>Operation</w:t>
            </w:r>
          </w:p>
        </w:tc>
        <w:tc>
          <w:tcPr>
            <w:tcW w:type="dxa" w:w="1872"/>
          </w:tcPr>
          <w:p>
            <w:r>
              <w:t>Canonical Runtime Owner</w:t>
            </w:r>
          </w:p>
        </w:tc>
        <w:tc>
          <w:tcPr>
            <w:tcW w:type="dxa" w:w="1872"/>
          </w:tcPr>
          <w:p>
            <w:r>
              <w:t>Canonical Persistence Owner</w:t>
            </w:r>
          </w:p>
        </w:tc>
        <w:tc>
          <w:tcPr>
            <w:tcW w:type="dxa" w:w="1872"/>
          </w:tcPr>
          <w:p>
            <w:r>
              <w:t>Entity/Lifecycle Authority</w:t>
            </w:r>
          </w:p>
        </w:tc>
        <w:tc>
          <w:tcPr>
            <w:tcW w:type="dxa" w:w="1872"/>
          </w:tcPr>
          <w:p>
            <w:r>
              <w:t>Exact Design Semantics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CTRL-ADMIN-STR-03-ACT-01-ACT-DRAFT-SAVE</w:t>
            </w:r>
          </w:p>
        </w:tc>
        <w:tc>
          <w:tcPr>
            <w:tcW w:type="dxa" w:w="1872"/>
          </w:tcPr>
          <w:p>
            <w:r>
              <w:t>saveDraft</w:t>
            </w:r>
          </w:p>
        </w:tc>
        <w:tc>
          <w:tcPr>
            <w:tcW w:type="dxa" w:w="1872"/>
          </w:tcPr>
          <w:p>
            <w:r>
              <w:t>IAM_RUNTIME</w:t>
            </w:r>
          </w:p>
        </w:tc>
        <w:tc>
          <w:tcPr>
            <w:tcW w:type="dxa" w:w="1872"/>
          </w:tcPr>
          <w:p>
            <w:r>
              <w:t>StrategyService / PlatformPlaybook Draft Version + Audit</w:t>
            </w:r>
          </w:p>
        </w:tc>
        <w:tc>
          <w:tcPr>
            <w:tcW w:type="dxa" w:w="1872"/>
          </w:tcPr>
          <w:p>
            <w:r>
              <w:t>PlatformPlaybook / CREATE + EDIT + VERSION + AUDIT</w:t>
            </w:r>
          </w:p>
        </w:tc>
        <w:tc>
          <w:tcPr>
            <w:tcW w:type="dxa" w:w="1872"/>
          </w:tcPr>
          <w:p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CTRL-ADMIN-STR-05-ACT-01-ACT-CANDIDATE-CREATE</w:t>
            </w:r>
          </w:p>
        </w:tc>
        <w:tc>
          <w:tcPr>
            <w:tcW w:type="dxa" w:w="1872"/>
          </w:tcPr>
          <w:p>
            <w:r>
              <w:t>createCandidate</w:t>
            </w:r>
          </w:p>
        </w:tc>
        <w:tc>
          <w:tcPr>
            <w:tcW w:type="dxa" w:w="1872"/>
          </w:tcPr>
          <w:p>
            <w:r>
              <w:t>StrategyService</w:t>
            </w:r>
          </w:p>
        </w:tc>
        <w:tc>
          <w:tcPr>
            <w:tcW w:type="dxa" w:w="1872"/>
          </w:tcPr>
          <w:p>
            <w:r>
              <w:t>StrategyService / OpportunityCandidate + Version/Audit</w:t>
            </w:r>
          </w:p>
        </w:tc>
        <w:tc>
          <w:tcPr>
            <w:tcW w:type="dxa" w:w="1872"/>
          </w:tcPr>
          <w:p>
            <w:r>
              <w:t>OpportunityCandidate / CREATE + EDIT + VERSION + AUDIT</w:t>
            </w:r>
          </w:p>
        </w:tc>
        <w:tc>
          <w:tcPr>
            <w:tcW w:type="dxa" w:w="1872"/>
          </w:tcPr>
          <w:p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CTRL-ADMIN-STR-06-ACT-02-ACT-CANDIDATE-DECIDE</w:t>
            </w:r>
          </w:p>
        </w:tc>
        <w:tc>
          <w:tcPr>
            <w:tcW w:type="dxa" w:w="1872"/>
          </w:tcPr>
          <w:p>
            <w:r>
              <w:t>rejectStrategyCandidate</w:t>
            </w:r>
          </w:p>
        </w:tc>
        <w:tc>
          <w:tcPr>
            <w:tcW w:type="dxa" w:w="1872"/>
          </w:tcPr>
          <w:p>
            <w:r>
              <w:t>StrategyService</w:t>
            </w:r>
          </w:p>
        </w:tc>
        <w:tc>
          <w:tcPr>
            <w:tcW w:type="dxa" w:w="1872"/>
          </w:tcPr>
          <w:p>
            <w:r>
              <w:t>StrategyService / StrategyCandidate Rejected State + DecisionContext + Audit</w:t>
            </w:r>
          </w:p>
        </w:tc>
        <w:tc>
          <w:tcPr>
            <w:tcW w:type="dxa" w:w="1872"/>
          </w:tcPr>
          <w:p>
            <w:r>
              <w:t>StrategyCandidate / CONFIRM_OR_APPROVE + VERSION + AUDIT</w:t>
            </w:r>
          </w:p>
        </w:tc>
        <w:tc>
          <w:tcPr>
            <w:tcW w:type="dxa" w:w="1872"/>
          </w:tcPr>
          <w:p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</w:tr>
    </w:tbl>
    <w:p>
      <w:pPr>
        <w:pStyle w:val="Heading2"/>
      </w:pPr>
      <w:r>
        <w:t>Owner and Entity Resolution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Rule</w:t>
            </w:r>
          </w:p>
        </w:tc>
        <w:tc>
          <w:tcPr>
            <w:tcW w:type="dxa" w:w="5616"/>
          </w:tcPr>
          <w:p>
            <w:r>
              <w:t>Normative Result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No second Strategy runtime</w:t>
            </w:r>
          </w:p>
        </w:tc>
        <w:tc>
          <w:tcPr>
            <w:tcW w:type="dxa" w:w="5616"/>
          </w:tcPr>
          <w:p>
            <w:r>
              <w:t>StrategyService remains the canonical Strategy business owner. StrategyFactPackService remains fact/acquisition authority. Shared IAM/INFO owners may provide registered ingress/governance/export capabilities but do not become Strategy business persistence owners.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saveDraft disambiguation</w:t>
            </w:r>
          </w:p>
        </w:tc>
        <w:tc>
          <w:tcPr>
            <w:tcW w:type="dxa" w:w="5616"/>
          </w:tcPr>
          <w:p>
            <w:r>
              <w:t>POST /v1/drafts is a shared draft ingress. In ADMIN STR Playbook view, resource_type/target_ref resolve the business entity to PlatformPlaybook; canonical persistence therefore belongs to StrategyService / PlatformPlaybook Draft Version + Audit.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createCandidate disambiguation</w:t>
            </w:r>
          </w:p>
        </w:tc>
        <w:tc>
          <w:tcPr>
            <w:tcW w:type="dxa" w:w="5616"/>
          </w:tcPr>
          <w:p>
            <w:r>
              <w:t>ADMIN STR View 4 is Opportunity. The lifecycle matrix explicitly marks OpportunityCandidate Create/Edit as Create Candidate*. Therefore POST /v1/candidates here creates/versions OpportunityCandidate, not StrategyCandidate.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rejectStrategyCandidate disambiguation</w:t>
            </w:r>
          </w:p>
        </w:tc>
        <w:tc>
          <w:tcPr>
            <w:tcW w:type="dxa" w:w="5616"/>
          </w:tcPr>
          <w:p>
            <w:r>
              <w:t>The path contains strategyCandidateId and the Decision flow explicitly performs Reject/Adopt. StrategyCandidate.CONFIRM_OR_APPROVE is REQUIRED; rejection persists candidate state + human reason/evidence in DecisionContext and audit lineage.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Approval separation</w:t>
            </w:r>
          </w:p>
        </w:tc>
        <w:tc>
          <w:tcPr>
            <w:tcW w:type="dxa" w:w="5616"/>
          </w:tcPr>
          <w:p>
            <w:r>
              <w:t>Draft Save and Create Candidate do not imply approval. Existing approveGovernedResource remains the later explicit approval gate where applicable.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Context separation</w:t>
            </w:r>
          </w:p>
        </w:tc>
        <w:tc>
          <w:tcPr>
            <w:tcW w:type="dxa" w:w="5616"/>
          </w:tcPr>
          <w:p>
            <w:r>
              <w:t>Reject never creates ContextCandidate. Only adoptAsContextCandidate may create governed context handoff and still preserves AI-01 downstream context authority.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Runtime evidence separation</w:t>
            </w:r>
          </w:p>
        </w:tc>
        <w:tc>
          <w:tcPr>
            <w:tcW w:type="dxa" w:w="5616"/>
          </w:tcPr>
          <w:p>
            <w:r>
              <w:t>Design authority is now complete. Runtime implementation/production acceptance remain outside this Word-only scope and must be proven separately; lack of runtime evidence MUST NOT mutate the design owner mapping back into SOURCE_NOT_DEFINED/AUTHORITY_GAP.</w:t>
            </w:r>
          </w:p>
        </w:tc>
      </w:tr>
    </w:tbl>
    <w:p>
      <w:pPr>
        <w:pStyle w:val="Heading2"/>
      </w:pPr>
      <w:r>
        <w:t>End-to-End Internal Function Chains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Function</w:t>
            </w:r>
          </w:p>
        </w:tc>
        <w:tc>
          <w:tcPr>
            <w:tcW w:type="dxa" w:w="5616"/>
          </w:tcPr>
          <w:p>
            <w:r>
              <w:t>Canonical Chain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Playbook Draft Save</w:t>
            </w:r>
          </w:p>
        </w:tc>
        <w:tc>
          <w:tcPr>
            <w:tcW w:type="dxa" w:w="5616"/>
          </w:tcPr>
          <w:p>
            <w:r>
              <w:t>Selected platform/account scope + SaveDraftRequest → admin:STR-03 permission/gate → IAM_RUNTIME shared ingress → StrategyService resolves PlatformPlaybook target → append/create governed draft version + references → audit → refreshed Playbook projection → later explicit approval.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Opportunity Candidate Create</w:t>
            </w:r>
          </w:p>
        </w:tc>
        <w:tc>
          <w:tcPr>
            <w:tcW w:type="dxa" w:w="5616"/>
          </w:tcPr>
          <w:p>
            <w:r>
              <w:t>Trend/Forecast projection + evidence + CreateCandidateRequest → admin:STR-05 permission/gate → StrategyService → OpportunityCandidate create/version → evidence lineage + audit → DRAFT/REVIEW projection → explicit later approval.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Strategy Candidate Reject</w:t>
            </w:r>
          </w:p>
        </w:tc>
        <w:tc>
          <w:tcPr>
            <w:tcW w:type="dxa" w:w="5616"/>
          </w:tcPr>
          <w:p>
            <w:r>
              <w:t>Exact strategyCandidateId + expected/current version context + decision_reason/evidence_refs → admin:STR-06 permission/state gate → StrategyService → persist rejected StrategyCandidate state + DecisionContext reason/evidence → audit → refreshed Decision projection; no ContextCandidate/downstream execution.</w:t>
            </w:r>
          </w:p>
        </w:tc>
      </w:tr>
    </w:tbl>
    <w:p>
      <w:pPr>
        <w:pStyle w:val="Heading2"/>
      </w:pPr>
      <w:r>
        <w:t>Failure / Recovery /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Case</w:t>
            </w:r>
          </w:p>
        </w:tc>
        <w:tc>
          <w:tcPr>
            <w:tcW w:type="dxa" w:w="5616"/>
          </w:tcPr>
          <w:p>
            <w:r>
              <w:t>Required Behavior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resource_type/target_ref cannot resolve PlatformPlaybook</w:t>
            </w:r>
          </w:p>
        </w:tc>
        <w:tc>
          <w:tcPr>
            <w:tcW w:type="dxa" w:w="5616"/>
          </w:tcPr>
          <w:p>
            <w:r>
              <w:t>Fail closed; no draft persistence.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Opportunity candidate evidence/source invalid</w:t>
            </w:r>
          </w:p>
        </w:tc>
        <w:tc>
          <w:tcPr>
            <w:tcW w:type="dxa" w:w="5616"/>
          </w:tcPr>
          <w:p>
            <w:r>
              <w:t>Fail closed; no candidate creation/version.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Strategy candidate ID/version mismatch</w:t>
            </w:r>
          </w:p>
        </w:tc>
        <w:tc>
          <w:tcPr>
            <w:tcW w:type="dxa" w:w="5616"/>
          </w:tcPr>
          <w:p>
            <w:r>
              <w:t>Fail closed; no rejected-state mutation.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Permission/gate failure</w:t>
            </w:r>
          </w:p>
        </w:tc>
        <w:tc>
          <w:tcPr>
            <w:tcW w:type="dxa" w:w="5616"/>
          </w:tcPr>
          <w:p>
            <w:r>
              <w:t>No mutation; explicit denied/error response and audit where policy requires.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Partial persistence</w:t>
            </w:r>
          </w:p>
        </w:tc>
        <w:tc>
          <w:tcPr>
            <w:tcW w:type="dxa" w:w="5616"/>
          </w:tcPr>
          <w:p>
            <w:r>
              <w:t>Forbidden. Business state/version/audit linkage must be transactionally coherent at the design contract level.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Acceptance</w:t>
            </w:r>
          </w:p>
        </w:tc>
        <w:tc>
          <w:tcPr>
            <w:tcW w:type="dxa" w:w="5616"/>
          </w:tcPr>
          <w:p>
            <w:r>
              <w:t>PASS when both System 08 and ADMIN-STR-01 expose the same three Runtime/Persistence Owner mappings, no Authority-gap placeholder remains for these controls, and no second Strategy runtime/business store is introduced.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