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pPr>
            <w:r>
              <w:rPr>
                <w:sz w:val="10"/>
              </w:rPr>
              <w:t>Rule</w:t>
            </w:r>
          </w:p>
        </w:tc>
        <w:tc>
          <w:tcPr>
            <w:tcW w:type="dxa" w:w="5522"/>
            <w:shd w:fill="EDE9FE"/>
          </w:tcPr>
          <w:p>
            <w:pPr>
              <w:spacing w:before="0" w:after="0"/>
            </w:pPr>
            <w:r>
              <w:rPr>
                <w:sz w:val="10"/>
              </w:rPr>
              <w:t>Requirement</w:t>
            </w:r>
          </w:p>
        </w:tc>
      </w:tr>
      <w:tr>
        <w:tc>
          <w:tcPr>
            <w:tcW w:type="dxa" w:w="5522"/>
          </w:tcPr>
          <w:p>
            <w:pPr>
              <w:spacing w:before="0" w:after="0"/>
            </w:pPr>
            <w:r>
              <w:rPr>
                <w:sz w:val="10"/>
              </w:rPr>
              <w:t>B13-01</w:t>
            </w:r>
          </w:p>
        </w:tc>
        <w:tc>
          <w:tcPr>
            <w:tcW w:type="dxa" w:w="5522"/>
          </w:tcPr>
          <w:p>
            <w:pPr>
              <w:spacing w:before="0" w:after="0"/>
            </w:pPr>
            <w:r>
              <w:rPr>
                <w:sz w:val="10"/>
              </w:rPr>
              <w:t>A blank Action UID is not N/A by itself; the full exact structural eligibility rule must match.</w:t>
            </w:r>
          </w:p>
        </w:tc>
      </w:tr>
      <w:tr>
        <w:tc>
          <w:tcPr>
            <w:tcW w:type="dxa" w:w="5522"/>
          </w:tcPr>
          <w:p>
            <w:pPr>
              <w:spacing w:before="0" w:after="0"/>
            </w:pPr>
            <w:r>
              <w:rPr>
                <w:sz w:val="10"/>
              </w:rPr>
              <w:t>B13-02</w:t>
            </w:r>
          </w:p>
        </w:tc>
        <w:tc>
          <w:tcPr>
            <w:tcW w:type="dxa" w:w="5522"/>
          </w:tcPr>
          <w:p>
            <w:pPr>
              <w:spacing w:before="0" w:after="0"/>
            </w:pPr>
            <w:r>
              <w:rPr>
                <w:sz w:val="10"/>
              </w:rPr>
              <w:t>UI similarity, labels, first-match behavior, or nearby rows cannot create N/A eligibility.</w:t>
            </w:r>
          </w:p>
        </w:tc>
      </w:tr>
      <w:tr>
        <w:tc>
          <w:tcPr>
            <w:tcW w:type="dxa" w:w="5522"/>
          </w:tcPr>
          <w:p>
            <w:pPr>
              <w:spacing w:before="0" w:after="0"/>
            </w:pPr>
            <w:r>
              <w:rPr>
                <w:sz w:val="10"/>
              </w:rPr>
              <w:t>B13-03</w:t>
            </w:r>
          </w:p>
        </w:tc>
        <w:tc>
          <w:tcPr>
            <w:tcW w:type="dxa" w:w="5522"/>
          </w:tcPr>
          <w:p>
            <w:pPr>
              <w:spacing w:before="0" w:after="0"/>
            </w:pPr>
            <w:r>
              <w:rPr>
                <w:sz w:val="10"/>
              </w:rPr>
              <w:t>The remaining 208 unique-owner gaps retain DEFINITION_BINDING_GAP until their Canonical Owner explicitly defines a value or an equally explicit non-applicability rule.</w:t>
            </w:r>
          </w:p>
        </w:tc>
      </w:tr>
      <w:tr>
        <w:tc>
          <w:tcPr>
            <w:tcW w:type="dxa" w:w="5522"/>
          </w:tcPr>
          <w:p>
            <w:pPr>
              <w:spacing w:before="0" w:after="0"/>
            </w:pPr>
            <w:r>
              <w:rPr>
                <w:sz w:val="10"/>
              </w:rPr>
              <w:t>B13-04</w:t>
            </w:r>
          </w:p>
        </w:tc>
        <w:tc>
          <w:tcPr>
            <w:tcW w:type="dxa" w:w="5522"/>
          </w:tcPr>
          <w:p>
            <w:pPr>
              <w:spacing w:before="0" w:after="0"/>
            </w:pPr>
            <w:r>
              <w:rPr>
                <w:sz w:val="10"/>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pPr>
      <w:r>
        <w:t>Batch 14 · Local / Aggregate Operation Applicability Closure</w:t>
      </w:r>
    </w:p>
    <w:p>
      <w:r>
        <w:rPr>
          <w:b/>
        </w:rPr>
        <w:t xml:space="preserve">[ACPOS-20260921-BATCH-14-LOCAL-ORCHESTRATION-NA-SEMANTICS-V1] </w:t>
      </w:r>
      <w: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pPr>
            <w:r>
              <w:rPr>
                <w:sz w:val="9"/>
              </w:rPr>
              <w:t>Class</w:t>
            </w:r>
          </w:p>
        </w:tc>
        <w:tc>
          <w:tcPr>
            <w:tcW w:type="dxa" w:w="5323"/>
            <w:shd w:fill="EDE9FE"/>
          </w:tcPr>
          <w:p>
            <w:pPr>
              <w:spacing w:before="0" w:after="0"/>
            </w:pPr>
            <w:r>
              <w:rPr>
                <w:sz w:val="9"/>
              </w:rPr>
              <w:t>Count</w:t>
            </w:r>
          </w:p>
        </w:tc>
        <w:tc>
          <w:tcPr>
            <w:tcW w:type="dxa" w:w="5323"/>
            <w:shd w:fill="EDE9FE"/>
          </w:tcPr>
          <w:p>
            <w:pPr>
              <w:spacing w:before="0" w:after="0"/>
            </w:pPr>
            <w:r>
              <w:rPr>
                <w:sz w:val="9"/>
              </w:rPr>
              <w:t>Decision</w:t>
            </w:r>
          </w:p>
        </w:tc>
      </w:tr>
      <w:tr>
        <w:tc>
          <w:tcPr>
            <w:tcW w:type="dxa" w:w="5323"/>
          </w:tcPr>
          <w:p>
            <w:pPr>
              <w:spacing w:before="0" w:after="0"/>
            </w:pPr>
            <w:r>
              <w:rPr>
                <w:sz w:val="9"/>
              </w:rPr>
              <w:t>Pre-batch Definition Binding Gap</w:t>
            </w:r>
          </w:p>
        </w:tc>
        <w:tc>
          <w:tcPr>
            <w:tcW w:type="dxa" w:w="5323"/>
          </w:tcPr>
          <w:p>
            <w:pPr>
              <w:spacing w:before="0" w:after="0"/>
            </w:pPr>
            <w:r>
              <w:rPr>
                <w:sz w:val="9"/>
              </w:rPr>
              <w:t>209</w:t>
            </w:r>
          </w:p>
        </w:tc>
        <w:tc>
          <w:tcPr>
            <w:tcW w:type="dxa" w:w="5323"/>
          </w:tcPr>
          <w:p>
            <w:pPr>
              <w:spacing w:before="0" w:after="0"/>
            </w:pPr>
            <w:r>
              <w:rPr>
                <w:sz w:val="9"/>
              </w:rPr>
              <w:t>Current Batch-13 denominator.</w:t>
            </w:r>
          </w:p>
        </w:tc>
      </w:tr>
      <w:tr>
        <w:tc>
          <w:tcPr>
            <w:tcW w:type="dxa" w:w="5323"/>
          </w:tcPr>
          <w:p>
            <w:pPr>
              <w:spacing w:before="0" w:after="0"/>
            </w:pPr>
            <w:r>
              <w:rPr>
                <w:sz w:val="9"/>
              </w:rPr>
              <w:t>EDIT LOCAL_WORKING_DRAFT_EXACT Operation</w:t>
            </w:r>
          </w:p>
        </w:tc>
        <w:tc>
          <w:tcPr>
            <w:tcW w:type="dxa" w:w="5323"/>
          </w:tcPr>
          <w:p>
            <w:pPr>
              <w:spacing w:before="0" w:after="0"/>
            </w:pPr>
            <w:r>
              <w:rPr>
                <w:sz w:val="9"/>
              </w:rPr>
              <w:t>43</w:t>
            </w:r>
          </w:p>
        </w:tc>
        <w:tc>
          <w:tcPr>
            <w:tcW w:type="dxa" w:w="5323"/>
          </w:tcPr>
          <w:p>
            <w:pPr>
              <w:spacing w:before="0" w:after="0"/>
            </w:pPr>
            <w:r>
              <w:rPr>
                <w:sz w:val="9"/>
              </w:rPr>
              <w:t>N/A only when Method/Path=NO_PUBLIC_API_BY_AUTHORITY and local Runtime Owner is already exact.</w:t>
            </w:r>
          </w:p>
        </w:tc>
      </w:tr>
      <w:tr>
        <w:tc>
          <w:tcPr>
            <w:tcW w:type="dxa" w:w="5323"/>
          </w:tcPr>
          <w:p>
            <w:pPr>
              <w:spacing w:before="0" w:after="0"/>
            </w:pPr>
            <w:r>
              <w:rPr>
                <w:sz w:val="9"/>
              </w:rPr>
              <w:t>IAM aggregate Operation</w:t>
            </w:r>
          </w:p>
        </w:tc>
        <w:tc>
          <w:tcPr>
            <w:tcW w:type="dxa" w:w="5323"/>
          </w:tcPr>
          <w:p>
            <w:pPr>
              <w:spacing w:before="0" w:after="0"/>
            </w:pPr>
            <w:r>
              <w:rPr>
                <w:sz w:val="9"/>
              </w:rPr>
              <w:t>1</w:t>
            </w:r>
          </w:p>
        </w:tc>
        <w:tc>
          <w:tcPr>
            <w:tcW w:type="dxa" w:w="5323"/>
          </w:tcPr>
          <w:p>
            <w:pPr>
              <w:spacing w:before="0" w:after="0"/>
            </w:pPr>
            <w:r>
              <w:rPr>
                <w:sz w:val="9"/>
              </w:rPr>
              <w:t>N/A because row explicitly ORCHESTRATES_EXISTING_EXACT_OPERATIONS.</w:t>
            </w:r>
          </w:p>
        </w:tc>
      </w:tr>
      <w:tr>
        <w:tc>
          <w:tcPr>
            <w:tcW w:type="dxa" w:w="5323"/>
          </w:tcPr>
          <w:p>
            <w:pPr>
              <w:spacing w:before="0" w:after="0"/>
            </w:pPr>
            <w:r>
              <w:rPr>
                <w:sz w:val="9"/>
              </w:rPr>
              <w:t>IAM aggregate Runtime Owner</w:t>
            </w:r>
          </w:p>
        </w:tc>
        <w:tc>
          <w:tcPr>
            <w:tcW w:type="dxa" w:w="5323"/>
          </w:tcPr>
          <w:p>
            <w:pPr>
              <w:spacing w:before="0" w:after="0"/>
            </w:pPr>
            <w:r>
              <w:rPr>
                <w:sz w:val="9"/>
              </w:rPr>
              <w:t>1</w:t>
            </w:r>
          </w:p>
        </w:tc>
        <w:tc>
          <w:tcPr>
            <w:tcW w:type="dxa" w:w="5323"/>
          </w:tcPr>
          <w:p>
            <w:pPr>
              <w:spacing w:before="0" w:after="0"/>
            </w:pPr>
            <w:r>
              <w:rPr>
                <w:sz w:val="9"/>
              </w:rPr>
              <w:t>N/A because aggregate delegates to constituent exact operation owners.</w:t>
            </w:r>
          </w:p>
        </w:tc>
      </w:tr>
      <w:tr>
        <w:tc>
          <w:tcPr>
            <w:tcW w:type="dxa" w:w="5323"/>
          </w:tcPr>
          <w:p>
            <w:pPr>
              <w:spacing w:before="0" w:after="0"/>
            </w:pPr>
            <w:r>
              <w:rPr>
                <w:sz w:val="9"/>
              </w:rPr>
              <w:t>Total Batch-14 N/A reclassification</w:t>
            </w:r>
          </w:p>
        </w:tc>
        <w:tc>
          <w:tcPr>
            <w:tcW w:type="dxa" w:w="5323"/>
          </w:tcPr>
          <w:p>
            <w:pPr>
              <w:spacing w:before="0" w:after="0"/>
            </w:pPr>
            <w:r>
              <w:rPr>
                <w:sz w:val="9"/>
              </w:rPr>
              <w:t>45</w:t>
            </w:r>
          </w:p>
        </w:tc>
        <w:tc>
          <w:tcPr>
            <w:tcW w:type="dxa" w:w="5323"/>
          </w:tcPr>
          <w:p>
            <w:pPr>
              <w:spacing w:before="0" w:after="0"/>
            </w:pPr>
            <w:r>
              <w:rPr>
                <w:sz w:val="9"/>
              </w:rPr>
              <w:t>No Operation or Runtime Owner value written.</w:t>
            </w:r>
          </w:p>
        </w:tc>
      </w:tr>
      <w:tr>
        <w:tc>
          <w:tcPr>
            <w:tcW w:type="dxa" w:w="5323"/>
          </w:tcPr>
          <w:p>
            <w:pPr>
              <w:spacing w:before="0" w:after="0"/>
            </w:pPr>
            <w:r>
              <w:rPr>
                <w:sz w:val="9"/>
              </w:rPr>
              <w:t>Weak unique relation candidates</w:t>
            </w:r>
          </w:p>
        </w:tc>
        <w:tc>
          <w:tcPr>
            <w:tcW w:type="dxa" w:w="5323"/>
          </w:tcPr>
          <w:p>
            <w:pPr>
              <w:spacing w:before="0" w:after="0"/>
            </w:pPr>
            <w:r>
              <w:rPr>
                <w:sz w:val="9"/>
              </w:rPr>
              <w:t>5</w:t>
            </w:r>
          </w:p>
        </w:tc>
        <w:tc>
          <w:tcPr>
            <w:tcW w:type="dxa" w:w="5323"/>
          </w:tcPr>
          <w:p>
            <w:pPr>
              <w:spacing w:before="0" w:after="0"/>
            </w:pPr>
            <w:r>
              <w:rPr>
                <w:sz w:val="9"/>
              </w:rPr>
              <w:t>Rejected for this batch; Gate/Permission-only uniqueness is not operation-specific authority.</w:t>
            </w:r>
          </w:p>
        </w:tc>
      </w:tr>
      <w:tr>
        <w:tc>
          <w:tcPr>
            <w:tcW w:type="dxa" w:w="5323"/>
          </w:tcPr>
          <w:p>
            <w:pPr>
              <w:spacing w:before="0" w:after="0"/>
            </w:pPr>
            <w:r>
              <w:rPr>
                <w:sz w:val="9"/>
              </w:rPr>
              <w:t>Exact relation conflicts</w:t>
            </w:r>
          </w:p>
        </w:tc>
        <w:tc>
          <w:tcPr>
            <w:tcW w:type="dxa" w:w="5323"/>
          </w:tcPr>
          <w:p>
            <w:pPr>
              <w:spacing w:before="0" w:after="0"/>
            </w:pPr>
            <w:r>
              <w:rPr>
                <w:sz w:val="9"/>
              </w:rPr>
              <w:t>66</w:t>
            </w:r>
          </w:p>
        </w:tc>
        <w:tc>
          <w:tcPr>
            <w:tcW w:type="dxa" w:w="5323"/>
          </w:tcPr>
          <w:p>
            <w:pPr>
              <w:spacing w:before="0" w:after="0"/>
            </w:pPr>
            <w:r>
              <w:rPr>
                <w:sz w:val="9"/>
              </w:rPr>
              <w:t>Remain fail-closed.</w:t>
            </w:r>
          </w:p>
        </w:tc>
      </w:tr>
      <w:tr>
        <w:tc>
          <w:tcPr>
            <w:tcW w:type="dxa" w:w="5323"/>
          </w:tcPr>
          <w:p>
            <w:pPr>
              <w:spacing w:before="0" w:after="0"/>
            </w:pPr>
            <w:r>
              <w:rPr>
                <w:sz w:val="9"/>
              </w:rPr>
              <w:t>No exact relation</w:t>
            </w:r>
          </w:p>
        </w:tc>
        <w:tc>
          <w:tcPr>
            <w:tcW w:type="dxa" w:w="5323"/>
          </w:tcPr>
          <w:p>
            <w:pPr>
              <w:spacing w:before="0" w:after="0"/>
            </w:pPr>
            <w:r>
              <w:rPr>
                <w:sz w:val="9"/>
              </w:rPr>
              <w:t>118</w:t>
            </w:r>
          </w:p>
        </w:tc>
        <w:tc>
          <w:tcPr>
            <w:tcW w:type="dxa" w:w="5323"/>
          </w:tcPr>
          <w:p>
            <w:pPr>
              <w:spacing w:before="0" w:after="0"/>
            </w:pPr>
            <w:r>
              <w:rPr>
                <w:sz w:val="9"/>
              </w:rPr>
              <w:t>Remain canonical-spec remediation.</w:t>
            </w:r>
          </w:p>
        </w:tc>
      </w:tr>
      <w:tr>
        <w:tc>
          <w:tcPr>
            <w:tcW w:type="dxa" w:w="5323"/>
          </w:tcPr>
          <w:p>
            <w:pPr>
              <w:spacing w:before="0" w:after="0"/>
            </w:pPr>
            <w:r>
              <w:rPr>
                <w:sz w:val="9"/>
              </w:rPr>
              <w:t>UI_LOCAL_OR_READ_SOURCE subset</w:t>
            </w:r>
          </w:p>
        </w:tc>
        <w:tc>
          <w:tcPr>
            <w:tcW w:type="dxa" w:w="5323"/>
          </w:tcPr>
          <w:p>
            <w:pPr>
              <w:spacing w:before="0" w:after="0"/>
            </w:pPr>
            <w:r>
              <w:rPr>
                <w:sz w:val="9"/>
              </w:rPr>
              <w:t>42</w:t>
            </w:r>
          </w:p>
        </w:tc>
        <w:tc>
          <w:tcPr>
            <w:tcW w:type="dxa" w:w="5323"/>
          </w:tcPr>
          <w:p>
            <w:pPr>
              <w:spacing w:before="0" w:after="0"/>
            </w:pPr>
            <w:r>
              <w:rPr>
                <w:sz w:val="9"/>
              </w:rPr>
              <w:t>Remain unresolved; status is intentionally ambiguous between UI-local and read-source behavior.</w:t>
            </w:r>
          </w:p>
        </w:tc>
      </w:tr>
      <w:tr>
        <w:tc>
          <w:tcPr>
            <w:tcW w:type="dxa" w:w="5323"/>
          </w:tcPr>
          <w:p>
            <w:pPr>
              <w:spacing w:before="0" w:after="0"/>
            </w:pPr>
            <w:r>
              <w:rPr>
                <w:sz w:val="9"/>
              </w:rPr>
              <w:t>Post-batch Definition Binding Gap</w:t>
            </w:r>
          </w:p>
        </w:tc>
        <w:tc>
          <w:tcPr>
            <w:tcW w:type="dxa" w:w="5323"/>
          </w:tcPr>
          <w:p>
            <w:pPr>
              <w:spacing w:before="0" w:after="0"/>
            </w:pPr>
            <w:r>
              <w:rPr>
                <w:sz w:val="9"/>
              </w:rPr>
              <w:t>164</w:t>
            </w:r>
          </w:p>
        </w:tc>
        <w:tc>
          <w:tcPr>
            <w:tcW w:type="dxa" w:w="5323"/>
          </w:tcPr>
          <w:p>
            <w:pPr>
              <w:spacing w:before="0" w:after="0"/>
            </w:pPr>
            <w:r>
              <w:rPr>
                <w:sz w:val="9"/>
              </w:rPr>
              <w:t>163 unique-owner canonical-spec gaps + 1 preserved SYS Gate conflict.</w:t>
            </w:r>
          </w:p>
        </w:tc>
      </w:tr>
      <w:tr>
        <w:tc>
          <w:tcPr>
            <w:tcW w:type="dxa" w:w="5323"/>
          </w:tcPr>
          <w:p>
            <w:pPr>
              <w:spacing w:before="0" w:after="0"/>
            </w:pPr>
            <w:r>
              <w:rPr>
                <w:sz w:val="9"/>
              </w:rPr>
              <w:t>Business binding mutations</w:t>
            </w:r>
          </w:p>
        </w:tc>
        <w:tc>
          <w:tcPr>
            <w:tcW w:type="dxa" w:w="5323"/>
          </w:tcPr>
          <w:p>
            <w:pPr>
              <w:spacing w:before="0" w:after="0"/>
            </w:pPr>
            <w:r>
              <w:rPr>
                <w:sz w:val="9"/>
              </w:rPr>
              <w:t>0</w:t>
            </w:r>
          </w:p>
        </w:tc>
        <w:tc>
          <w:tcPr>
            <w:tcW w:type="dxa" w:w="5323"/>
          </w:tcPr>
          <w:p>
            <w:pPr>
              <w:spacing w:before="0" w:after="0"/>
            </w:pPr>
            <w:r>
              <w:rPr>
                <w:sz w:val="9"/>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pPr>
            <w:r>
              <w:rPr>
                <w:sz w:val="7"/>
              </w:rPr>
              <w:t>Page</w:t>
            </w:r>
          </w:p>
        </w:tc>
        <w:tc>
          <w:tcPr>
            <w:tcW w:type="dxa" w:w="3992"/>
            <w:shd w:fill="EDE9FE"/>
          </w:tcPr>
          <w:p>
            <w:pPr>
              <w:spacing w:before="0" w:after="0"/>
            </w:pPr>
            <w:r>
              <w:rPr>
                <w:sz w:val="7"/>
              </w:rPr>
              <w:t>Target UID</w:t>
            </w:r>
          </w:p>
        </w:tc>
        <w:tc>
          <w:tcPr>
            <w:tcW w:type="dxa" w:w="3992"/>
            <w:shd w:fill="EDE9FE"/>
          </w:tcPr>
          <w:p>
            <w:pPr>
              <w:spacing w:before="0" w:after="0"/>
            </w:pPr>
            <w:r>
              <w:rPr>
                <w:sz w:val="7"/>
              </w:rPr>
              <w:t>Field</w:t>
            </w:r>
          </w:p>
        </w:tc>
        <w:tc>
          <w:tcPr>
            <w:tcW w:type="dxa" w:w="3992"/>
            <w:shd w:fill="EDE9FE"/>
          </w:tcPr>
          <w:p>
            <w:pPr>
              <w:spacing w:before="0" w:after="0"/>
            </w:pPr>
            <w:r>
              <w:rPr>
                <w:sz w:val="7"/>
              </w:rPr>
              <w:t>Applicability Class</w:t>
            </w:r>
          </w:p>
        </w:tc>
      </w:tr>
      <w:tr>
        <w:tc>
          <w:tcPr>
            <w:tcW w:type="dxa" w:w="3992"/>
          </w:tcPr>
          <w:p>
            <w:pPr>
              <w:spacing w:before="0" w:after="0"/>
            </w:pPr>
            <w:r>
              <w:rPr>
                <w:sz w:val="7"/>
              </w:rPr>
              <w:t>EDIT-01</w:t>
            </w:r>
          </w:p>
        </w:tc>
        <w:tc>
          <w:tcPr>
            <w:tcW w:type="dxa" w:w="3992"/>
          </w:tcPr>
          <w:p>
            <w:pPr>
              <w:spacing w:before="0" w:after="0"/>
            </w:pPr>
            <w:r>
              <w:rPr>
                <w:sz w:val="7"/>
              </w:rPr>
              <w:t>EDIT-01-BTN-API-APPLY</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EDIT-01-BTN-API-DISCARD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EDIT-01-BTN-CORR-APPROVE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EDIT-01-BTN-DELETE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EDIT-01-BTN-DUPLICATE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EDIT-01-BTN-LIPSYNC-MARK</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EDIT-01-BTN-MARKER</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EDIT-01-BTN-MOVE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EDIT-01-BTN-MUSIC-ADD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EDIT-01-BTN-REDO</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EDIT-01-BTN-REORDER</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EDIT-01-BTN-REPLACE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EDIT-01-BTN-SFX-ADD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EDIT-01-BTN-SPLIT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EDIT-01-BTN-SUB-CREATE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EDIT-01-BTN-SUB-IMPORT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EDIT-01-BTN-SUB-MANUAL-SYNC</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EDIT-01-BTN-SUB-MERGE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EDIT-01-BTN-SUB-SPLIT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EDIT-01-BTN-TRIM-END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EDIT-01-BTN-TRIM-START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EDIT-01-BTN-UNDO</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EDIT-01-BTN-VOICE-APPLY</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EDIT-01-CTL-CLIP-VOLUME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EDIT-01-CTL-DROP-TIMELINE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EDIT-01-CTL-FADE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EDIT-01-CTL-MASTER-LEVEL</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EDIT-01-CTL-SPEED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EDIT-01-CTL-TRACK-LEVEL</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EDIT-01-CTL-TRACK-MUTE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EDIT-01-CTL-TRANSITION</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EDIT-01-FLD-CLIP-IN</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EDIT-01-FLD-CLIP-OUT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EDIT-01-FLD-CLIP-POSITION</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EDIT-01-FLD-INSPECTOR-FADE-IN</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EDIT-01-FLD-INSPECTOR-FADE-OUT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EDIT-01-FLD-INSPECTOR-SPEED</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EDIT-01-FLD-INSPECTOR-TRANSITION</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EDIT-01-FLD-INSPECTOR-VOLUME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EDIT-01-FLD-SUB-FORMAT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EDIT-01-FLD-SUB-LANG</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EDIT-01-FLD-SUB-TEXT</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EDIT-01</w:t>
            </w:r>
          </w:p>
        </w:tc>
        <w:tc>
          <w:tcPr>
            <w:tcW w:type="dxa" w:w="3992"/>
          </w:tcPr>
          <w:p>
            <w:pPr>
              <w:spacing w:before="0" w:after="0"/>
            </w:pPr>
            <w:r>
              <w:rPr>
                <w:sz w:val="7"/>
              </w:rPr>
              <w:t>EDIT-01-FLD-SUB-TIMECODE</w:t>
            </w:r>
          </w:p>
        </w:tc>
        <w:tc>
          <w:tcPr>
            <w:tcW w:type="dxa" w:w="3992"/>
          </w:tcPr>
          <w:p>
            <w:pPr>
              <w:spacing w:before="0" w:after="0"/>
            </w:pPr>
            <w:r>
              <w:rPr>
                <w:sz w:val="7"/>
              </w:rPr>
              <w:t>Operation</w:t>
            </w:r>
          </w:p>
        </w:tc>
        <w:tc>
          <w:tcPr>
            <w:tcW w:type="dxa" w:w="3992"/>
          </w:tcPr>
          <w:p>
            <w:pPr>
              <w:spacing w:before="0" w:after="0"/>
            </w:pPr>
            <w:r>
              <w:rPr>
                <w:sz w:val="7"/>
              </w:rPr>
              <w:t>LEGITIMATE_NA_LOCAL_WORKING_DRAFT_OPERATION</w:t>
            </w:r>
          </w:p>
        </w:tc>
      </w:tr>
      <w:tr>
        <w:tc>
          <w:tcPr>
            <w:tcW w:type="dxa" w:w="3992"/>
          </w:tcPr>
          <w:p>
            <w:pPr>
              <w:spacing w:before="0" w:after="0"/>
            </w:pPr>
            <w:r>
              <w:rPr>
                <w:sz w:val="7"/>
              </w:rPr>
              <w:t>IAM-01</w:t>
            </w:r>
          </w:p>
        </w:tc>
        <w:tc>
          <w:tcPr>
            <w:tcW w:type="dxa" w:w="3992"/>
          </w:tcPr>
          <w:p>
            <w:pPr>
              <w:spacing w:before="0" w:after="0"/>
            </w:pPr>
            <w:r>
              <w:rPr>
                <w:sz w:val="7"/>
              </w:rPr>
              <w:t>IAM-01-BTN-COMPLETE</w:t>
            </w:r>
          </w:p>
        </w:tc>
        <w:tc>
          <w:tcPr>
            <w:tcW w:type="dxa" w:w="3992"/>
          </w:tcPr>
          <w:p>
            <w:pPr>
              <w:spacing w:before="0" w:after="0"/>
            </w:pPr>
            <w:r>
              <w:rPr>
                <w:sz w:val="7"/>
              </w:rPr>
              <w:t>Operation</w:t>
            </w:r>
          </w:p>
        </w:tc>
        <w:tc>
          <w:tcPr>
            <w:tcW w:type="dxa" w:w="3992"/>
          </w:tcPr>
          <w:p>
            <w:pPr>
              <w:spacing w:before="0" w:after="0"/>
            </w:pPr>
            <w:r>
              <w:rPr>
                <w:sz w:val="7"/>
              </w:rPr>
              <w:t>LEGITIMATE_NA_ORCHESTRATION_AGGREGATE_OPERATION</w:t>
            </w:r>
          </w:p>
        </w:tc>
      </w:tr>
      <w:tr>
        <w:tc>
          <w:tcPr>
            <w:tcW w:type="dxa" w:w="3992"/>
          </w:tcPr>
          <w:p>
            <w:pPr>
              <w:spacing w:before="0" w:after="0"/>
            </w:pPr>
            <w:r>
              <w:rPr>
                <w:sz w:val="7"/>
              </w:rPr>
              <w:t>IAM-01</w:t>
            </w:r>
          </w:p>
        </w:tc>
        <w:tc>
          <w:tcPr>
            <w:tcW w:type="dxa" w:w="3992"/>
          </w:tcPr>
          <w:p>
            <w:pPr>
              <w:spacing w:before="0" w:after="0"/>
            </w:pPr>
            <w:r>
              <w:rPr>
                <w:sz w:val="7"/>
              </w:rPr>
              <w:t>IAM-01-BTN-COMPLETE</w:t>
            </w:r>
          </w:p>
        </w:tc>
        <w:tc>
          <w:tcPr>
            <w:tcW w:type="dxa" w:w="3992"/>
          </w:tcPr>
          <w:p>
            <w:pPr>
              <w:spacing w:before="0" w:after="0"/>
            </w:pPr>
            <w:r>
              <w:rPr>
                <w:sz w:val="7"/>
              </w:rPr>
              <w:t>Runtime Owner</w:t>
            </w:r>
          </w:p>
        </w:tc>
        <w:tc>
          <w:tcPr>
            <w:tcW w:type="dxa" w:w="3992"/>
          </w:tcPr>
          <w:p>
            <w:pPr>
              <w:spacing w:before="0" w:after="0"/>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pPr>
            <w:r>
              <w:rPr>
                <w:sz w:val="9"/>
              </w:rPr>
              <w:t>Rule</w:t>
            </w:r>
          </w:p>
        </w:tc>
        <w:tc>
          <w:tcPr>
            <w:tcW w:type="dxa" w:w="7985"/>
            <w:shd w:fill="EDE9FE"/>
          </w:tcPr>
          <w:p>
            <w:pPr>
              <w:spacing w:before="0" w:after="0"/>
            </w:pPr>
            <w:r>
              <w:rPr>
                <w:sz w:val="9"/>
              </w:rPr>
              <w:t>Requirement</w:t>
            </w:r>
          </w:p>
        </w:tc>
      </w:tr>
      <w:tr>
        <w:tc>
          <w:tcPr>
            <w:tcW w:type="dxa" w:w="7985"/>
          </w:tcPr>
          <w:p>
            <w:pPr>
              <w:spacing w:before="0" w:after="0"/>
            </w:pPr>
            <w:r>
              <w:rPr>
                <w:sz w:val="9"/>
              </w:rPr>
              <w:t>B14-01</w:t>
            </w:r>
          </w:p>
        </w:tc>
        <w:tc>
          <w:tcPr>
            <w:tcW w:type="dxa" w:w="7985"/>
          </w:tcPr>
          <w:p>
            <w:pPr>
              <w:spacing w:before="0" w:after="0"/>
            </w:pPr>
            <w:r>
              <w:rPr>
                <w:sz w:val="9"/>
              </w:rPr>
              <w:t>LOCAL_WORKING_DRAFT_EXACT alone is insufficient; Method/Path must be NO_PUBLIC_API_BY_AUTHORITY and a local Runtime Owner must already be explicit.</w:t>
            </w:r>
          </w:p>
        </w:tc>
      </w:tr>
      <w:tr>
        <w:tc>
          <w:tcPr>
            <w:tcW w:type="dxa" w:w="7985"/>
          </w:tcPr>
          <w:p>
            <w:pPr>
              <w:spacing w:before="0" w:after="0"/>
            </w:pPr>
            <w:r>
              <w:rPr>
                <w:sz w:val="9"/>
              </w:rPr>
              <w:t>B14-02</w:t>
            </w:r>
          </w:p>
        </w:tc>
        <w:tc>
          <w:tcPr>
            <w:tcW w:type="dxa" w:w="7985"/>
          </w:tcPr>
          <w:p>
            <w:pPr>
              <w:spacing w:before="0" w:after="0"/>
            </w:pPr>
            <w:r>
              <w:rPr>
                <w:sz w:val="9"/>
              </w:rPr>
              <w:t>ORCHESTRATES_EXISTING_EXACT_OPERATIONS means the aggregate row delegates to constituent contracts; it does not authorize inventing an aggregate Operation or Runtime Owner.</w:t>
            </w:r>
          </w:p>
        </w:tc>
      </w:tr>
      <w:tr>
        <w:tc>
          <w:tcPr>
            <w:tcW w:type="dxa" w:w="7985"/>
          </w:tcPr>
          <w:p>
            <w:pPr>
              <w:spacing w:before="0" w:after="0"/>
            </w:pPr>
            <w:r>
              <w:rPr>
                <w:sz w:val="9"/>
              </w:rPr>
              <w:t>B14-03</w:t>
            </w:r>
          </w:p>
        </w:tc>
        <w:tc>
          <w:tcPr>
            <w:tcW w:type="dxa" w:w="7985"/>
          </w:tcPr>
          <w:p>
            <w:pPr>
              <w:spacing w:before="0" w:after="0"/>
            </w:pPr>
            <w:r>
              <w:rPr>
                <w:sz w:val="9"/>
              </w:rPr>
              <w:t>Shared Gate or Permission yielding one candidate Operation is not accepted unless the relation is operation-specific in current authority.</w:t>
            </w:r>
          </w:p>
        </w:tc>
      </w:tr>
      <w:tr>
        <w:tc>
          <w:tcPr>
            <w:tcW w:type="dxa" w:w="7985"/>
          </w:tcPr>
          <w:p>
            <w:pPr>
              <w:spacing w:before="0" w:after="0"/>
            </w:pPr>
            <w:r>
              <w:rPr>
                <w:sz w:val="9"/>
              </w:rPr>
              <w:t>B14-04</w:t>
            </w:r>
          </w:p>
        </w:tc>
        <w:tc>
          <w:tcPr>
            <w:tcW w:type="dxa" w:w="7985"/>
          </w:tcPr>
          <w:p>
            <w:pPr>
              <w:spacing w:before="0" w:after="0"/>
            </w:pPr>
            <w:r>
              <w:rPr>
                <w:sz w:val="9"/>
              </w:rPr>
              <w:t>UI_LOCAL_OR_READ_SOURCE remains unresolved until each owner defines local-vs-read behavior or an exact binding.</w:t>
            </w:r>
          </w:p>
        </w:tc>
      </w:tr>
      <w:tr>
        <w:tc>
          <w:tcPr>
            <w:tcW w:type="dxa" w:w="7985"/>
          </w:tcPr>
          <w:p>
            <w:pPr>
              <w:spacing w:before="0" w:after="0"/>
            </w:pPr>
            <w:r>
              <w:rPr>
                <w:sz w:val="9"/>
              </w:rPr>
              <w:t>B14-05</w:t>
            </w:r>
          </w:p>
        </w:tc>
        <w:tc>
          <w:tcPr>
            <w:tcW w:type="dxa" w:w="7985"/>
          </w:tcPr>
          <w:p>
            <w:pPr>
              <w:spacing w:before="0" w:after="0"/>
            </w:pPr>
            <w:r>
              <w:rPr>
                <w:sz w:val="9"/>
              </w:rPr>
              <w:t>The preserved SYS-01-BTN-NAV-OPEN Gate conflict remains fail-closed.</w:t>
            </w:r>
          </w:p>
        </w:tc>
      </w:tr>
    </w:tbl>
    <w:p>
      <w: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sectPr w:rsidR="00FC693F" w:rsidRPr="0006063C" w:rsidSect="00034616">
      <w:pgSz w:w="16834" w:h="11909" w:orient="landscape"/>
      <w:pgMar w:top="490" w:right="432" w:bottom="49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