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Business Content Completeness Gate / 業務內容完整性 Gate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完成判定不得只看 Section、Control、Action、API 或空的 Registry/Library 容器。任何頁面只要宣稱管理 Canonical Catalog / Criteria / Dimension / Checklist / Profile / Preset / Stage Definition，就必須存在可施工的具體項目與顯示規則；否則 status = CONTENT_INCOMPLETE。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44"/>
        <w:gridCol w:w="4944"/>
        <w:gridCol w:w="4944"/>
      </w:tblGrid>
      <w:tr>
        <w:trPr>
          <w:tblHeader w:val="true"/>
        </w:trPr>
        <w:tc>
          <w:tcPr>
            <w:tcW w:type="dxa" w:w="4944"/>
            <w:shd w:fill="EDE9FE"/>
          </w:tcPr>
          <w:p>
            <w:r>
              <w:rPr>
                <w:sz w:val="12"/>
              </w:rPr>
              <w:t>Class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Completion Rule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Examples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STATIC_CANONICAL_CATALOG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必須列出實際 UID/名稱/語意/適用範圍/必要參數或權重；空 Dimension Library 不得 PASS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Criteria、Score Dimension、Asset Type、Stage Definition、Role/Permission fixed group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DYNAMIC_RUNTIME_RECORD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不得在文件 seed 假資料；完整度以 Schema/Owner/Operation/Empty-State/Render Contract 判定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Account、Project、Finance amount、Provider profile、Knowledge source、Strategy fact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HYBRID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固定 Catalog 必須列明；實際 Instance 由 Runtime 投影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 catalog + runtime CriteriaVersion、Provider capability types + real provider profiles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Abstract container ≠ content. Registry/Library/Table header without canonical rows is incomplete when the product requires a baseline catalog.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Page UI MUST render concrete catalog rows, not only JSON blob / count / placeholder.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If Current source lacks the required static catalog after complete source scan, create a clearly marked New Authority rather than pretending existing authority is complete.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business records remain empty until real data exists; do not confuse intentional empty runtime data with missing static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QA/Review/Score pages require actual review dimensions/checks plus their UI rendering contract before completion may be declared.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18-page audit result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Classification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CORE evaluation profile was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ASSET image/audio evaluation dimensions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EXISTING CONTENT OK: 9 concrete dimensions existed; this closure adds governed weights/profile mapping only.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Stage Evaluation used dimension_scores but did not name concrete dimensions.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QA-01 / SG-02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review catalog + page-row rendering contract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WB/DB/INFO/IAM/DEV/SOC/ERP/AIAPI/STR/Admin-STR/KB/SYS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SAME DEFECT FOUND: concrete schema/stages/entities exist; runtime instances are intentionally real-data-only and may be empty.</w:t>
            </w:r>
          </w:p>
        </w:tc>
      </w:tr>
    </w:tbl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Nine-System QA / Criteria Synchronization Closure / 九系統品質治理同步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Global Ownership / 全域所有權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Concern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Canonical Owner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Consumers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Criteria Catalog / Profile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SG-02 Quality Governance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CORE/ASSET/VIDEO/EDIT/QA + any mapped consumer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Only SG-02 governs profile/version lifecycle; consumer systems never fork private criteria copies.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Concrete Review Items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Owning profile in SG-02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/ departmental evaluation surfaces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UI must render concrete rows, not a JSON blob/count.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Scorecard / Finding / Recheck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 review runtime/domain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+ upstream correction owners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Finding must bind exact output/version + criteria version + evidence refs.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Business Content Completeness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Global System Logic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All 18 pages / all 9 systems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Empty static catalog blocks completion declaration.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Production Acceptance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Actual runtime/deployment owner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System Engineer / QA evidence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Word completion never substitutes runtime evidence.</w:t>
            </w:r>
          </w:p>
        </w:tc>
      </w:tr>
    </w:tbl>
    <w:p>
      <w:pPr>
        <w:pStyle w:val="Heading2"/>
      </w:pPr>
      <w:r>
        <w:t>Completion Declaration Gate</w:t>
      </w:r>
    </w:p>
    <w:p>
      <w:r>
        <w:t>任何系統若需要固定 Catalog / Criteria / Dimension / Checklist / Profile / Preset / Stage Definition，只有 Schema、Control、API、空 Table 或空 Library 均不得宣告 complete。完成至少需要：canonical rows + rendering rule + lifecycle/state rule + owner + evidence/validation rule。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[ACPOS-20260921-BATCH-08-AUTHORITY-REMEDIATION-DENOMINATOR-V1::01_ACPOS_Global_Intelligent_Brain_Information_Lifecycle_Mother_Basic_Logic_Design_Normative_Contract_v4.docx]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14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CTRL-WORKSPACE-WB-01-COMPANY-ANNOUNCEMENTS-OPEN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CTRL-WORKSPACE-WB-01-COMPANY-AVERAGE-PROGRESS-OPEN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CTRL-WORKSPACE-WB-01-COMPANY-COMPLETED-PROJECT-COUNT-OPEN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CTRL-WORKSPACE-WB-01-COMPANY-PENDING-ACTION-COUNT-OPEN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CTRL-WORKSPACE-WB-01-COMPANY-PENDING-REVIEW-COUNT-OPEN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CTRL-WORKSPACE-WB-01-COMPANY-PROGRESS-SUMMARY-OPEN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CTRL-WORKSPACE-WB-01-COMPANY-RUNNING-PROJECT-COUNT-OPEN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CTRL-WORKSPACE-WB-01-INDUSTRY-NEWS-OPEN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CTRL-WORKSPACE-WB-01-NOTIFICATIONS-OPEN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CTRL-WORKSPACE-WB-01-PRODUCTION-SUMMARY-OPEN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CTRL-WORKSPACE-WB-01-PROJECT-PROGRESS-OVERVIEW-OPEN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CTRL-WORKSPACE-WB-01-RECENT-COMPLETIONS-OPEN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CTRL-WORKSPACE-WB-01-SYSTEM-STATUS-SUMMARY-OPEN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sectPr w:rsidR="00FC693F" w:rsidRPr="0006063C" w:rsidSect="00034616">
      <w:pgSz w:w="15840" w:h="12240" w:orient="landscape"/>
      <w:pgMar w:top="504" w:right="432" w:bottom="504" w:left="43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