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KnowledgeAcquisitionIntent / Run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蒐集意圖、Job/Attempt、Progress、Normalize、Failure/Retry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父層 / Source</w:t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子層 / Derived Object</w:t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強制關係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Batch 17 · KB Local Tab Applicability Ledger</w:t>
      </w:r>
    </w:p>
    <w:p>
      <w:r>
        <w:rPr>
          <w:b/>
        </w:rPr>
        <w:t xml:space="preserve">[ACPOS-20260921-BATCH-17-REMAINING-DEFINITION-CLOSURE-V1::PAGE::KB-01] </w:t>
      </w:r>
      <w:r>
        <w:t>Action and Gate remain '—' for the exact five local tabs. knowledge.read remains the read access boundary; no execution endpoint or transition gate is synthesized.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