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/ Thread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訊息、Thread、Branch、Context、Decision Link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/ Thread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Shared Conversation Core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t>CURRENT_VIEW_AND_SOURCE_ACTION_GATE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t>ChangePlanner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t>SYS-01-GATE-CR-CREATE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t>SystemEngineer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t>SOURCE_PAGE_GATE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t>SYS-01-GATE-SANDBOX-TEST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System Inspection / Validation Catalog Synchronization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4"/>
        <w:gridCol w:w="2674"/>
        <w:gridCol w:w="2674"/>
        <w:gridCol w:w="2674"/>
      </w:tblGrid>
      <w:tr>
        <w:trPr>
          <w:tblHeader w:val="true"/>
        </w:trPr>
        <w:tc>
          <w:tcPr>
            <w:tcW w:type="dxa" w:w="2674"/>
            <w:shd w:fill="EDE9FE"/>
          </w:tcPr>
          <w:p>
            <w:r>
              <w:rPr>
                <w:sz w:val="11"/>
              </w:rPr>
              <w:t>Validation UID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Enforcement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Recovery evidence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CONTENT_INCOMPLETE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static catalog/profile/checklist/dimension exists only as schema/container or lacks canonical rows.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completion declaration; route to canonical content owner.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Concrete canonical rows + render contract + lifecycle/owner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STALE_QA_EVIDENCE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Artifact/output/version/checksum changed after scorecard/review evidence.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release/delivery/publish; invalidate current QA eligibility.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evaluation/recheck on exact new version.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governed criteria resource cannot traverse required lifecycle/control path.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criteria activation/consumer readiness.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Reachable Configure→Submit Review→Approve/Activate path with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Current physical/control/function denominator differs from embedded/historical count.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formal closure.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physical/registry scan + reconciled denominator.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QUALITY_CONTEXT_UNBOUND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Consumer lacks exact profile/version/policy/scorecard/finding/evidence refs.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governed consumption.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Bind exact quality context before action.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Total score/manual decision attempts to bypass rights/policy/evidence/checksum/provenance hard block.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action regardless of score.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Hard-block owner resolves required check; fresh gate evaluation.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Word/design authority exists but no current runtime/production evidence supports completion claim.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runtime-complete declaration only; design may remain defined.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implementation + validation evidence on current revision.</w:t>
            </w:r>
          </w:p>
        </w:tc>
      </w:tr>
    </w:tbl>
    <w:p>
      <w:pPr>
        <w:pStyle w:val="Heading2"/>
      </w:pPr>
      <w:r>
        <w:t>Inspection Execution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Every validation is REQUIRED or NOT_APPLICABLE per inspected scope; silent omission forbidden.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Freshness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Evidence must bind current branch/revision/exact artifact refs. Historical PASS cannot substitute.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Finding routes to canonical owner; SYS may detect/orchestrate but must not silently take over product ownership.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False-completion guard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Document existence, UI presence, route name, schema presence or previous workflow success alone cannot satisfy runtime/product closure.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Terminal state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PASS only after fresh revalidation; otherwise BLOCKED / IMPLEMENTATION_REQUIRED / REVIEW_REQUIRED as applicable.</w:t>
            </w:r>
          </w:p>
        </w:tc>
      </w:tr>
    </w:tbl>
    <w:p>
      <w:pPr>
        <w:sectPr>
          <w:pgSz w:w="11906" w:h="16838" w:orient="landscape"/>
          <w:pgMar w:top="605" w:right="605" w:bottom="605" w:left="605" w:header="312" w:footer="312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[ACPOS-20260921-BATCH-16-OPERATION-OWNER-CONTRACT-CLOSURE-V1::PAGE::SYS-01]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RESOLVE_FROM_CURRENT_CONVERSATION_CORE_DURING_LOGIC_PHASE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ChangePlanner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/v1/system/changes/{SYSTEM_CHANGE_ID}/requests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17 · SYS Gate Binding Ledger</w:t>
      </w:r>
    </w:p>
    <w:p>
      <w:r>
        <w:rPr>
          <w:b/>
        </w:rPr>
        <w:t xml:space="preserve">[ACPOS-20260921-BATCH-17-REMAINING-DEFINITION-CLOSURE-V1::PAGE::SYS-01] </w:t>
      </w:r>
      <w:r>
        <w:t>Three existing Gate cells are now bound from System 09 Canonical Owner. The NAV-OPEN historical conflict is resolved to SOURCE_PAGE_GATE; the two effectful Gate identities are newly defined by the canonical owner without changing existing Action, Permission, Operation, Method/Path or Runtime Owner.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core.change.create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ops.read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Projection / source page read 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system.test.execute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AIAPI_PROVIDER_COMMAND_RUNTIME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</w:tbl>
    <w:sectPr w:rsidR="00FC693F" w:rsidRPr="0006063C" w:rsidSect="00034616">
      <w:pgSz w:w="11906" w:h="16838" w:orient="landscape"/>
      <w:pgMar w:top="475" w:right="403" w:bottom="475" w:left="403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