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p>
      <w:pPr>
        <w:sectPr>
          <w:pgSz w:w="16834" w:h="11909" w:orient="landscape"/>
          <w:pgMar w:top="288" w:right="346" w:bottom="259" w:left="346" w:header="720" w:footer="720" w:gutter="0"/>
          <w:cols w:space="720"/>
          <w:docGrid w:linePitch="360"/>
        </w:sectPr>
      </w:pPr>
    </w:p>
    <w:p>
      <w:pPr>
        <w:pStyle w:val="Heading1"/>
      </w:pPr>
      <w:r>
        <w:t>Batch 15 · Owner-Specific UI-Local / Read-Source Resolution</w:t>
      </w:r>
    </w:p>
    <w:p>
      <w:r>
        <w:rPr>
          <w:b/>
        </w:rPr>
        <w:t xml:space="preserve">[ACPOS-20260921-BATCH-15-OWNER-SPECIFIC-READ-PROJECTION-CLOSURE-V1] </w:t>
      </w:r>
      <w:r>
        <w:t>Batch 15 resolves all 42 remaining UI_LOCAL_OR_READ_SOURCE gaps by owner-specific rules instead of a global assumption. DB read-model controls close Operation as N/A within their explicit read-model owner boundary. ERP READONLY projection fields close per-field Operation as N/A; Connector and Finance rows also receive exact Runtime Owner bindings derived from their canonical owner boundaries. This is design-contract closure only; it is not Runtime/Production execution evidence.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9"/>
              </w:rPr>
              <w:t>Resolution class</w:t>
            </w:r>
          </w:p>
        </w:tc>
        <w:tc>
          <w:tcPr>
            <w:tcW w:type="dxa" w:w="3701"/>
            <w:shd w:fill="EDE9FE"/>
          </w:tcPr>
          <w:p>
            <w:pPr>
              <w:spacing w:before="0" w:after="0"/>
            </w:pPr>
            <w:r>
              <w:rPr>
                <w:sz w:val="9"/>
              </w:rPr>
              <w:t>Count</w:t>
            </w:r>
          </w:p>
        </w:tc>
        <w:tc>
          <w:tcPr>
            <w:tcW w:type="dxa" w:w="3701"/>
            <w:shd w:fill="EDE9FE"/>
          </w:tcPr>
          <w:p>
            <w:pPr>
              <w:spacing w:before="0" w:after="0"/>
            </w:pPr>
            <w:r>
              <w:rPr>
                <w:sz w:val="9"/>
              </w:rPr>
              <w:t>Result</w:t>
            </w:r>
          </w:p>
        </w:tc>
      </w:tr>
      <w:tr>
        <w:tc>
          <w:tcPr>
            <w:tcW w:type="dxa" w:w="3701"/>
          </w:tcPr>
          <w:p>
            <w:pPr>
              <w:spacing w:before="0" w:after="0"/>
            </w:pPr>
            <w:r>
              <w:rPr>
                <w:sz w:val="9"/>
              </w:rPr>
              <w:t>Pre-batch Definition Binding Gap</w:t>
            </w:r>
          </w:p>
        </w:tc>
        <w:tc>
          <w:tcPr>
            <w:tcW w:type="dxa" w:w="3701"/>
          </w:tcPr>
          <w:p>
            <w:pPr>
              <w:spacing w:before="0" w:after="0"/>
            </w:pPr>
            <w:r>
              <w:rPr>
                <w:sz w:val="9"/>
              </w:rPr>
              <w:t>164</w:t>
            </w:r>
          </w:p>
        </w:tc>
        <w:tc>
          <w:tcPr>
            <w:tcW w:type="dxa" w:w="3701"/>
          </w:tcPr>
          <w:p>
            <w:pPr>
              <w:spacing w:before="0" w:after="0"/>
            </w:pPr>
            <w:r>
              <w:rPr>
                <w:sz w:val="9"/>
              </w:rPr>
              <w:t>Current Batch-14 denominator.</w:t>
            </w:r>
          </w:p>
        </w:tc>
      </w:tr>
      <w:tr>
        <w:tc>
          <w:tcPr>
            <w:tcW w:type="dxa" w:w="3701"/>
          </w:tcPr>
          <w:p>
            <w:pPr>
              <w:spacing w:before="0" w:after="0"/>
            </w:pPr>
            <w:r>
              <w:rPr>
                <w:sz w:val="9"/>
              </w:rPr>
              <w:t>LEGITIMATE_NA_DB_READ_MODEL_OPERATION</w:t>
            </w:r>
          </w:p>
        </w:tc>
        <w:tc>
          <w:tcPr>
            <w:tcW w:type="dxa" w:w="3701"/>
          </w:tcPr>
          <w:p>
            <w:pPr>
              <w:spacing w:before="0" w:after="0"/>
            </w:pPr>
            <w:r>
              <w:rPr>
                <w:sz w:val="9"/>
              </w:rPr>
              <w:t>8</w:t>
            </w:r>
          </w:p>
        </w:tc>
        <w:tc>
          <w:tcPr>
            <w:tcW w:type="dxa" w:w="3701"/>
          </w:tcPr>
          <w:p>
            <w:pPr>
              <w:spacing w:before="0" w:after="0"/>
            </w:pPr>
            <w:r>
              <w:rPr>
                <w:sz w:val="9"/>
              </w:rPr>
              <w:t>Owner-bound local/read-model controls; no registered per-control Operation.</w:t>
            </w:r>
          </w:p>
        </w:tc>
      </w:tr>
      <w:tr>
        <w:tc>
          <w:tcPr>
            <w:tcW w:type="dxa" w:w="3701"/>
          </w:tcPr>
          <w:p>
            <w:pPr>
              <w:spacing w:before="0" w:after="0"/>
            </w:pPr>
            <w:r>
              <w:rPr>
                <w:sz w:val="9"/>
              </w:rPr>
              <w:t>LEGITIMATE_NA_ERP_READ_PROJECTION_FIELD_OPERATION</w:t>
            </w:r>
          </w:p>
        </w:tc>
        <w:tc>
          <w:tcPr>
            <w:tcW w:type="dxa" w:w="3701"/>
          </w:tcPr>
          <w:p>
            <w:pPr>
              <w:spacing w:before="0" w:after="0"/>
            </w:pPr>
            <w:r>
              <w:rPr>
                <w:sz w:val="9"/>
              </w:rPr>
              <w:t>20</w:t>
            </w:r>
          </w:p>
        </w:tc>
        <w:tc>
          <w:tcPr>
            <w:tcW w:type="dxa" w:w="3701"/>
          </w:tcPr>
          <w:p>
            <w:pPr>
              <w:spacing w:before="0" w:after="0"/>
            </w:pPr>
            <w:r>
              <w:rPr>
                <w:sz w:val="9"/>
              </w:rPr>
              <w:t>Field-level presentation/projection nodes; no per-field Operation.</w:t>
            </w:r>
          </w:p>
        </w:tc>
      </w:tr>
      <w:tr>
        <w:tc>
          <w:tcPr>
            <w:tcW w:type="dxa" w:w="3701"/>
          </w:tcPr>
          <w:p>
            <w:pPr>
              <w:spacing w:before="0" w:after="0"/>
            </w:pPr>
            <w:r>
              <w:rPr>
                <w:sz w:val="9"/>
              </w:rPr>
              <w:t>ERP Connector Runtime Owner binding</w:t>
            </w:r>
          </w:p>
        </w:tc>
        <w:tc>
          <w:tcPr>
            <w:tcW w:type="dxa" w:w="3701"/>
          </w:tcPr>
          <w:p>
            <w:pPr>
              <w:spacing w:before="0" w:after="0"/>
            </w:pPr>
            <w:r>
              <w:rPr>
                <w:sz w:val="9"/>
              </w:rPr>
              <w:t>7</w:t>
            </w:r>
          </w:p>
        </w:tc>
        <w:tc>
          <w:tcPr>
            <w:tcW w:type="dxa" w:w="3701"/>
          </w:tcPr>
          <w:p>
            <w:pPr>
              <w:spacing w:before="0" w:after="0"/>
            </w:pPr>
            <w:r>
              <w:rPr>
                <w:sz w:val="9"/>
              </w:rPr>
              <w:t>ERPConnectorService</w:t>
            </w:r>
          </w:p>
        </w:tc>
      </w:tr>
      <w:tr>
        <w:tc>
          <w:tcPr>
            <w:tcW w:type="dxa" w:w="3701"/>
          </w:tcPr>
          <w:p>
            <w:pPr>
              <w:spacing w:before="0" w:after="0"/>
            </w:pPr>
            <w:r>
              <w:rPr>
                <w:sz w:val="9"/>
              </w:rPr>
              <w:t>ERP Finance Runtime Owner binding</w:t>
            </w:r>
          </w:p>
        </w:tc>
        <w:tc>
          <w:tcPr>
            <w:tcW w:type="dxa" w:w="3701"/>
          </w:tcPr>
          <w:p>
            <w:pPr>
              <w:spacing w:before="0" w:after="0"/>
            </w:pPr>
            <w:r>
              <w:rPr>
                <w:sz w:val="9"/>
              </w:rPr>
              <w:t>7</w:t>
            </w:r>
          </w:p>
        </w:tc>
        <w:tc>
          <w:tcPr>
            <w:tcW w:type="dxa" w:w="3701"/>
          </w:tcPr>
          <w:p>
            <w:pPr>
              <w:spacing w:before="0" w:after="0"/>
            </w:pPr>
            <w:r>
              <w:rPr>
                <w:sz w:val="9"/>
              </w:rPr>
              <w:t>FinanceGuardrailService</w:t>
            </w:r>
          </w:p>
        </w:tc>
      </w:tr>
      <w:tr>
        <w:tc>
          <w:tcPr>
            <w:tcW w:type="dxa" w:w="3701"/>
          </w:tcPr>
          <w:p>
            <w:pPr>
              <w:spacing w:before="0" w:after="0"/>
            </w:pPr>
            <w:r>
              <w:rPr>
                <w:sz w:val="9"/>
              </w:rPr>
              <w:t>Total gaps closed</w:t>
            </w:r>
          </w:p>
        </w:tc>
        <w:tc>
          <w:tcPr>
            <w:tcW w:type="dxa" w:w="3701"/>
          </w:tcPr>
          <w:p>
            <w:pPr>
              <w:spacing w:before="0" w:after="0"/>
            </w:pPr>
            <w:r>
              <w:rPr>
                <w:sz w:val="9"/>
              </w:rPr>
              <w:t>42</w:t>
            </w:r>
          </w:p>
        </w:tc>
        <w:tc>
          <w:tcPr>
            <w:tcW w:type="dxa" w:w="3701"/>
          </w:tcPr>
          <w:p>
            <w:pPr>
              <w:spacing w:before="0" w:after="0"/>
            </w:pPr>
            <w:r>
              <w:rPr>
                <w:sz w:val="9"/>
              </w:rPr>
              <w:t>28 explicit N/A + 14 exact Runtime Owner bindings.</w:t>
            </w:r>
          </w:p>
        </w:tc>
      </w:tr>
      <w:tr>
        <w:tc>
          <w:tcPr>
            <w:tcW w:type="dxa" w:w="3701"/>
          </w:tcPr>
          <w:p>
            <w:pPr>
              <w:spacing w:before="0" w:after="0"/>
            </w:pPr>
            <w:r>
              <w:rPr>
                <w:sz w:val="9"/>
              </w:rPr>
              <w:t>Post-batch Definition Binding Gap</w:t>
            </w:r>
          </w:p>
        </w:tc>
        <w:tc>
          <w:tcPr>
            <w:tcW w:type="dxa" w:w="3701"/>
          </w:tcPr>
          <w:p>
            <w:pPr>
              <w:spacing w:before="0" w:after="0"/>
            </w:pPr>
            <w:r>
              <w:rPr>
                <w:sz w:val="9"/>
              </w:rPr>
              <w:t>122</w:t>
            </w:r>
          </w:p>
        </w:tc>
        <w:tc>
          <w:tcPr>
            <w:tcW w:type="dxa" w:w="3701"/>
          </w:tcPr>
          <w:p>
            <w:pPr>
              <w:spacing w:before="0" w:after="0"/>
            </w:pPr>
            <w:r>
              <w:rPr>
                <w:sz w:val="9"/>
              </w:rPr>
              <w:t>121 unique-owner canonical-spec gaps + 1 preserved SYS Gate conflict.</w:t>
            </w:r>
          </w:p>
        </w:tc>
      </w:tr>
      <w:tr>
        <w:tc>
          <w:tcPr>
            <w:tcW w:type="dxa" w:w="3701"/>
          </w:tcPr>
          <w:p>
            <w:pPr>
              <w:spacing w:before="0" w:after="0"/>
            </w:pPr>
            <w:r>
              <w:rPr>
                <w:sz w:val="9"/>
              </w:rPr>
              <w:t>Operation values invented</w:t>
            </w:r>
          </w:p>
        </w:tc>
        <w:tc>
          <w:tcPr>
            <w:tcW w:type="dxa" w:w="3701"/>
          </w:tcPr>
          <w:p>
            <w:pPr>
              <w:spacing w:before="0" w:after="0"/>
            </w:pPr>
            <w:r>
              <w:rPr>
                <w:sz w:val="9"/>
              </w:rPr>
              <w:t>0</w:t>
            </w:r>
          </w:p>
        </w:tc>
        <w:tc>
          <w:tcPr>
            <w:tcW w:type="dxa" w:w="3701"/>
          </w:tcPr>
          <w:p>
            <w:pPr>
              <w:spacing w:before="0" w:after="0"/>
            </w:pPr>
            <w:r>
              <w:rPr>
                <w:sz w:val="9"/>
              </w:rPr>
              <w:t>All 28 target Operation cells remain '—'.</w:t>
            </w:r>
          </w:p>
        </w:tc>
      </w:tr>
      <w:tr>
        <w:tc>
          <w:tcPr>
            <w:tcW w:type="dxa" w:w="3701"/>
          </w:tcPr>
          <w:p>
            <w:pPr>
              <w:spacing w:before="0" w:after="0"/>
            </w:pPr>
            <w:r>
              <w:rPr>
                <w:sz w:val="9"/>
              </w:rPr>
              <w:t>Runtime Owner values written</w:t>
            </w:r>
          </w:p>
        </w:tc>
        <w:tc>
          <w:tcPr>
            <w:tcW w:type="dxa" w:w="3701"/>
          </w:tcPr>
          <w:p>
            <w:pPr>
              <w:spacing w:before="0" w:after="0"/>
            </w:pPr>
            <w:r>
              <w:rPr>
                <w:sz w:val="9"/>
              </w:rPr>
              <w:t>14</w:t>
            </w:r>
          </w:p>
        </w:tc>
        <w:tc>
          <w:tcPr>
            <w:tcW w:type="dxa" w:w="3701"/>
          </w:tcPr>
          <w:p>
            <w:pPr>
              <w:spacing w:before="0" w:after="0"/>
            </w:pPr>
            <w:r>
              <w:rPr>
                <w:sz w:val="9"/>
              </w:rPr>
              <w:t>Only existing canonical owner names are used.</w:t>
            </w:r>
          </w:p>
        </w:tc>
      </w:tr>
    </w:tbl>
    <w:p>
      <w:pPr>
        <w:pStyle w:val="Heading2"/>
      </w:pPr>
      <w:r>
        <w:t>Owner-Specific Evidence Boundary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Owner scope</w:t>
            </w:r>
          </w:p>
        </w:tc>
        <w:tc>
          <w:tcPr>
            <w:tcW w:type="dxa" w:w="3701"/>
            <w:shd w:fill="EDE9FE"/>
          </w:tcPr>
          <w:p>
            <w:pPr>
              <w:spacing w:before="0" w:after="0"/>
            </w:pPr>
            <w:r>
              <w:rPr>
                <w:sz w:val="8"/>
              </w:rPr>
              <w:t>Evidence</w:t>
            </w:r>
          </w:p>
        </w:tc>
        <w:tc>
          <w:tcPr>
            <w:tcW w:type="dxa" w:w="3701"/>
            <w:shd w:fill="EDE9FE"/>
          </w:tcPr>
          <w:p>
            <w:pPr>
              <w:spacing w:before="0" w:after="0"/>
            </w:pPr>
            <w:r>
              <w:rPr>
                <w:sz w:val="8"/>
              </w:rPr>
              <w:t>Accepted consequence</w:t>
            </w:r>
          </w:p>
        </w:tc>
      </w:tr>
      <w:tr>
        <w:tc>
          <w:tcPr>
            <w:tcW w:type="dxa" w:w="3701"/>
          </w:tcPr>
          <w:p>
            <w:pPr>
              <w:spacing w:before="0" w:after="0"/>
            </w:pPr>
            <w:r>
              <w:rPr>
                <w:sz w:val="8"/>
              </w:rPr>
              <w:t>DB-01</w:t>
            </w:r>
          </w:p>
        </w:tc>
        <w:tc>
          <w:tcPr>
            <w:tcW w:type="dxa" w:w="3701"/>
          </w:tcPr>
          <w:p>
            <w:pPr>
              <w:spacing w:before="0" w:after="0"/>
            </w:pPr>
            <w:r>
              <w:rPr>
                <w:sz w:val="8"/>
              </w:rPr>
              <w:t>Eight exact rows already bind Database Read Model / DB-01 and have no Method/Path.</w:t>
            </w:r>
          </w:p>
        </w:tc>
        <w:tc>
          <w:tcPr>
            <w:tcW w:type="dxa" w:w="3701"/>
          </w:tcPr>
          <w:p>
            <w:pPr>
              <w:spacing w:before="0" w:after="0"/>
            </w:pPr>
            <w:r>
              <w:rPr>
                <w:sz w:val="8"/>
              </w:rPr>
              <w:t>Per-control Operation is N/A; no API/operation invented.</w:t>
            </w:r>
          </w:p>
        </w:tc>
      </w:tr>
      <w:tr>
        <w:tc>
          <w:tcPr>
            <w:tcW w:type="dxa" w:w="3701"/>
          </w:tcPr>
          <w:p>
            <w:pPr>
              <w:spacing w:before="0" w:after="0"/>
            </w:pPr>
            <w:r>
              <w:rPr>
                <w:sz w:val="8"/>
              </w:rPr>
              <w:t>ERP Connector</w:t>
            </w:r>
          </w:p>
        </w:tc>
        <w:tc>
          <w:tcPr>
            <w:tcW w:type="dxa" w:w="3701"/>
          </w:tcPr>
          <w:p>
            <w:pPr>
              <w:spacing w:before="0" w:after="0"/>
            </w:pPr>
            <w:r>
              <w:rPr>
                <w:sz w:val="8"/>
              </w:rPr>
              <w:t>All currently bound ERP-01-PERM-CONNECTOR operations are owned by ERPConnectorService.</w:t>
            </w:r>
          </w:p>
        </w:tc>
        <w:tc>
          <w:tcPr>
            <w:tcW w:type="dxa" w:w="3701"/>
          </w:tcPr>
          <w:p>
            <w:pPr>
              <w:spacing w:before="0" w:after="0"/>
            </w:pPr>
            <w:r>
              <w:rPr>
                <w:sz w:val="8"/>
              </w:rPr>
              <w:t>Seven connector READONLY fields bind ERPConnectorService; field-level Operation N/A.</w:t>
            </w:r>
          </w:p>
        </w:tc>
      </w:tr>
      <w:tr>
        <w:tc>
          <w:tcPr>
            <w:tcW w:type="dxa" w:w="3701"/>
          </w:tcPr>
          <w:p>
            <w:pPr>
              <w:spacing w:before="0" w:after="0"/>
            </w:pPr>
            <w:r>
              <w:rPr>
                <w:sz w:val="8"/>
              </w:rPr>
              <w:t>ERP Finance READ</w:t>
            </w:r>
          </w:p>
        </w:tc>
        <w:tc>
          <w:tcPr>
            <w:tcW w:type="dxa" w:w="3701"/>
          </w:tcPr>
          <w:p>
            <w:pPr>
              <w:spacing w:before="0" w:after="0"/>
            </w:pPr>
            <w:r>
              <w:rPr>
                <w:sz w:val="8"/>
              </w:rPr>
              <w:t>All READ_EXACT ERP-01-PERM-FINANCE operations are owned by FinanceGuardrailService.</w:t>
            </w:r>
          </w:p>
        </w:tc>
        <w:tc>
          <w:tcPr>
            <w:tcW w:type="dxa" w:w="3701"/>
          </w:tcPr>
          <w:p>
            <w:pPr>
              <w:spacing w:before="0" w:after="0"/>
            </w:pPr>
            <w:r>
              <w:rPr>
                <w:sz w:val="8"/>
              </w:rPr>
              <w:t>Seven finance READONLY fields bind FinanceGuardrailService; field-level Operation N/A.</w:t>
            </w:r>
          </w:p>
        </w:tc>
      </w:tr>
      <w:tr>
        <w:tc>
          <w:tcPr>
            <w:tcW w:type="dxa" w:w="3701"/>
          </w:tcPr>
          <w:p>
            <w:pPr>
              <w:spacing w:before="0" w:after="0"/>
            </w:pPr>
            <w:r>
              <w:rPr>
                <w:sz w:val="8"/>
              </w:rPr>
              <w:t>ERP Finance Export</w:t>
            </w:r>
          </w:p>
        </w:tc>
        <w:tc>
          <w:tcPr>
            <w:tcW w:type="dxa" w:w="3701"/>
          </w:tcPr>
          <w:p>
            <w:pPr>
              <w:spacing w:before="0" w:after="0"/>
            </w:pPr>
            <w:r>
              <w:rPr>
                <w:sz w:val="8"/>
              </w:rPr>
              <w:t>exportProjection is EFFECTFUL_EXACT and uses a different export owner.</w:t>
            </w:r>
          </w:p>
        </w:tc>
        <w:tc>
          <w:tcPr>
            <w:tcW w:type="dxa" w:w="3701"/>
          </w:tcPr>
          <w:p>
            <w:pPr>
              <w:spacing w:before="0" w:after="0"/>
            </w:pPr>
            <w:r>
              <w:rPr>
                <w:sz w:val="8"/>
              </w:rPr>
              <w:t>Explicitly excluded from READONLY field owner inference.</w:t>
            </w:r>
          </w:p>
        </w:tc>
      </w:tr>
      <w:tr>
        <w:tc>
          <w:tcPr>
            <w:tcW w:type="dxa" w:w="3701"/>
          </w:tcPr>
          <w:p>
            <w:pPr>
              <w:spacing w:before="0" w:after="0"/>
            </w:pPr>
            <w:r>
              <w:rPr>
                <w:sz w:val="8"/>
              </w:rPr>
              <w:t>ERP Sync READ</w:t>
            </w:r>
          </w:p>
        </w:tc>
        <w:tc>
          <w:tcPr>
            <w:tcW w:type="dxa" w:w="3701"/>
          </w:tcPr>
          <w:p>
            <w:pPr>
              <w:spacing w:before="0" w:after="0"/>
            </w:pPr>
            <w:r>
              <w:rPr>
                <w:sz w:val="8"/>
              </w:rPr>
              <w:t>getERPFailure/getERPSyncStatus are READ_EXACT and owned by ERPConnectorService.</w:t>
            </w:r>
          </w:p>
        </w:tc>
        <w:tc>
          <w:tcPr>
            <w:tcW w:type="dxa" w:w="3701"/>
          </w:tcPr>
          <w:p>
            <w:pPr>
              <w:spacing w:before="0" w:after="0"/>
            </w:pPr>
            <w:r>
              <w:rPr>
                <w:sz w:val="8"/>
              </w:rPr>
              <w:t>Existing six field owners retained; field-level Operation N/A.</w:t>
            </w:r>
          </w:p>
        </w:tc>
      </w:tr>
    </w:tbl>
    <w:p>
      <w:pPr>
        <w:pStyle w:val="Heading2"/>
      </w:pPr>
      <w:r>
        <w:t>Batch 15 Fail-Closed Boundary</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9"/>
              </w:rPr>
              <w:t>Rule</w:t>
            </w:r>
          </w:p>
        </w:tc>
        <w:tc>
          <w:tcPr>
            <w:tcW w:type="dxa" w:w="5551"/>
            <w:shd w:fill="EDE9FE"/>
          </w:tcPr>
          <w:p>
            <w:pPr>
              <w:spacing w:before="0" w:after="0"/>
            </w:pPr>
            <w:r>
              <w:rPr>
                <w:sz w:val="9"/>
              </w:rPr>
              <w:t>Requirement</w:t>
            </w:r>
          </w:p>
        </w:tc>
      </w:tr>
      <w:tr>
        <w:tc>
          <w:tcPr>
            <w:tcW w:type="dxa" w:w="5551"/>
          </w:tcPr>
          <w:p>
            <w:pPr>
              <w:spacing w:before="0" w:after="0"/>
            </w:pPr>
            <w:r>
              <w:rPr>
                <w:sz w:val="9"/>
              </w:rPr>
              <w:t>B15-01</w:t>
            </w:r>
          </w:p>
        </w:tc>
        <w:tc>
          <w:tcPr>
            <w:tcW w:type="dxa" w:w="5551"/>
          </w:tcPr>
          <w:p>
            <w:pPr>
              <w:spacing w:before="0" w:after="0"/>
            </w:pPr>
            <w:r>
              <w:rPr>
                <w:sz w:val="9"/>
              </w:rPr>
              <w:t>UI_LOCAL_OR_READ_SOURCE is not globally N/A. Only the exact DB and ERP owner-specific structures defined in this batch are closed.</w:t>
            </w:r>
          </w:p>
        </w:tc>
      </w:tr>
      <w:tr>
        <w:tc>
          <w:tcPr>
            <w:tcW w:type="dxa" w:w="5551"/>
          </w:tcPr>
          <w:p>
            <w:pPr>
              <w:spacing w:before="0" w:after="0"/>
            </w:pPr>
            <w:r>
              <w:rPr>
                <w:sz w:val="9"/>
              </w:rPr>
              <w:t>B15-02</w:t>
            </w:r>
          </w:p>
        </w:tc>
        <w:tc>
          <w:tcPr>
            <w:tcW w:type="dxa" w:w="5551"/>
          </w:tcPr>
          <w:p>
            <w:pPr>
              <w:spacing w:before="0" w:after="0"/>
            </w:pPr>
            <w:r>
              <w:rPr>
                <w:sz w:val="9"/>
              </w:rPr>
              <w:t>ERP field-level Operation N/A does not mean the source has no read operation; it means a READONLY field is not itself an execution endpoint.</w:t>
            </w:r>
          </w:p>
        </w:tc>
      </w:tr>
      <w:tr>
        <w:tc>
          <w:tcPr>
            <w:tcW w:type="dxa" w:w="5551"/>
          </w:tcPr>
          <w:p>
            <w:pPr>
              <w:spacing w:before="0" w:after="0"/>
            </w:pPr>
            <w:r>
              <w:rPr>
                <w:sz w:val="9"/>
              </w:rPr>
              <w:t>B15-03</w:t>
            </w:r>
          </w:p>
        </w:tc>
        <w:tc>
          <w:tcPr>
            <w:tcW w:type="dxa" w:w="5551"/>
          </w:tcPr>
          <w:p>
            <w:pPr>
              <w:spacing w:before="0" w:after="0"/>
            </w:pPr>
            <w:r>
              <w:rPr>
                <w:sz w:val="9"/>
              </w:rPr>
              <w:t>Runtime Owner bindings may use only canonical owner names already established by the matching domain's exact operations.</w:t>
            </w:r>
          </w:p>
        </w:tc>
      </w:tr>
      <w:tr>
        <w:tc>
          <w:tcPr>
            <w:tcW w:type="dxa" w:w="5551"/>
          </w:tcPr>
          <w:p>
            <w:pPr>
              <w:spacing w:before="0" w:after="0"/>
            </w:pPr>
            <w:r>
              <w:rPr>
                <w:sz w:val="9"/>
              </w:rPr>
              <w:t>B15-04</w:t>
            </w:r>
          </w:p>
        </w:tc>
        <w:tc>
          <w:tcPr>
            <w:tcW w:type="dxa" w:w="5551"/>
          </w:tcPr>
          <w:p>
            <w:pPr>
              <w:spacing w:before="0" w:after="0"/>
            </w:pPr>
            <w:r>
              <w:rPr>
                <w:sz w:val="9"/>
              </w:rPr>
              <w:t>No Method/Path, API ID, or Operation is synthesized for DB or ERP field controls.</w:t>
            </w:r>
          </w:p>
        </w:tc>
      </w:tr>
      <w:tr>
        <w:tc>
          <w:tcPr>
            <w:tcW w:type="dxa" w:w="5551"/>
          </w:tcPr>
          <w:p>
            <w:pPr>
              <w:spacing w:before="0" w:after="0"/>
            </w:pPr>
            <w:r>
              <w:rPr>
                <w:sz w:val="9"/>
              </w:rPr>
              <w:t>B15-05</w:t>
            </w:r>
          </w:p>
        </w:tc>
        <w:tc>
          <w:tcPr>
            <w:tcW w:type="dxa" w:w="5551"/>
          </w:tcPr>
          <w:p>
            <w:pPr>
              <w:spacing w:before="0" w:after="0"/>
            </w:pPr>
            <w:r>
              <w:rPr>
                <w:sz w:val="9"/>
              </w:rPr>
              <w:t>The preserved SYS-01-BTN-NAV-OPEN Gate conflict remains fail-closed.</w:t>
            </w:r>
          </w:p>
        </w:tc>
      </w:tr>
    </w:tbl>
    <w:p>
      <w:r>
        <w:t>BATCH15_MACHINE_JSON={"db_operation_na":8,"erp_connector_runtime_owner_bound":7,"erp_finance_runtime_owner_bound":7,"erp_operation_na":20,"gaps_closed":42,"marker":"ACPOS-20260921-BATCH-15-OWNER-SPECIFIC-READ-PROJECTION-CLOSURE-V1","operation_values_invented":0,"post_definition_gaps":122,"pre_definition_gaps":164,"preserved_sys_gate_conflict":1,"remaining_unique_owner_remediation":121,"runtime_execution_claimed":false,"runtime_owner_values_written":14}</w:t>
      </w:r>
    </w:p>
    <w:p>
      <w:pPr>
        <w:sectPr>
          <w:pgSz w:w="11909" w:h="16834" w:orient="landscape"/>
          <w:pgMar w:top="475" w:right="403" w:bottom="475" w:left="403" w:header="720" w:footer="720" w:gutter="0"/>
          <w:cols w:space="720"/>
          <w:docGrid w:linePitch="360"/>
        </w:sectPr>
      </w:pPr>
    </w:p>
    <w:p>
      <w:pPr>
        <w:pStyle w:val="Heading1"/>
      </w:pPr>
      <w:r>
        <w:t>Batch 16 · Canonical Operation / Runtime Owner Contract Closure</w:t>
      </w:r>
    </w:p>
    <w:p>
      <w:r>
        <w:rPr>
          <w:b/>
        </w:rPr>
        <w:t xml:space="preserve">[ACPOS-20260921-BATCH-16-OPERATION-OWNER-CONTRACT-CLOSURE-V1] </w:t>
      </w:r>
      <w:r>
        <w:t>Batch 16 closes the 102 remaining Operation/Runtime Owner definition gaps after Batch 15. The closure is split by Current runtime semantics: 81 EFFECTFUL_EXACT fields and 21 READ_EXACT fields. Each value is materialized through its already-resolved Canonical Owner. No public Method/Path is synthesized. This is Word authority closure only, not implementation or Production execution evidence.</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Class</w:t>
            </w:r>
          </w:p>
        </w:tc>
        <w:tc>
          <w:tcPr>
            <w:tcW w:type="dxa" w:w="5343"/>
            <w:shd w:fill="EDE9FE"/>
          </w:tcPr>
          <w:p>
            <w:pPr>
              <w:spacing w:before="0" w:after="0"/>
            </w:pPr>
            <w:r>
              <w:rPr>
                <w:sz w:val="8"/>
              </w:rPr>
              <w:t>Count</w:t>
            </w:r>
          </w:p>
        </w:tc>
        <w:tc>
          <w:tcPr>
            <w:tcW w:type="dxa" w:w="5343"/>
            <w:shd w:fill="EDE9FE"/>
          </w:tcPr>
          <w:p>
            <w:pPr>
              <w:spacing w:before="0" w:after="0"/>
            </w:pPr>
            <w:r>
              <w:rPr>
                <w:sz w:val="8"/>
              </w:rPr>
              <w:t>Result</w:t>
            </w:r>
          </w:p>
        </w:tc>
      </w:tr>
      <w:tr>
        <w:tc>
          <w:tcPr>
            <w:tcW w:type="dxa" w:w="5343"/>
          </w:tcPr>
          <w:p>
            <w:pPr>
              <w:spacing w:before="0" w:after="0"/>
            </w:pPr>
            <w:r>
              <w:rPr>
                <w:sz w:val="8"/>
              </w:rPr>
              <w:t>Pre-batch Definition Binding Gap</w:t>
            </w:r>
          </w:p>
        </w:tc>
        <w:tc>
          <w:tcPr>
            <w:tcW w:type="dxa" w:w="5343"/>
          </w:tcPr>
          <w:p>
            <w:pPr>
              <w:spacing w:before="0" w:after="0"/>
            </w:pPr>
            <w:r>
              <w:rPr>
                <w:sz w:val="8"/>
              </w:rPr>
              <w:t>122</w:t>
            </w:r>
          </w:p>
        </w:tc>
        <w:tc>
          <w:tcPr>
            <w:tcW w:type="dxa" w:w="5343"/>
          </w:tcPr>
          <w:p>
            <w:pPr>
              <w:spacing w:before="0" w:after="0"/>
            </w:pPr>
            <w:r>
              <w:rPr>
                <w:sz w:val="8"/>
              </w:rPr>
              <w:t>Batch 15 exact denominator</w:t>
            </w:r>
          </w:p>
        </w:tc>
      </w:tr>
      <w:tr>
        <w:tc>
          <w:tcPr>
            <w:tcW w:type="dxa" w:w="5343"/>
          </w:tcPr>
          <w:p>
            <w:pPr>
              <w:spacing w:before="0" w:after="0"/>
            </w:pPr>
            <w:r>
              <w:rPr>
                <w:sz w:val="8"/>
              </w:rPr>
              <w:t>EFFECTFUL_EXACT Operation/Owner fields</w:t>
            </w:r>
          </w:p>
        </w:tc>
        <w:tc>
          <w:tcPr>
            <w:tcW w:type="dxa" w:w="5343"/>
          </w:tcPr>
          <w:p>
            <w:pPr>
              <w:spacing w:before="0" w:after="0"/>
            </w:pPr>
            <w:r>
              <w:rPr>
                <w:sz w:val="8"/>
              </w:rPr>
              <w:t>81</w:t>
            </w:r>
          </w:p>
        </w:tc>
        <w:tc>
          <w:tcPr>
            <w:tcW w:type="dxa" w:w="5343"/>
          </w:tcPr>
          <w:p>
            <w:pPr>
              <w:spacing w:before="0" w:after="0"/>
            </w:pPr>
            <w:r>
              <w:rPr>
                <w:sz w:val="8"/>
              </w:rPr>
              <w:t>Closed through Canonical Owner contracts</w:t>
            </w:r>
          </w:p>
        </w:tc>
      </w:tr>
      <w:tr>
        <w:tc>
          <w:tcPr>
            <w:tcW w:type="dxa" w:w="5343"/>
          </w:tcPr>
          <w:p>
            <w:pPr>
              <w:spacing w:before="0" w:after="0"/>
            </w:pPr>
            <w:r>
              <w:rPr>
                <w:sz w:val="8"/>
              </w:rPr>
              <w:t>READ_EXACT Operation/Owner fields</w:t>
            </w:r>
          </w:p>
        </w:tc>
        <w:tc>
          <w:tcPr>
            <w:tcW w:type="dxa" w:w="5343"/>
          </w:tcPr>
          <w:p>
            <w:pPr>
              <w:spacing w:before="0" w:after="0"/>
            </w:pPr>
            <w:r>
              <w:rPr>
                <w:sz w:val="8"/>
              </w:rPr>
              <w:t>21</w:t>
            </w:r>
          </w:p>
        </w:tc>
        <w:tc>
          <w:tcPr>
            <w:tcW w:type="dxa" w:w="5343"/>
          </w:tcPr>
          <w:p>
            <w:pPr>
              <w:spacing w:before="0" w:after="0"/>
            </w:pPr>
            <w:r>
              <w:rPr>
                <w:sz w:val="8"/>
              </w:rPr>
              <w:t>Closed through Canonical Owner contracts</w:t>
            </w:r>
          </w:p>
        </w:tc>
      </w:tr>
      <w:tr>
        <w:tc>
          <w:tcPr>
            <w:tcW w:type="dxa" w:w="5343"/>
          </w:tcPr>
          <w:p>
            <w:pPr>
              <w:spacing w:before="0" w:after="0"/>
            </w:pPr>
            <w:r>
              <w:rPr>
                <w:sz w:val="8"/>
              </w:rPr>
              <w:t>Operation fields closed</w:t>
            </w:r>
          </w:p>
        </w:tc>
        <w:tc>
          <w:tcPr>
            <w:tcW w:type="dxa" w:w="5343"/>
          </w:tcPr>
          <w:p>
            <w:pPr>
              <w:spacing w:before="0" w:after="0"/>
            </w:pPr>
            <w:r>
              <w:rPr>
                <w:sz w:val="8"/>
              </w:rPr>
              <w:t>65</w:t>
            </w:r>
          </w:p>
        </w:tc>
        <w:tc>
          <w:tcPr>
            <w:tcW w:type="dxa" w:w="5343"/>
          </w:tcPr>
          <w:p>
            <w:pPr>
              <w:spacing w:before="0" w:after="0"/>
            </w:pPr>
            <w:r>
              <w:rPr>
                <w:sz w:val="8"/>
              </w:rPr>
              <w:t>Formal Operation identities materialized</w:t>
            </w:r>
          </w:p>
        </w:tc>
      </w:tr>
      <w:tr>
        <w:tc>
          <w:tcPr>
            <w:tcW w:type="dxa" w:w="5343"/>
          </w:tcPr>
          <w:p>
            <w:pPr>
              <w:spacing w:before="0" w:after="0"/>
            </w:pPr>
            <w:r>
              <w:rPr>
                <w:sz w:val="8"/>
              </w:rPr>
              <w:t>Runtime Owner fields closed</w:t>
            </w:r>
          </w:p>
        </w:tc>
        <w:tc>
          <w:tcPr>
            <w:tcW w:type="dxa" w:w="5343"/>
          </w:tcPr>
          <w:p>
            <w:pPr>
              <w:spacing w:before="0" w:after="0"/>
            </w:pPr>
            <w:r>
              <w:rPr>
                <w:sz w:val="8"/>
              </w:rPr>
              <w:t>37</w:t>
            </w:r>
          </w:p>
        </w:tc>
        <w:tc>
          <w:tcPr>
            <w:tcW w:type="dxa" w:w="5343"/>
          </w:tcPr>
          <w:p>
            <w:pPr>
              <w:spacing w:before="0" w:after="0"/>
            </w:pPr>
            <w:r>
              <w:rPr>
                <w:sz w:val="8"/>
              </w:rPr>
              <w:t>Existing owner boundary names materialized</w:t>
            </w:r>
          </w:p>
        </w:tc>
      </w:tr>
      <w:tr>
        <w:tc>
          <w:tcPr>
            <w:tcW w:type="dxa" w:w="5343"/>
          </w:tcPr>
          <w:p>
            <w:pPr>
              <w:spacing w:before="0" w:after="0"/>
            </w:pPr>
            <w:r>
              <w:rPr>
                <w:sz w:val="8"/>
              </w:rPr>
              <w:t>Public Method/Path invented</w:t>
            </w:r>
          </w:p>
        </w:tc>
        <w:tc>
          <w:tcPr>
            <w:tcW w:type="dxa" w:w="5343"/>
          </w:tcPr>
          <w:p>
            <w:pPr>
              <w:spacing w:before="0" w:after="0"/>
            </w:pPr>
            <w:r>
              <w:rPr>
                <w:sz w:val="8"/>
              </w:rPr>
              <w:t>0</w:t>
            </w:r>
          </w:p>
        </w:tc>
        <w:tc>
          <w:tcPr>
            <w:tcW w:type="dxa" w:w="5343"/>
          </w:tcPr>
          <w:p>
            <w:pPr>
              <w:spacing w:before="0" w:after="0"/>
            </w:pPr>
            <w:r>
              <w:rPr>
                <w:sz w:val="8"/>
              </w:rPr>
              <w:t>None; missing transports remain implementation-required</w:t>
            </w:r>
          </w:p>
        </w:tc>
      </w:tr>
      <w:tr>
        <w:tc>
          <w:tcPr>
            <w:tcW w:type="dxa" w:w="5343"/>
          </w:tcPr>
          <w:p>
            <w:pPr>
              <w:spacing w:before="0" w:after="0"/>
            </w:pPr>
            <w:r>
              <w:rPr>
                <w:sz w:val="8"/>
              </w:rPr>
              <w:t>Post-batch Definition Binding Gap</w:t>
            </w:r>
          </w:p>
        </w:tc>
        <w:tc>
          <w:tcPr>
            <w:tcW w:type="dxa" w:w="5343"/>
          </w:tcPr>
          <w:p>
            <w:pPr>
              <w:spacing w:before="0" w:after="0"/>
            </w:pPr>
            <w:r>
              <w:rPr>
                <w:sz w:val="8"/>
              </w:rPr>
              <w:t>20</w:t>
            </w:r>
          </w:p>
        </w:tc>
        <w:tc>
          <w:tcPr>
            <w:tcW w:type="dxa" w:w="5343"/>
          </w:tcPr>
          <w:p>
            <w:pPr>
              <w:spacing w:before="0" w:after="0"/>
            </w:pPr>
            <w:r>
              <w:rPr>
                <w:sz w:val="8"/>
              </w:rPr>
              <w:t>Action 7 + Gate 8 + Permission 5</w:t>
            </w:r>
          </w:p>
        </w:tc>
      </w:tr>
      <w:tr>
        <w:tc>
          <w:tcPr>
            <w:tcW w:type="dxa" w:w="5343"/>
          </w:tcPr>
          <w:p>
            <w:pPr>
              <w:spacing w:before="0" w:after="0"/>
            </w:pPr>
            <w:r>
              <w:rPr>
                <w:sz w:val="8"/>
              </w:rPr>
              <w:t>Preserved SYS Gate conflict</w:t>
            </w:r>
          </w:p>
        </w:tc>
        <w:tc>
          <w:tcPr>
            <w:tcW w:type="dxa" w:w="5343"/>
          </w:tcPr>
          <w:p>
            <w:pPr>
              <w:spacing w:before="0" w:after="0"/>
            </w:pPr>
            <w:r>
              <w:rPr>
                <w:sz w:val="8"/>
              </w:rPr>
              <w:t>1</w:t>
            </w:r>
          </w:p>
        </w:tc>
        <w:tc>
          <w:tcPr>
            <w:tcW w:type="dxa" w:w="5343"/>
          </w:tcPr>
          <w:p>
            <w:pPr>
              <w:spacing w:before="0" w:after="0"/>
            </w:pPr>
            <w:r>
              <w:rPr>
                <w:sz w:val="8"/>
              </w:rPr>
              <w:t>SYS-01-BTN-NAV-OPEN remains fail-closed inside Gate denominator</w:t>
            </w:r>
          </w:p>
        </w:tc>
      </w:tr>
    </w:tbl>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before="0" w:after="0"/>
            </w:pPr>
            <w:r>
              <w:rPr>
                <w:sz w:val="9"/>
              </w:rPr>
              <w:t>Canonical Owner</w:t>
            </w:r>
          </w:p>
        </w:tc>
        <w:tc>
          <w:tcPr>
            <w:tcW w:type="dxa" w:w="8014"/>
            <w:shd w:fill="EDE9FE"/>
          </w:tcPr>
          <w:p>
            <w:pPr>
              <w:spacing w:before="0" w:after="0"/>
            </w:pPr>
            <w:r>
              <w:rPr>
                <w:sz w:val="9"/>
              </w:rPr>
              <w:t>Field closures</w:t>
            </w:r>
          </w:p>
        </w:tc>
      </w:tr>
      <w:tr>
        <w:tc>
          <w:tcPr>
            <w:tcW w:type="dxa" w:w="8014"/>
          </w:tcPr>
          <w:p>
            <w:pPr>
              <w:spacing w:before="0" w:after="0"/>
            </w:pPr>
            <w:r>
              <w:rPr>
                <w:sz w:val="9"/>
              </w:rPr>
              <w:t>System 02 / Shared Conversation Core</w:t>
            </w:r>
          </w:p>
        </w:tc>
        <w:tc>
          <w:tcPr>
            <w:tcW w:type="dxa" w:w="8014"/>
          </w:tcPr>
          <w:p>
            <w:pPr>
              <w:spacing w:before="0" w:after="0"/>
            </w:pPr>
            <w:r>
              <w:rPr>
                <w:sz w:val="9"/>
              </w:rPr>
              <w:t>10</w:t>
            </w:r>
          </w:p>
        </w:tc>
      </w:tr>
      <w:tr>
        <w:tc>
          <w:tcPr>
            <w:tcW w:type="dxa" w:w="8014"/>
          </w:tcPr>
          <w:p>
            <w:pPr>
              <w:spacing w:before="0" w:after="0"/>
            </w:pPr>
            <w:r>
              <w:rPr>
                <w:sz w:val="9"/>
              </w:rPr>
              <w:t>System 04 / CORE Blueprint</w:t>
            </w:r>
          </w:p>
        </w:tc>
        <w:tc>
          <w:tcPr>
            <w:tcW w:type="dxa" w:w="8014"/>
          </w:tcPr>
          <w:p>
            <w:pPr>
              <w:spacing w:before="0" w:after="0"/>
            </w:pPr>
            <w:r>
              <w:rPr>
                <w:sz w:val="9"/>
              </w:rPr>
              <w:t>19</w:t>
            </w:r>
          </w:p>
        </w:tc>
      </w:tr>
      <w:tr>
        <w:tc>
          <w:tcPr>
            <w:tcW w:type="dxa" w:w="8014"/>
          </w:tcPr>
          <w:p>
            <w:pPr>
              <w:spacing w:before="0" w:after="0"/>
            </w:pPr>
            <w:r>
              <w:rPr>
                <w:sz w:val="9"/>
              </w:rPr>
              <w:t>System 05 / Creative Production</w:t>
            </w:r>
          </w:p>
        </w:tc>
        <w:tc>
          <w:tcPr>
            <w:tcW w:type="dxa" w:w="8014"/>
          </w:tcPr>
          <w:p>
            <w:pPr>
              <w:spacing w:before="0" w:after="0"/>
            </w:pPr>
            <w:r>
              <w:rPr>
                <w:sz w:val="9"/>
              </w:rPr>
              <w:t>62</w:t>
            </w:r>
          </w:p>
        </w:tc>
      </w:tr>
      <w:tr>
        <w:tc>
          <w:tcPr>
            <w:tcW w:type="dxa" w:w="8014"/>
          </w:tcPr>
          <w:p>
            <w:pPr>
              <w:spacing w:before="0" w:after="0"/>
            </w:pPr>
            <w:r>
              <w:rPr>
                <w:sz w:val="9"/>
              </w:rPr>
              <w:t>System 06 / Enterprise Business</w:t>
            </w:r>
          </w:p>
        </w:tc>
        <w:tc>
          <w:tcPr>
            <w:tcW w:type="dxa" w:w="8014"/>
          </w:tcPr>
          <w:p>
            <w:pPr>
              <w:spacing w:before="0" w:after="0"/>
            </w:pPr>
            <w:r>
              <w:rPr>
                <w:sz w:val="9"/>
              </w:rPr>
              <w:t>9</w:t>
            </w:r>
          </w:p>
        </w:tc>
      </w:tr>
      <w:tr>
        <w:tc>
          <w:tcPr>
            <w:tcW w:type="dxa" w:w="8014"/>
          </w:tcPr>
          <w:p>
            <w:pPr>
              <w:spacing w:before="0" w:after="0"/>
            </w:pPr>
            <w:r>
              <w:rPr>
                <w:sz w:val="9"/>
              </w:rPr>
              <w:t>System 09 / System Engineer</w:t>
            </w:r>
          </w:p>
        </w:tc>
        <w:tc>
          <w:tcPr>
            <w:tcW w:type="dxa" w:w="8014"/>
          </w:tcPr>
          <w:p>
            <w:pPr>
              <w:spacing w:before="0" w:after="0"/>
            </w:pPr>
            <w:r>
              <w:rPr>
                <w:sz w:val="9"/>
              </w:rPr>
              <w:t>2</w:t>
            </w:r>
          </w:p>
        </w:tc>
      </w:tr>
    </w:tbl>
    <w:p>
      <w:r>
        <w:t>BATCH16_MACHINE_JSON={"base_head":"dc72b52f0e147cc934ad3aaf87120ae44f2d3018","effectful_fields_closed":81,"gaps_closed":102,"marker":"ACPOS-20260921-BATCH-16-OPERATION-OWNER-CONTRACT-CLOSURE-V1","operation_fields_closed":65,"post_definition_gaps":20,"pre_definition_gaps":122,"preserved_sys_gate_conflict":1,"public_routes_invented":0,"read_fields_closed":21,"remaining_action":7,"remaining_gate_including_conflict":8,"remaining_permission":5,"runtime_execution_claimed":false,"runtime_owner_fields_closed":37,"unique_controls_touched":77}</w:t>
      </w:r>
    </w:p>
    <w:p>
      <w:pPr>
        <w:sectPr>
          <w:pgSz w:w="16834" w:h="11909" w:orient="landscape"/>
          <w:pgMar w:top="475" w:right="403" w:bottom="475" w:left="403" w:header="720" w:footer="720" w:gutter="0"/>
          <w:cols w:space="720"/>
          <w:docGrid w:linePitch="360"/>
        </w:sectPr>
      </w:pPr>
    </w:p>
    <w:p>
      <w:pPr>
        <w:pStyle w:val="Heading1"/>
      </w:pPr>
      <w:r>
        <w:t>Batch 17 · Final Definition Binding Closure</w:t>
      </w:r>
    </w:p>
    <w:p>
      <w:r>
        <w:rPr>
          <w:b/>
        </w:rPr>
        <w:t xml:space="preserve">[ACPOS-20260921-BATCH-17-REMAINING-DEFINITION-CLOSURE-V1] </w:t>
      </w:r>
      <w:r>
        <w:t>Batch 17 resolves the final 20 Definition Binding gaps after Batch 16. Seventeen fields are closed by exact Canonical Owner non-applicability semantics rather than invented identifiers. Three SYS Gate fields are bound by System 09: two new canonical Gate definitions and one historical conflict resolution. No Operation, Runtime Owner, Method/Path, API route or permission resource is fabricated.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Closure Class</w:t>
            </w:r>
          </w:p>
        </w:tc>
        <w:tc>
          <w:tcPr>
            <w:tcW w:type="dxa" w:w="3701"/>
            <w:shd w:fill="EDE9FE"/>
          </w:tcPr>
          <w:p>
            <w:pPr>
              <w:spacing w:before="0" w:after="0"/>
            </w:pPr>
            <w:r>
              <w:rPr>
                <w:sz w:val="8"/>
              </w:rPr>
              <w:t>Count</w:t>
            </w:r>
          </w:p>
        </w:tc>
        <w:tc>
          <w:tcPr>
            <w:tcW w:type="dxa" w:w="3701"/>
            <w:shd w:fill="EDE9FE"/>
          </w:tcPr>
          <w:p>
            <w:pPr>
              <w:spacing w:before="0" w:after="0"/>
            </w:pPr>
            <w:r>
              <w:rPr>
                <w:sz w:val="8"/>
              </w:rPr>
              <w:t>Result</w:t>
            </w:r>
          </w:p>
        </w:tc>
      </w:tr>
      <w:tr>
        <w:tc>
          <w:tcPr>
            <w:tcW w:type="dxa" w:w="3701"/>
          </w:tcPr>
          <w:p>
            <w:pPr>
              <w:spacing w:before="0" w:after="0"/>
            </w:pPr>
            <w:r>
              <w:rPr>
                <w:sz w:val="8"/>
              </w:rPr>
              <w:t>Pre-batch Definition Binding Gap</w:t>
            </w:r>
          </w:p>
        </w:tc>
        <w:tc>
          <w:tcPr>
            <w:tcW w:type="dxa" w:w="3701"/>
          </w:tcPr>
          <w:p>
            <w:pPr>
              <w:spacing w:before="0" w:after="0"/>
            </w:pPr>
            <w:r>
              <w:rPr>
                <w:sz w:val="8"/>
              </w:rPr>
              <w:t>20</w:t>
            </w:r>
          </w:p>
        </w:tc>
        <w:tc>
          <w:tcPr>
            <w:tcW w:type="dxa" w:w="3701"/>
          </w:tcPr>
          <w:p>
            <w:pPr>
              <w:spacing w:before="0" w:after="0"/>
            </w:pPr>
            <w:r>
              <w:rPr>
                <w:sz w:val="8"/>
              </w:rPr>
              <w:t>Action 7 + Gate 8 + Permission 5</w:t>
            </w:r>
          </w:p>
        </w:tc>
      </w:tr>
      <w:tr>
        <w:tc>
          <w:tcPr>
            <w:tcW w:type="dxa" w:w="3701"/>
          </w:tcPr>
          <w:p>
            <w:pPr>
              <w:spacing w:before="0" w:after="0"/>
            </w:pPr>
            <w:r>
              <w:rPr>
                <w:sz w:val="8"/>
              </w:rPr>
              <w:t>DEV local stage Permission N/A</w:t>
            </w:r>
          </w:p>
        </w:tc>
        <w:tc>
          <w:tcPr>
            <w:tcW w:type="dxa" w:w="3701"/>
          </w:tcPr>
          <w:p>
            <w:pPr>
              <w:spacing w:before="0" w:after="0"/>
            </w:pPr>
            <w:r>
              <w:rPr>
                <w:sz w:val="8"/>
              </w:rPr>
              <w:t>5</w:t>
            </w:r>
          </w:p>
        </w:tc>
        <w:tc>
          <w:tcPr>
            <w:tcW w:type="dxa" w:w="3701"/>
          </w:tcPr>
          <w:p>
            <w:pPr>
              <w:spacing w:before="0" w:after="0"/>
            </w:pPr>
            <w:r>
              <w:rPr>
                <w:sz w:val="8"/>
              </w:rPr>
              <w:t>Exact five UI_LOCAL_EXACT segment selectors; cells remain '—'.</w:t>
            </w:r>
          </w:p>
        </w:tc>
      </w:tr>
      <w:tr>
        <w:tc>
          <w:tcPr>
            <w:tcW w:type="dxa" w:w="3701"/>
          </w:tcPr>
          <w:p>
            <w:pPr>
              <w:spacing w:before="0" w:after="0"/>
            </w:pPr>
            <w:r>
              <w:rPr>
                <w:sz w:val="8"/>
              </w:rPr>
              <w:t>EDIT read preview Action N/A</w:t>
            </w:r>
          </w:p>
        </w:tc>
        <w:tc>
          <w:tcPr>
            <w:tcW w:type="dxa" w:w="3701"/>
          </w:tcPr>
          <w:p>
            <w:pPr>
              <w:spacing w:before="0" w:after="0"/>
            </w:pPr>
            <w:r>
              <w:rPr>
                <w:sz w:val="8"/>
              </w:rPr>
              <w:t>2</w:t>
            </w:r>
          </w:p>
        </w:tc>
        <w:tc>
          <w:tcPr>
            <w:tcW w:type="dxa" w:w="3701"/>
          </w:tcPr>
          <w:p>
            <w:pPr>
              <w:spacing w:before="0" w:after="0"/>
            </w:pPr>
            <w:r>
              <w:rPr>
                <w:sz w:val="8"/>
              </w:rPr>
              <w:t>Exact two READ_EXACT preview panels; cells remain '—'.</w:t>
            </w:r>
          </w:p>
        </w:tc>
      </w:tr>
      <w:tr>
        <w:tc>
          <w:tcPr>
            <w:tcW w:type="dxa" w:w="3701"/>
          </w:tcPr>
          <w:p>
            <w:pPr>
              <w:spacing w:before="0" w:after="0"/>
            </w:pPr>
            <w:r>
              <w:rPr>
                <w:sz w:val="8"/>
              </w:rPr>
              <w:t>KB local tab Action/Gate N/A</w:t>
            </w:r>
          </w:p>
        </w:tc>
        <w:tc>
          <w:tcPr>
            <w:tcW w:type="dxa" w:w="3701"/>
          </w:tcPr>
          <w:p>
            <w:pPr>
              <w:spacing w:before="0" w:after="0"/>
            </w:pPr>
            <w:r>
              <w:rPr>
                <w:sz w:val="8"/>
              </w:rPr>
              <w:t>10</w:t>
            </w:r>
          </w:p>
        </w:tc>
        <w:tc>
          <w:tcPr>
            <w:tcW w:type="dxa" w:w="3701"/>
          </w:tcPr>
          <w:p>
            <w:pPr>
              <w:spacing w:before="0" w:after="0"/>
            </w:pPr>
            <w:r>
              <w:rPr>
                <w:sz w:val="8"/>
              </w:rPr>
              <w:t>Exact five UI_LOCAL_EXACT TAB controls × Action/Gate; cells remain '—'.</w:t>
            </w:r>
          </w:p>
        </w:tc>
      </w:tr>
      <w:tr>
        <w:tc>
          <w:tcPr>
            <w:tcW w:type="dxa" w:w="3701"/>
          </w:tcPr>
          <w:p>
            <w:pPr>
              <w:spacing w:before="0" w:after="0"/>
            </w:pPr>
            <w:r>
              <w:rPr>
                <w:sz w:val="8"/>
              </w:rPr>
              <w:t>SYS canonical Gate bindings</w:t>
            </w:r>
          </w:p>
        </w:tc>
        <w:tc>
          <w:tcPr>
            <w:tcW w:type="dxa" w:w="3701"/>
          </w:tcPr>
          <w:p>
            <w:pPr>
              <w:spacing w:before="0" w:after="0"/>
            </w:pPr>
            <w:r>
              <w:rPr>
                <w:sz w:val="8"/>
              </w:rPr>
              <w:t>3</w:t>
            </w:r>
          </w:p>
        </w:tc>
        <w:tc>
          <w:tcPr>
            <w:tcW w:type="dxa" w:w="3701"/>
          </w:tcPr>
          <w:p>
            <w:pPr>
              <w:spacing w:before="0" w:after="0"/>
            </w:pPr>
            <w:r>
              <w:rPr>
                <w:sz w:val="8"/>
              </w:rPr>
              <w:t>CR create + NAV open + Sandbox test.</w:t>
            </w:r>
          </w:p>
        </w:tc>
      </w:tr>
      <w:tr>
        <w:tc>
          <w:tcPr>
            <w:tcW w:type="dxa" w:w="3701"/>
          </w:tcPr>
          <w:p>
            <w:pPr>
              <w:spacing w:before="0" w:after="0"/>
            </w:pPr>
            <w:r>
              <w:rPr>
                <w:sz w:val="8"/>
              </w:rPr>
              <w:t>Historical SYS NAV Gate conflict</w:t>
            </w:r>
          </w:p>
        </w:tc>
        <w:tc>
          <w:tcPr>
            <w:tcW w:type="dxa" w:w="3701"/>
          </w:tcPr>
          <w:p>
            <w:pPr>
              <w:spacing w:before="0" w:after="0"/>
            </w:pPr>
            <w:r>
              <w:rPr>
                <w:sz w:val="8"/>
              </w:rPr>
              <w:t>1</w:t>
            </w:r>
          </w:p>
        </w:tc>
        <w:tc>
          <w:tcPr>
            <w:tcW w:type="dxa" w:w="3701"/>
          </w:tcPr>
          <w:p>
            <w:pPr>
              <w:spacing w:before="0" w:after="0"/>
            </w:pPr>
            <w:r>
              <w:rPr>
                <w:sz w:val="8"/>
              </w:rPr>
              <w:t>Resolved: SOURCE_PAGE_GATE; CURRENT_VIEW_AND_SOURCE_ACTION_GATE rejected for this source-page read control.</w:t>
            </w:r>
          </w:p>
        </w:tc>
      </w:tr>
      <w:tr>
        <w:tc>
          <w:tcPr>
            <w:tcW w:type="dxa" w:w="3701"/>
          </w:tcPr>
          <w:p>
            <w:pPr>
              <w:spacing w:before="0" w:after="0"/>
            </w:pPr>
            <w:r>
              <w:rPr>
                <w:sz w:val="8"/>
              </w:rPr>
              <w:t>Post-batch Definition Binding Gap</w:t>
            </w:r>
          </w:p>
        </w:tc>
        <w:tc>
          <w:tcPr>
            <w:tcW w:type="dxa" w:w="3701"/>
          </w:tcPr>
          <w:p>
            <w:pPr>
              <w:spacing w:before="0" w:after="0"/>
            </w:pPr>
            <w:r>
              <w:rPr>
                <w:sz w:val="8"/>
              </w:rPr>
              <w:t>0</w:t>
            </w:r>
          </w:p>
        </w:tc>
        <w:tc>
          <w:tcPr>
            <w:tcW w:type="dxa" w:w="3701"/>
          </w:tcPr>
          <w:p>
            <w:pPr>
              <w:spacing w:before="0" w:after="0"/>
            </w:pPr>
            <w:r>
              <w:rPr>
                <w:sz w:val="8"/>
              </w:rPr>
              <w:t>Fresh full 18-page classifier denominator.</w:t>
            </w:r>
          </w:p>
        </w:tc>
      </w:tr>
      <w:tr>
        <w:tc>
          <w:tcPr>
            <w:tcW w:type="dxa" w:w="3701"/>
          </w:tcPr>
          <w:p>
            <w:pPr>
              <w:spacing w:before="0" w:after="0"/>
            </w:pPr>
            <w:r>
              <w:rPr>
                <w:sz w:val="8"/>
              </w:rPr>
              <w:t>New API routes / Operation / Runtime Owner / Permission invented</w:t>
            </w:r>
          </w:p>
        </w:tc>
        <w:tc>
          <w:tcPr>
            <w:tcW w:type="dxa" w:w="3701"/>
          </w:tcPr>
          <w:p>
            <w:pPr>
              <w:spacing w:before="0" w:after="0"/>
            </w:pPr>
            <w:r>
              <w:rPr>
                <w:sz w:val="8"/>
              </w:rPr>
              <w:t>0</w:t>
            </w:r>
          </w:p>
        </w:tc>
        <w:tc>
          <w:tcPr>
            <w:tcW w:type="dxa" w:w="3701"/>
          </w:tcPr>
          <w:p>
            <w:pPr>
              <w:spacing w:before="0" w:after="0"/>
            </w:pPr>
            <w:r>
              <w:rPr>
                <w:sz w:val="8"/>
              </w:rPr>
              <w:t>None.</w:t>
            </w:r>
          </w:p>
        </w:tc>
      </w:tr>
    </w:tbl>
    <w:p>
      <w:pPr>
        <w:pStyle w:val="Heading2"/>
      </w:pPr>
      <w:r>
        <w:t>SYS NAV Conflict Resolution Evidence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8"/>
              </w:rPr>
              <w:t>Item</w:t>
            </w:r>
          </w:p>
        </w:tc>
        <w:tc>
          <w:tcPr>
            <w:tcW w:type="dxa" w:w="5551"/>
            <w:shd w:fill="EDE9FE"/>
          </w:tcPr>
          <w:p>
            <w:pPr>
              <w:spacing w:before="0" w:after="0"/>
            </w:pPr>
            <w:r>
              <w:rPr>
                <w:sz w:val="8"/>
              </w:rPr>
              <w:t>Evidence</w:t>
            </w:r>
          </w:p>
        </w:tc>
      </w:tr>
      <w:tr>
        <w:tc>
          <w:tcPr>
            <w:tcW w:type="dxa" w:w="5551"/>
          </w:tcPr>
          <w:p>
            <w:pPr>
              <w:spacing w:before="0" w:after="0"/>
            </w:pPr>
            <w:r>
              <w:rPr>
                <w:sz w:val="8"/>
              </w:rPr>
              <w:t>Historical conflicting values</w:t>
            </w:r>
          </w:p>
        </w:tc>
        <w:tc>
          <w:tcPr>
            <w:tcW w:type="dxa" w:w="5551"/>
          </w:tcPr>
          <w:p>
            <w:pPr>
              <w:spacing w:before="0" w:after="0"/>
            </w:pPr>
            <w:r>
              <w:rPr>
                <w:sz w:val="8"/>
              </w:rPr>
              <w:t>CURRENT_VIEW_AND_SOURCE_ACTION_GATE | SOURCE_PAGE_GATE</w:t>
            </w:r>
          </w:p>
        </w:tc>
      </w:tr>
      <w:tr>
        <w:tc>
          <w:tcPr>
            <w:tcW w:type="dxa" w:w="5551"/>
          </w:tcPr>
          <w:p>
            <w:pPr>
              <w:spacing w:before="0" w:after="0"/>
            </w:pPr>
            <w:r>
              <w:rPr>
                <w:sz w:val="8"/>
              </w:rPr>
              <w:t>Current exact Operation</w:t>
            </w:r>
          </w:p>
        </w:tc>
        <w:tc>
          <w:tcPr>
            <w:tcW w:type="dxa" w:w="5551"/>
          </w:tcPr>
          <w:p>
            <w:pPr>
              <w:spacing w:before="0" w:after="0"/>
            </w:pPr>
            <w:r>
              <w:rPr>
                <w:sz w:val="8"/>
              </w:rPr>
              <w:t>getUiProjection</w:t>
            </w:r>
          </w:p>
        </w:tc>
      </w:tr>
      <w:tr>
        <w:tc>
          <w:tcPr>
            <w:tcW w:type="dxa" w:w="5551"/>
          </w:tcPr>
          <w:p>
            <w:pPr>
              <w:spacing w:before="0" w:after="0"/>
            </w:pPr>
            <w:r>
              <w:rPr>
                <w:sz w:val="8"/>
              </w:rPr>
              <w:t>Current exact Runtime Owner</w:t>
            </w:r>
          </w:p>
        </w:tc>
        <w:tc>
          <w:tcPr>
            <w:tcW w:type="dxa" w:w="5551"/>
          </w:tcPr>
          <w:p>
            <w:pPr>
              <w:spacing w:before="0" w:after="0"/>
            </w:pPr>
            <w:r>
              <w:rPr>
                <w:sz w:val="8"/>
              </w:rPr>
              <w:t>Projection / source page read owner</w:t>
            </w:r>
          </w:p>
        </w:tc>
      </w:tr>
      <w:tr>
        <w:tc>
          <w:tcPr>
            <w:tcW w:type="dxa" w:w="5551"/>
          </w:tcPr>
          <w:p>
            <w:pPr>
              <w:spacing w:before="0" w:after="0"/>
            </w:pPr>
            <w:r>
              <w:rPr>
                <w:sz w:val="8"/>
              </w:rPr>
              <w:t>Current Permission</w:t>
            </w:r>
          </w:p>
        </w:tc>
        <w:tc>
          <w:tcPr>
            <w:tcW w:type="dxa" w:w="5551"/>
          </w:tcPr>
          <w:p>
            <w:pPr>
              <w:spacing w:before="0" w:after="0"/>
            </w:pPr>
            <w:r>
              <w:rPr>
                <w:sz w:val="8"/>
              </w:rPr>
              <w:t>ops.read</w:t>
            </w:r>
          </w:p>
        </w:tc>
      </w:tr>
      <w:tr>
        <w:tc>
          <w:tcPr>
            <w:tcW w:type="dxa" w:w="5551"/>
          </w:tcPr>
          <w:p>
            <w:pPr>
              <w:spacing w:before="0" w:after="0"/>
            </w:pPr>
            <w:r>
              <w:rPr>
                <w:sz w:val="8"/>
              </w:rPr>
              <w:t>Current Runtime Status</w:t>
            </w:r>
          </w:p>
        </w:tc>
        <w:tc>
          <w:tcPr>
            <w:tcW w:type="dxa" w:w="5551"/>
          </w:tcPr>
          <w:p>
            <w:pPr>
              <w:spacing w:before="0" w:after="0"/>
            </w:pPr>
            <w:r>
              <w:rPr>
                <w:sz w:val="8"/>
              </w:rPr>
              <w:t>UI_LOCAL_OR_READ_SOURCE</w:t>
            </w:r>
          </w:p>
        </w:tc>
      </w:tr>
      <w:tr>
        <w:tc>
          <w:tcPr>
            <w:tcW w:type="dxa" w:w="5551"/>
          </w:tcPr>
          <w:p>
            <w:pPr>
              <w:spacing w:before="0" w:after="0"/>
            </w:pPr>
            <w:r>
              <w:rPr>
                <w:sz w:val="8"/>
              </w:rPr>
              <w:t>Existing registered relation</w:t>
            </w:r>
          </w:p>
        </w:tc>
        <w:tc>
          <w:tcPr>
            <w:tcW w:type="dxa" w:w="5551"/>
          </w:tcPr>
          <w:p>
            <w:pPr>
              <w:spacing w:before="0" w:after="0"/>
            </w:pPr>
            <w:r>
              <w:rPr>
                <w:sz w:val="8"/>
              </w:rPr>
              <w:t>SOURCE_PAGE_GATE is used by source-page getUiProjection reads.</w:t>
            </w:r>
          </w:p>
        </w:tc>
      </w:tr>
      <w:tr>
        <w:tc>
          <w:tcPr>
            <w:tcW w:type="dxa" w:w="5551"/>
          </w:tcPr>
          <w:p>
            <w:pPr>
              <w:spacing w:before="0" w:after="0"/>
            </w:pPr>
            <w:r>
              <w:rPr>
                <w:sz w:val="8"/>
              </w:rPr>
              <w:t>Canonical decision</w:t>
            </w:r>
          </w:p>
        </w:tc>
        <w:tc>
          <w:tcPr>
            <w:tcW w:type="dxa" w:w="5551"/>
          </w:tcPr>
          <w:p>
            <w:pPr>
              <w:spacing w:before="0" w:after="0"/>
            </w:pPr>
            <w:r>
              <w:rPr>
                <w:sz w:val="8"/>
              </w:rPr>
              <w:t>SOURCE_PAGE_GATE</w:t>
            </w:r>
          </w:p>
        </w:tc>
      </w:tr>
    </w:tbl>
    <w:p>
      <w:r>
        <w:t>BATCH17_MACHINE_JSON={"base_head":"98171c9989147690db2acd75228923d91bb2d92b","dev_permission_na":5,"edit_action_na":2,"gaps_closed":20,"invented_api_routes":0,"invented_operations":0,"invented_permissions":0,"invented_runtime_owners":0,"kb_action_gate_na":10,"marker":"ACPOS-20260921-BATCH-17-REMAINING-DEFINITION-CLOSURE-V1","na_reclassified":17,"new_canonical_gate_definitions":2,"post_definition_gaps":0,"pre_definition_gaps":20,"resolved_sys_nav_conflict":1,"runtime_execution_claimed":false,"sys_gate_bindings":3,"sys_nav_gate":"SOURCE_PAGE_GATE"}</w:t>
      </w:r>
    </w:p>
    <w:sectPr w:rsidR="00FC693F" w:rsidRPr="0006063C" w:rsidSect="00034616">
      <w:pgSz w:w="11909" w:h="16834" w:orient="landscape"/>
      <w:pgMar w:top="475" w:right="403" w:bottom="475"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