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p>
      <w:pPr>
        <w:sectPr>
          <w:pgSz w:w="16834" w:h="11909" w:orient="landscape"/>
          <w:pgMar w:top="475" w:right="403" w:bottom="475" w:left="403" w:header="720" w:footer="720" w:gutter="0"/>
          <w:cols w:space="720"/>
          <w:docGrid w:linePitch="360"/>
        </w:sectPr>
      </w:pPr>
    </w:p>
    <w:p>
      <w:pPr>
        <w:pStyle w:val="Heading1"/>
      </w:pPr>
      <w:r>
        <w:t>Batch 17 · Final Definition Binding Closure</w:t>
      </w:r>
    </w:p>
    <w:p>
      <w:r>
        <w:rPr>
          <w:b/>
        </w:rPr>
        <w:t xml:space="preserve">[ACPOS-20260921-BATCH-17-REMAINING-DEFINITION-CLOSURE-V1] </w:t>
      </w:r>
      <w:r>
        <w:t>Batch 17 resolves the final 20 Definition Binding gaps after Batch 16. Seventeen fields are closed by exact Canonical Owner non-applicability semantics rather than invented identifiers. Three SYS Gate fields are bound by System 09: two new canonical Gate definitions and one historical conflict resolution. No Operation, Runtime Owner, Method/Path, API route or permission resource is fabricated.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Closure Class</w:t>
            </w:r>
          </w:p>
        </w:tc>
        <w:tc>
          <w:tcPr>
            <w:tcW w:type="dxa" w:w="3701"/>
            <w:shd w:fill="EDE9FE"/>
          </w:tcPr>
          <w:p>
            <w:pPr>
              <w:spacing w:before="0" w:after="0"/>
            </w:pPr>
            <w:r>
              <w:rPr>
                <w:sz w:val="8"/>
              </w:rPr>
              <w:t>Count</w:t>
            </w:r>
          </w:p>
        </w:tc>
        <w:tc>
          <w:tcPr>
            <w:tcW w:type="dxa" w:w="3701"/>
            <w:shd w:fill="EDE9FE"/>
          </w:tcPr>
          <w:p>
            <w:pPr>
              <w:spacing w:before="0" w:after="0"/>
            </w:pPr>
            <w:r>
              <w:rPr>
                <w:sz w:val="8"/>
              </w:rPr>
              <w:t>Result</w:t>
            </w:r>
          </w:p>
        </w:tc>
      </w:tr>
      <w:tr>
        <w:tc>
          <w:tcPr>
            <w:tcW w:type="dxa" w:w="3701"/>
          </w:tcPr>
          <w:p>
            <w:pPr>
              <w:spacing w:before="0" w:after="0"/>
            </w:pPr>
            <w:r>
              <w:rPr>
                <w:sz w:val="8"/>
              </w:rPr>
              <w:t>Pre-batch Definition Binding Gap</w:t>
            </w:r>
          </w:p>
        </w:tc>
        <w:tc>
          <w:tcPr>
            <w:tcW w:type="dxa" w:w="3701"/>
          </w:tcPr>
          <w:p>
            <w:pPr>
              <w:spacing w:before="0" w:after="0"/>
            </w:pPr>
            <w:r>
              <w:rPr>
                <w:sz w:val="8"/>
              </w:rPr>
              <w:t>20</w:t>
            </w:r>
          </w:p>
        </w:tc>
        <w:tc>
          <w:tcPr>
            <w:tcW w:type="dxa" w:w="3701"/>
          </w:tcPr>
          <w:p>
            <w:pPr>
              <w:spacing w:before="0" w:after="0"/>
            </w:pPr>
            <w:r>
              <w:rPr>
                <w:sz w:val="8"/>
              </w:rPr>
              <w:t>Action 7 + Gate 8 + Permission 5</w:t>
            </w:r>
          </w:p>
        </w:tc>
      </w:tr>
      <w:tr>
        <w:tc>
          <w:tcPr>
            <w:tcW w:type="dxa" w:w="3701"/>
          </w:tcPr>
          <w:p>
            <w:pPr>
              <w:spacing w:before="0" w:after="0"/>
            </w:pPr>
            <w:r>
              <w:rPr>
                <w:sz w:val="8"/>
              </w:rPr>
              <w:t>DEV local stage Permission N/A</w:t>
            </w:r>
          </w:p>
        </w:tc>
        <w:tc>
          <w:tcPr>
            <w:tcW w:type="dxa" w:w="3701"/>
          </w:tcPr>
          <w:p>
            <w:pPr>
              <w:spacing w:before="0" w:after="0"/>
            </w:pPr>
            <w:r>
              <w:rPr>
                <w:sz w:val="8"/>
              </w:rPr>
              <w:t>5</w:t>
            </w:r>
          </w:p>
        </w:tc>
        <w:tc>
          <w:tcPr>
            <w:tcW w:type="dxa" w:w="3701"/>
          </w:tcPr>
          <w:p>
            <w:pPr>
              <w:spacing w:before="0" w:after="0"/>
            </w:pPr>
            <w:r>
              <w:rPr>
                <w:sz w:val="8"/>
              </w:rPr>
              <w:t>Exact five UI_LOCAL_EXACT segment selectors; cells remain '—'.</w:t>
            </w:r>
          </w:p>
        </w:tc>
      </w:tr>
      <w:tr>
        <w:tc>
          <w:tcPr>
            <w:tcW w:type="dxa" w:w="3701"/>
          </w:tcPr>
          <w:p>
            <w:pPr>
              <w:spacing w:before="0" w:after="0"/>
            </w:pPr>
            <w:r>
              <w:rPr>
                <w:sz w:val="8"/>
              </w:rPr>
              <w:t>EDIT read preview Action N/A</w:t>
            </w:r>
          </w:p>
        </w:tc>
        <w:tc>
          <w:tcPr>
            <w:tcW w:type="dxa" w:w="3701"/>
          </w:tcPr>
          <w:p>
            <w:pPr>
              <w:spacing w:before="0" w:after="0"/>
            </w:pPr>
            <w:r>
              <w:rPr>
                <w:sz w:val="8"/>
              </w:rPr>
              <w:t>2</w:t>
            </w:r>
          </w:p>
        </w:tc>
        <w:tc>
          <w:tcPr>
            <w:tcW w:type="dxa" w:w="3701"/>
          </w:tcPr>
          <w:p>
            <w:pPr>
              <w:spacing w:before="0" w:after="0"/>
            </w:pPr>
            <w:r>
              <w:rPr>
                <w:sz w:val="8"/>
              </w:rPr>
              <w:t>Exact two READ_EXACT preview panels; cells remain '—'.</w:t>
            </w:r>
          </w:p>
        </w:tc>
      </w:tr>
      <w:tr>
        <w:tc>
          <w:tcPr>
            <w:tcW w:type="dxa" w:w="3701"/>
          </w:tcPr>
          <w:p>
            <w:pPr>
              <w:spacing w:before="0" w:after="0"/>
            </w:pPr>
            <w:r>
              <w:rPr>
                <w:sz w:val="8"/>
              </w:rPr>
              <w:t>KB local tab Action/Gate N/A</w:t>
            </w:r>
          </w:p>
        </w:tc>
        <w:tc>
          <w:tcPr>
            <w:tcW w:type="dxa" w:w="3701"/>
          </w:tcPr>
          <w:p>
            <w:pPr>
              <w:spacing w:before="0" w:after="0"/>
            </w:pPr>
            <w:r>
              <w:rPr>
                <w:sz w:val="8"/>
              </w:rPr>
              <w:t>10</w:t>
            </w:r>
          </w:p>
        </w:tc>
        <w:tc>
          <w:tcPr>
            <w:tcW w:type="dxa" w:w="3701"/>
          </w:tcPr>
          <w:p>
            <w:pPr>
              <w:spacing w:before="0" w:after="0"/>
            </w:pPr>
            <w:r>
              <w:rPr>
                <w:sz w:val="8"/>
              </w:rPr>
              <w:t>Exact five UI_LOCAL_EXACT TAB controls × Action/Gate; cells remain '—'.</w:t>
            </w:r>
          </w:p>
        </w:tc>
      </w:tr>
      <w:tr>
        <w:tc>
          <w:tcPr>
            <w:tcW w:type="dxa" w:w="3701"/>
          </w:tcPr>
          <w:p>
            <w:pPr>
              <w:spacing w:before="0" w:after="0"/>
            </w:pPr>
            <w:r>
              <w:rPr>
                <w:sz w:val="8"/>
              </w:rPr>
              <w:t>SYS canonical Gate bindings</w:t>
            </w:r>
          </w:p>
        </w:tc>
        <w:tc>
          <w:tcPr>
            <w:tcW w:type="dxa" w:w="3701"/>
          </w:tcPr>
          <w:p>
            <w:pPr>
              <w:spacing w:before="0" w:after="0"/>
            </w:pPr>
            <w:r>
              <w:rPr>
                <w:sz w:val="8"/>
              </w:rPr>
              <w:t>3</w:t>
            </w:r>
          </w:p>
        </w:tc>
        <w:tc>
          <w:tcPr>
            <w:tcW w:type="dxa" w:w="3701"/>
          </w:tcPr>
          <w:p>
            <w:pPr>
              <w:spacing w:before="0" w:after="0"/>
            </w:pPr>
            <w:r>
              <w:rPr>
                <w:sz w:val="8"/>
              </w:rPr>
              <w:t>CR create + NAV open + Sandbox test.</w:t>
            </w:r>
          </w:p>
        </w:tc>
      </w:tr>
      <w:tr>
        <w:tc>
          <w:tcPr>
            <w:tcW w:type="dxa" w:w="3701"/>
          </w:tcPr>
          <w:p>
            <w:pPr>
              <w:spacing w:before="0" w:after="0"/>
            </w:pPr>
            <w:r>
              <w:rPr>
                <w:sz w:val="8"/>
              </w:rPr>
              <w:t>Historical SYS NAV Gate conflict</w:t>
            </w:r>
          </w:p>
        </w:tc>
        <w:tc>
          <w:tcPr>
            <w:tcW w:type="dxa" w:w="3701"/>
          </w:tcPr>
          <w:p>
            <w:pPr>
              <w:spacing w:before="0" w:after="0"/>
            </w:pPr>
            <w:r>
              <w:rPr>
                <w:sz w:val="8"/>
              </w:rPr>
              <w:t>1</w:t>
            </w:r>
          </w:p>
        </w:tc>
        <w:tc>
          <w:tcPr>
            <w:tcW w:type="dxa" w:w="3701"/>
          </w:tcPr>
          <w:p>
            <w:pPr>
              <w:spacing w:before="0" w:after="0"/>
            </w:pPr>
            <w:r>
              <w:rPr>
                <w:sz w:val="8"/>
              </w:rPr>
              <w:t>Resolved: SOURCE_PAGE_GATE; CURRENT_VIEW_AND_SOURCE_ACTION_GATE rejected for this source-page read control.</w:t>
            </w:r>
          </w:p>
        </w:tc>
      </w:tr>
      <w:tr>
        <w:tc>
          <w:tcPr>
            <w:tcW w:type="dxa" w:w="3701"/>
          </w:tcPr>
          <w:p>
            <w:pPr>
              <w:spacing w:before="0" w:after="0"/>
            </w:pPr>
            <w:r>
              <w:rPr>
                <w:sz w:val="8"/>
              </w:rPr>
              <w:t>Post-batch Definition Binding Gap</w:t>
            </w:r>
          </w:p>
        </w:tc>
        <w:tc>
          <w:tcPr>
            <w:tcW w:type="dxa" w:w="3701"/>
          </w:tcPr>
          <w:p>
            <w:pPr>
              <w:spacing w:before="0" w:after="0"/>
            </w:pPr>
            <w:r>
              <w:rPr>
                <w:sz w:val="8"/>
              </w:rPr>
              <w:t>0</w:t>
            </w:r>
          </w:p>
        </w:tc>
        <w:tc>
          <w:tcPr>
            <w:tcW w:type="dxa" w:w="3701"/>
          </w:tcPr>
          <w:p>
            <w:pPr>
              <w:spacing w:before="0" w:after="0"/>
            </w:pPr>
            <w:r>
              <w:rPr>
                <w:sz w:val="8"/>
              </w:rPr>
              <w:t>Fresh full 18-page classifier denominator.</w:t>
            </w:r>
          </w:p>
        </w:tc>
      </w:tr>
      <w:tr>
        <w:tc>
          <w:tcPr>
            <w:tcW w:type="dxa" w:w="3701"/>
          </w:tcPr>
          <w:p>
            <w:pPr>
              <w:spacing w:before="0" w:after="0"/>
            </w:pPr>
            <w:r>
              <w:rPr>
                <w:sz w:val="8"/>
              </w:rPr>
              <w:t>New API routes / Operation / Runtime Owner / Permission invented</w:t>
            </w:r>
          </w:p>
        </w:tc>
        <w:tc>
          <w:tcPr>
            <w:tcW w:type="dxa" w:w="3701"/>
          </w:tcPr>
          <w:p>
            <w:pPr>
              <w:spacing w:before="0" w:after="0"/>
            </w:pPr>
            <w:r>
              <w:rPr>
                <w:sz w:val="8"/>
              </w:rPr>
              <w:t>0</w:t>
            </w:r>
          </w:p>
        </w:tc>
        <w:tc>
          <w:tcPr>
            <w:tcW w:type="dxa" w:w="3701"/>
          </w:tcPr>
          <w:p>
            <w:pPr>
              <w:spacing w:before="0" w:after="0"/>
            </w:pPr>
            <w:r>
              <w:rPr>
                <w:sz w:val="8"/>
              </w:rPr>
              <w:t>None.</w:t>
            </w:r>
          </w:p>
        </w:tc>
      </w:tr>
    </w:tbl>
    <w:p>
      <w:pPr>
        <w:pStyle w:val="Heading2"/>
      </w:pPr>
      <w:r>
        <w:t>SYS NAV Conflict Resolution Evidence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8"/>
              </w:rPr>
              <w:t>Item</w:t>
            </w:r>
          </w:p>
        </w:tc>
        <w:tc>
          <w:tcPr>
            <w:tcW w:type="dxa" w:w="5551"/>
            <w:shd w:fill="EDE9FE"/>
          </w:tcPr>
          <w:p>
            <w:pPr>
              <w:spacing w:before="0" w:after="0"/>
            </w:pPr>
            <w:r>
              <w:rPr>
                <w:sz w:val="8"/>
              </w:rPr>
              <w:t>Evidence</w:t>
            </w:r>
          </w:p>
        </w:tc>
      </w:tr>
      <w:tr>
        <w:tc>
          <w:tcPr>
            <w:tcW w:type="dxa" w:w="5551"/>
          </w:tcPr>
          <w:p>
            <w:pPr>
              <w:spacing w:before="0" w:after="0"/>
            </w:pPr>
            <w:r>
              <w:rPr>
                <w:sz w:val="8"/>
              </w:rPr>
              <w:t>Historical conflicting values</w:t>
            </w:r>
          </w:p>
        </w:tc>
        <w:tc>
          <w:tcPr>
            <w:tcW w:type="dxa" w:w="5551"/>
          </w:tcPr>
          <w:p>
            <w:pPr>
              <w:spacing w:before="0" w:after="0"/>
            </w:pPr>
            <w:r>
              <w:rPr>
                <w:sz w:val="8"/>
              </w:rPr>
              <w:t>CURRENT_VIEW_AND_SOURCE_ACTION_GATE | SOURCE_PAGE_GATE</w:t>
            </w:r>
          </w:p>
        </w:tc>
      </w:tr>
      <w:tr>
        <w:tc>
          <w:tcPr>
            <w:tcW w:type="dxa" w:w="5551"/>
          </w:tcPr>
          <w:p>
            <w:pPr>
              <w:spacing w:before="0" w:after="0"/>
            </w:pPr>
            <w:r>
              <w:rPr>
                <w:sz w:val="8"/>
              </w:rPr>
              <w:t>Current exact Operation</w:t>
            </w:r>
          </w:p>
        </w:tc>
        <w:tc>
          <w:tcPr>
            <w:tcW w:type="dxa" w:w="5551"/>
          </w:tcPr>
          <w:p>
            <w:pPr>
              <w:spacing w:before="0" w:after="0"/>
            </w:pPr>
            <w:r>
              <w:rPr>
                <w:sz w:val="8"/>
              </w:rPr>
              <w:t>getUiProjection</w:t>
            </w:r>
          </w:p>
        </w:tc>
      </w:tr>
      <w:tr>
        <w:tc>
          <w:tcPr>
            <w:tcW w:type="dxa" w:w="5551"/>
          </w:tcPr>
          <w:p>
            <w:pPr>
              <w:spacing w:before="0" w:after="0"/>
            </w:pPr>
            <w:r>
              <w:rPr>
                <w:sz w:val="8"/>
              </w:rPr>
              <w:t>Current exact Runtime Owner</w:t>
            </w:r>
          </w:p>
        </w:tc>
        <w:tc>
          <w:tcPr>
            <w:tcW w:type="dxa" w:w="5551"/>
          </w:tcPr>
          <w:p>
            <w:pPr>
              <w:spacing w:before="0" w:after="0"/>
            </w:pPr>
            <w:r>
              <w:rPr>
                <w:sz w:val="8"/>
              </w:rPr>
              <w:t>Projection / source page read owner</w:t>
            </w:r>
          </w:p>
        </w:tc>
      </w:tr>
      <w:tr>
        <w:tc>
          <w:tcPr>
            <w:tcW w:type="dxa" w:w="5551"/>
          </w:tcPr>
          <w:p>
            <w:pPr>
              <w:spacing w:before="0" w:after="0"/>
            </w:pPr>
            <w:r>
              <w:rPr>
                <w:sz w:val="8"/>
              </w:rPr>
              <w:t>Current Permission</w:t>
            </w:r>
          </w:p>
        </w:tc>
        <w:tc>
          <w:tcPr>
            <w:tcW w:type="dxa" w:w="5551"/>
          </w:tcPr>
          <w:p>
            <w:pPr>
              <w:spacing w:before="0" w:after="0"/>
            </w:pPr>
            <w:r>
              <w:rPr>
                <w:sz w:val="8"/>
              </w:rPr>
              <w:t>ops.read</w:t>
            </w:r>
          </w:p>
        </w:tc>
      </w:tr>
      <w:tr>
        <w:tc>
          <w:tcPr>
            <w:tcW w:type="dxa" w:w="5551"/>
          </w:tcPr>
          <w:p>
            <w:pPr>
              <w:spacing w:before="0" w:after="0"/>
            </w:pPr>
            <w:r>
              <w:rPr>
                <w:sz w:val="8"/>
              </w:rPr>
              <w:t>Current Runtime Status</w:t>
            </w:r>
          </w:p>
        </w:tc>
        <w:tc>
          <w:tcPr>
            <w:tcW w:type="dxa" w:w="5551"/>
          </w:tcPr>
          <w:p>
            <w:pPr>
              <w:spacing w:before="0" w:after="0"/>
            </w:pPr>
            <w:r>
              <w:rPr>
                <w:sz w:val="8"/>
              </w:rPr>
              <w:t>UI_LOCAL_OR_READ_SOURCE</w:t>
            </w:r>
          </w:p>
        </w:tc>
      </w:tr>
      <w:tr>
        <w:tc>
          <w:tcPr>
            <w:tcW w:type="dxa" w:w="5551"/>
          </w:tcPr>
          <w:p>
            <w:pPr>
              <w:spacing w:before="0" w:after="0"/>
            </w:pPr>
            <w:r>
              <w:rPr>
                <w:sz w:val="8"/>
              </w:rPr>
              <w:t>Existing registered relation</w:t>
            </w:r>
          </w:p>
        </w:tc>
        <w:tc>
          <w:tcPr>
            <w:tcW w:type="dxa" w:w="5551"/>
          </w:tcPr>
          <w:p>
            <w:pPr>
              <w:spacing w:before="0" w:after="0"/>
            </w:pPr>
            <w:r>
              <w:rPr>
                <w:sz w:val="8"/>
              </w:rPr>
              <w:t>SOURCE_PAGE_GATE is used by source-page getUiProjection reads.</w:t>
            </w:r>
          </w:p>
        </w:tc>
      </w:tr>
      <w:tr>
        <w:tc>
          <w:tcPr>
            <w:tcW w:type="dxa" w:w="5551"/>
          </w:tcPr>
          <w:p>
            <w:pPr>
              <w:spacing w:before="0" w:after="0"/>
            </w:pPr>
            <w:r>
              <w:rPr>
                <w:sz w:val="8"/>
              </w:rPr>
              <w:t>Canonical decision</w:t>
            </w:r>
          </w:p>
        </w:tc>
        <w:tc>
          <w:tcPr>
            <w:tcW w:type="dxa" w:w="5551"/>
          </w:tcPr>
          <w:p>
            <w:pPr>
              <w:spacing w:before="0" w:after="0"/>
            </w:pPr>
            <w:r>
              <w:rPr>
                <w:sz w:val="8"/>
              </w:rPr>
              <w:t>SOURCE_PAGE_GATE</w:t>
            </w:r>
          </w:p>
        </w:tc>
      </w:tr>
    </w:tbl>
    <w:p>
      <w:r>
        <w:t>BATCH17_MACHINE_JSON={"base_head":"98171c9989147690db2acd75228923d91bb2d92b","dev_permission_na":5,"edit_action_na":2,"gaps_closed":20,"invented_api_routes":0,"invented_operations":0,"invented_permissions":0,"invented_runtime_owners":0,"kb_action_gate_na":10,"marker":"ACPOS-20260921-BATCH-17-REMAINING-DEFINITION-CLOSURE-V1","na_reclassified":17,"new_canonical_gate_definitions":2,"post_definition_gaps":0,"pre_definition_gaps":20,"resolved_sys_nav_conflict":1,"runtime_execution_claimed":false,"sys_gate_bindings":3,"sys_nav_gate":"SOURCE_PAGE_GATE"}</w:t>
      </w:r>
    </w:p>
    <w:p>
      <w:pPr>
        <w:sectPr>
          <w:pgSz w:w="11909" w:h="16834" w:orient="landscape"/>
          <w:pgMar w:top="475" w:right="403" w:bottom="475" w:left="403" w:header="720" w:footer="720" w:gutter="0"/>
          <w:cols w:space="720"/>
          <w:docGrid w:linePitch="360"/>
        </w:sectPr>
      </w:pPr>
    </w:p>
    <w:p>
      <w:pPr>
        <w:pStyle w:val="Heading1"/>
      </w:pPr>
      <w:r>
        <w:t>Batch 20 · Cross-System Audit Identity Semantics Hardening</w:t>
      </w:r>
    </w:p>
    <w:p>
      <w:r>
        <w:rPr>
          <w:b/>
        </w:rPr>
        <w:t xml:space="preserve">[ACPOS-20260922-BATCH-20-AUDIT-SEMANTICS-IAM-CONFLICT-CLOSURE-V1] </w:t>
      </w:r>
      <w:r>
        <w:t>Batch 18/19 proved that a scanner which treats the lexical Operation cell as a globally unique key creates false conflicts across independently owned domains. Current remediation history already requires exact relations to be resolved inside the same Canonical Owner and forbids cross-system transfer. Therefore cross-system consistency audit MUST resolve Canonical Owner and exact Control/contract context before declaring an Operation conflict.</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Audit Rule</w:t>
            </w:r>
          </w:p>
        </w:tc>
        <w:tc>
          <w:tcPr>
            <w:tcW w:type="dxa" w:w="5343"/>
            <w:shd w:fill="EDE9FE"/>
          </w:tcPr>
          <w:p>
            <w:pPr>
              <w:spacing w:before="0" w:after="0"/>
            </w:pPr>
            <w:r>
              <w:rPr>
                <w:sz w:val="8"/>
              </w:rPr>
              <w:t>Required Semantics</w:t>
            </w:r>
          </w:p>
        </w:tc>
        <w:tc>
          <w:tcPr>
            <w:tcW w:type="dxa" w:w="5343"/>
            <w:shd w:fill="EDE9FE"/>
          </w:tcPr>
          <w:p>
            <w:pPr>
              <w:spacing w:before="0" w:after="0"/>
            </w:pPr>
            <w:r>
              <w:rPr>
                <w:sz w:val="8"/>
              </w:rPr>
              <w:t>Fail-Closed Boundary</w:t>
            </w:r>
          </w:p>
        </w:tc>
      </w:tr>
      <w:tr>
        <w:tc>
          <w:tcPr>
            <w:tcW w:type="dxa" w:w="5343"/>
          </w:tcPr>
          <w:p>
            <w:pPr>
              <w:spacing w:before="0" w:after="0"/>
            </w:pPr>
            <w:r>
              <w:rPr>
                <w:sz w:val="8"/>
              </w:rPr>
              <w:t>Operation identity comparison</w:t>
            </w:r>
          </w:p>
        </w:tc>
        <w:tc>
          <w:tcPr>
            <w:tcW w:type="dxa" w:w="5343"/>
          </w:tcPr>
          <w:p>
            <w:pPr>
              <w:spacing w:before="0" w:after="0"/>
            </w:pPr>
            <w:r>
              <w:rPr>
                <w:sz w:val="8"/>
              </w:rPr>
              <w:t>Resolve Canonical Owner first. Compare exact owner-bound contract using Control UID + Operation + Method/Path + Gate/Permission/Runtime context. Lexical Operation equality alone is not a global identity collision.</w:t>
            </w:r>
          </w:p>
        </w:tc>
        <w:tc>
          <w:tcPr>
            <w:tcW w:type="dxa" w:w="5343"/>
          </w:tcPr>
          <w:p>
            <w:pPr>
              <w:spacing w:before="0" w:after="0"/>
            </w:pPr>
            <w:r>
              <w:rPr>
                <w:sz w:val="8"/>
              </w:rPr>
              <w:t>Only contradictory exact bindings inside the same Current owner/contract context may block.</w:t>
            </w:r>
          </w:p>
        </w:tc>
      </w:tr>
      <w:tr>
        <w:tc>
          <w:tcPr>
            <w:tcW w:type="dxa" w:w="5343"/>
          </w:tcPr>
          <w:p>
            <w:pPr>
              <w:spacing w:before="0" w:after="0"/>
            </w:pPr>
            <w:r>
              <w:rPr>
                <w:sz w:val="8"/>
              </w:rPr>
              <w:t>Cross-owner same Operation text</w:t>
            </w:r>
          </w:p>
        </w:tc>
        <w:tc>
          <w:tcPr>
            <w:tcW w:type="dxa" w:w="5343"/>
          </w:tcPr>
          <w:p>
            <w:pPr>
              <w:spacing w:before="0" w:after="0"/>
            </w:pPr>
            <w:r>
              <w:rPr>
                <w:sz w:val="8"/>
              </w:rPr>
              <w:t>Treat as domain-scoped lexical reuse unless Current Canonical Authority explicitly declares a shared operation identity.</w:t>
            </w:r>
          </w:p>
        </w:tc>
        <w:tc>
          <w:tcPr>
            <w:tcW w:type="dxa" w:w="5343"/>
          </w:tcPr>
          <w:p>
            <w:pPr>
              <w:spacing w:before="0" w:after="0"/>
            </w:pPr>
            <w:r>
              <w:rPr>
                <w:sz w:val="8"/>
              </w:rPr>
              <w:t>Do not rename or transfer owners/routes from another domain by name similarity.</w:t>
            </w:r>
          </w:p>
        </w:tc>
      </w:tr>
      <w:tr>
        <w:tc>
          <w:tcPr>
            <w:tcW w:type="dxa" w:w="5343"/>
          </w:tcPr>
          <w:p>
            <w:pPr>
              <w:spacing w:before="0" w:after="0"/>
            </w:pPr>
            <w:r>
              <w:rPr>
                <w:sz w:val="8"/>
              </w:rPr>
              <w:t>LOCAL LOCAL</w:t>
            </w:r>
          </w:p>
        </w:tc>
        <w:tc>
          <w:tcPr>
            <w:tcW w:type="dxa" w:w="5343"/>
          </w:tcPr>
          <w:p>
            <w:pPr>
              <w:spacing w:before="0" w:after="0"/>
            </w:pPr>
            <w:r>
              <w:rPr>
                <w:sz w:val="8"/>
              </w:rPr>
              <w:t>Transport sentinel for UI-local/no-public-route behavior; not a network Method/Path identity.</w:t>
            </w:r>
          </w:p>
        </w:tc>
        <w:tc>
          <w:tcPr>
            <w:tcW w:type="dxa" w:w="5343"/>
          </w:tcPr>
          <w:p>
            <w:pPr>
              <w:spacing w:before="0" w:after="0"/>
            </w:pPr>
            <w:r>
              <w:rPr>
                <w:sz w:val="8"/>
              </w:rPr>
              <w:t>Never count two LOCAL LOCAL rows as an API route collision.</w:t>
            </w:r>
          </w:p>
        </w:tc>
      </w:tr>
      <w:tr>
        <w:tc>
          <w:tcPr>
            <w:tcW w:type="dxa" w:w="5343"/>
          </w:tcPr>
          <w:p>
            <w:pPr>
              <w:spacing w:before="0" w:after="0"/>
            </w:pPr>
            <w:r>
              <w:rPr>
                <w:sz w:val="8"/>
              </w:rPr>
              <w:t>NO_PUBLIC_API_BY_AUTHORITY</w:t>
            </w:r>
          </w:p>
        </w:tc>
        <w:tc>
          <w:tcPr>
            <w:tcW w:type="dxa" w:w="5343"/>
          </w:tcPr>
          <w:p>
            <w:pPr>
              <w:spacing w:before="0" w:after="0"/>
            </w:pPr>
            <w:r>
              <w:rPr>
                <w:sz w:val="8"/>
              </w:rPr>
              <w:t>Explicit no-public-route sentinel; not a missing or colliding public API route.</w:t>
            </w:r>
          </w:p>
        </w:tc>
        <w:tc>
          <w:tcPr>
            <w:tcW w:type="dxa" w:w="5343"/>
          </w:tcPr>
          <w:p>
            <w:pPr>
              <w:spacing w:before="0" w:after="0"/>
            </w:pPr>
            <w:r>
              <w:rPr>
                <w:sz w:val="8"/>
              </w:rPr>
              <w:t>Preserve owner-local command semantics.</w:t>
            </w:r>
          </w:p>
        </w:tc>
      </w:tr>
      <w:tr>
        <w:tc>
          <w:tcPr>
            <w:tcW w:type="dxa" w:w="5343"/>
          </w:tcPr>
          <w:p>
            <w:pPr>
              <w:spacing w:before="0" w:after="0"/>
            </w:pPr>
            <w:r>
              <w:rPr>
                <w:sz w:val="8"/>
              </w:rPr>
              <w:t>Same Control UID field conflict</w:t>
            </w:r>
          </w:p>
        </w:tc>
        <w:tc>
          <w:tcPr>
            <w:tcW w:type="dxa" w:w="5343"/>
          </w:tcPr>
          <w:p>
            <w:pPr>
              <w:spacing w:before="0" w:after="0"/>
            </w:pPr>
            <w:r>
              <w:rPr>
                <w:sz w:val="8"/>
              </w:rPr>
              <w:t>Two different non-empty values for the same field of the same Current Control UID remain a true blocker unless supersession/precedence resolves one value.</w:t>
            </w:r>
          </w:p>
        </w:tc>
        <w:tc>
          <w:tcPr>
            <w:tcW w:type="dxa" w:w="5343"/>
          </w:tcPr>
          <w:p>
            <w:pPr>
              <w:spacing w:before="0" w:after="0"/>
            </w:pPr>
            <w:r>
              <w:rPr>
                <w:sz w:val="8"/>
              </w:rPr>
              <w:t>IAM-01-BTN-COMPLETE resolved by System 09 canonical permission in this batch.</w:t>
            </w:r>
          </w:p>
        </w:tc>
      </w:tr>
      <w:tr>
        <w:tc>
          <w:tcPr>
            <w:tcW w:type="dxa" w:w="5343"/>
          </w:tcPr>
          <w:p>
            <w:pPr>
              <w:spacing w:before="0" w:after="0"/>
            </w:pPr>
            <w:r>
              <w:rPr>
                <w:sz w:val="8"/>
              </w:rPr>
              <w:t>Action fan-out</w:t>
            </w:r>
          </w:p>
        </w:tc>
        <w:tc>
          <w:tcPr>
            <w:tcW w:type="dxa" w:w="5343"/>
          </w:tcPr>
          <w:p>
            <w:pPr>
              <w:spacing w:before="0" w:after="0"/>
            </w:pPr>
            <w:r>
              <w:rPr>
                <w:sz w:val="8"/>
              </w:rPr>
              <w:t>A repeated Action UID is review-only unless Current owner semantics prove the action identity is one-to-one with one Operation.</w:t>
            </w:r>
          </w:p>
        </w:tc>
        <w:tc>
          <w:tcPr>
            <w:tcW w:type="dxa" w:w="5343"/>
          </w:tcPr>
          <w:p>
            <w:pPr>
              <w:spacing w:before="0" w:after="0"/>
            </w:pPr>
            <w:r>
              <w:rPr>
                <w:sz w:val="8"/>
              </w:rPr>
              <w:t>STR-01-ACT-NOOP remains legitimate shared read/no-op; CORE fan-out remains review evidence, not auto-mutation.</w:t>
            </w:r>
          </w:p>
        </w:tc>
      </w:tr>
    </w:tbl>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Corrected Fresh Audit</w:t>
            </w:r>
          </w:p>
        </w:tc>
        <w:tc>
          <w:tcPr>
            <w:tcW w:type="dxa" w:w="5343"/>
            <w:shd w:fill="EDE9FE"/>
          </w:tcPr>
          <w:p>
            <w:pPr>
              <w:spacing w:before="0" w:after="0"/>
            </w:pPr>
            <w:r>
              <w:rPr>
                <w:sz w:val="8"/>
              </w:rPr>
              <w:t>Count</w:t>
            </w:r>
          </w:p>
        </w:tc>
        <w:tc>
          <w:tcPr>
            <w:tcW w:type="dxa" w:w="5343"/>
            <w:shd w:fill="EDE9FE"/>
          </w:tcPr>
          <w:p>
            <w:pPr>
              <w:spacing w:before="0" w:after="0"/>
            </w:pPr>
            <w:r>
              <w:rPr>
                <w:sz w:val="8"/>
              </w:rPr>
              <w:t>Status</w:t>
            </w:r>
          </w:p>
        </w:tc>
      </w:tr>
      <w:tr>
        <w:tc>
          <w:tcPr>
            <w:tcW w:type="dxa" w:w="5343"/>
          </w:tcPr>
          <w:p>
            <w:pPr>
              <w:spacing w:before="0" w:after="0"/>
            </w:pPr>
            <w:r>
              <w:rPr>
                <w:sz w:val="8"/>
              </w:rPr>
              <w:t>Cross-page Control UID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field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Operation→Method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Operation→Runtime Owner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real route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Corrected blocker count</w:t>
            </w:r>
          </w:p>
        </w:tc>
        <w:tc>
          <w:tcPr>
            <w:tcW w:type="dxa" w:w="5343"/>
          </w:tcPr>
          <w:p>
            <w:pPr>
              <w:spacing w:before="0" w:after="0"/>
            </w:pPr>
            <w:r>
              <w:rPr>
                <w:sz w:val="8"/>
              </w:rPr>
              <w:t>0</w:t>
            </w:r>
          </w:p>
        </w:tc>
        <w:tc>
          <w:tcPr>
            <w:tcW w:type="dxa" w:w="5343"/>
          </w:tcPr>
          <w:p>
            <w:pPr>
              <w:spacing w:before="0" w:after="0"/>
            </w:pPr>
            <w:r>
              <w:rPr>
                <w:sz w:val="8"/>
              </w:rPr>
              <w:t>0</w:t>
            </w:r>
          </w:p>
        </w:tc>
      </w:tr>
      <w:tr>
        <w:tc>
          <w:tcPr>
            <w:tcW w:type="dxa" w:w="5343"/>
          </w:tcPr>
          <w:p>
            <w:pPr>
              <w:spacing w:before="0" w:after="0"/>
            </w:pPr>
            <w:r>
              <w:rPr>
                <w:sz w:val="8"/>
              </w:rPr>
              <w:t>Transport binding inventory</w:t>
            </w:r>
          </w:p>
        </w:tc>
        <w:tc>
          <w:tcPr>
            <w:tcW w:type="dxa" w:w="5343"/>
          </w:tcPr>
          <w:p>
            <w:pPr>
              <w:spacing w:before="0" w:after="0"/>
            </w:pPr>
            <w:r>
              <w:rPr>
                <w:sz w:val="8"/>
              </w:rPr>
              <w:t>80</w:t>
            </w:r>
          </w:p>
        </w:tc>
        <w:tc>
          <w:tcPr>
            <w:tcW w:type="dxa" w:w="5343"/>
          </w:tcPr>
          <w:p>
            <w:pPr>
              <w:spacing w:before="0" w:after="0"/>
            </w:pPr>
            <w:r>
              <w:rPr>
                <w:sz w:val="8"/>
              </w:rPr>
              <w:t>NEXT_DENOMINATOR / NOT AUTO-BLOCKER</w:t>
            </w:r>
          </w:p>
        </w:tc>
      </w:tr>
      <w:tr>
        <w:tc>
          <w:tcPr>
            <w:tcW w:type="dxa" w:w="5343"/>
          </w:tcPr>
          <w:p>
            <w:pPr>
              <w:spacing w:before="0" w:after="0"/>
            </w:pPr>
            <w:r>
              <w:rPr>
                <w:sz w:val="8"/>
              </w:rPr>
              <w:t>Effectful Payload/Schema inventory</w:t>
            </w:r>
          </w:p>
        </w:tc>
        <w:tc>
          <w:tcPr>
            <w:tcW w:type="dxa" w:w="5343"/>
          </w:tcPr>
          <w:p>
            <w:pPr>
              <w:spacing w:before="0" w:after="0"/>
            </w:pPr>
            <w:r>
              <w:rPr>
                <w:sz w:val="8"/>
              </w:rPr>
              <w:t>137</w:t>
            </w:r>
          </w:p>
        </w:tc>
        <w:tc>
          <w:tcPr>
            <w:tcW w:type="dxa" w:w="5343"/>
          </w:tcPr>
          <w:p>
            <w:pPr>
              <w:spacing w:before="0" w:after="0"/>
            </w:pPr>
            <w:r>
              <w:rPr>
                <w:sz w:val="8"/>
              </w:rPr>
              <w:t>NEXT_DENOMINATOR / APPLICABILITY REQUIRED</w:t>
            </w:r>
          </w:p>
        </w:tc>
      </w:tr>
      <w:tr>
        <w:tc>
          <w:tcPr>
            <w:tcW w:type="dxa" w:w="5343"/>
          </w:tcPr>
          <w:p>
            <w:pPr>
              <w:spacing w:before="0" w:after="0"/>
            </w:pPr>
            <w:r>
              <w:rPr>
                <w:sz w:val="8"/>
              </w:rPr>
              <w:t>Effectful Persistence Owner inventory</w:t>
            </w:r>
          </w:p>
        </w:tc>
        <w:tc>
          <w:tcPr>
            <w:tcW w:type="dxa" w:w="5343"/>
          </w:tcPr>
          <w:p>
            <w:pPr>
              <w:spacing w:before="0" w:after="0"/>
            </w:pPr>
            <w:r>
              <w:rPr>
                <w:sz w:val="8"/>
              </w:rPr>
              <w:t>124</w:t>
            </w:r>
          </w:p>
        </w:tc>
        <w:tc>
          <w:tcPr>
            <w:tcW w:type="dxa" w:w="5343"/>
          </w:tcPr>
          <w:p>
            <w:pPr>
              <w:spacing w:before="0" w:after="0"/>
            </w:pPr>
            <w:r>
              <w:rPr>
                <w:sz w:val="8"/>
              </w:rPr>
              <w:t>NEXT_DENOMINATOR / APPLICABILITY REQUIRED</w:t>
            </w:r>
          </w:p>
        </w:tc>
      </w:tr>
    </w:tbl>
    <w:p>
      <w:r>
        <w:t>BATCH20_MACHINE_JSON={"base_head":"9248e011612f72b7ee8c8b04f71bbe68db9ede63","corrected_blocker_count":0,"effectful_payload_unbound":137,"effectful_persistence_owner_unbound":124,"global_operation_name_false_blockers_reclassified":13,"iam_same_uid_permission_conflict_closed":1,"local_local_false_positive_reclassified":1,"marker":"ACPOS-20260922-BATCH-20-AUDIT-SEMANTICS-IAM-CONFLICT-CLOSURE-V1","runtime_execution_claimed":false,"transport_unbound":80}</w:t>
      </w:r>
    </w:p>
    <w:p>
      <w:pPr>
        <w:sectPr>
          <w:pgSz w:w="16834" w:h="11909" w:orient="landscape"/>
          <w:pgMar w:top="475" w:right="403" w:bottom="475" w:left="403" w:header="720" w:footer="720" w:gutter="0"/>
          <w:cols w:space="720"/>
          <w:docGrid w:linePitch="360"/>
        </w:sectPr>
      </w:pPr>
    </w:p>
    <w:p>
      <w:pPr>
        <w:pStyle w:val="Heading1"/>
      </w:pPr>
      <w:r>
        <w:t>Batch 25 · Strong Exact Relation Remediation / Runtime-Status Guard</w:t>
      </w:r>
    </w:p>
    <w:p>
      <w:r>
        <w:rPr>
          <w:b/>
        </w:rPr>
        <w:t xml:space="preserve">[ACPOS-20260922-BATCH-25-STRONG-EXACT-RELATION-REMEDIATION-V1] </w:t>
      </w:r>
      <w:r>
        <w:t>Batch 24 found 15 same-owner same-Operation unique candidate values. Batch 25 applies only the six candidates whose source relation has the same Runtime Status as the target and contains no unresolved-source sentinel. Nine candidates are deliberately rejected from automatic materialization because source and target runtime semantics differ or the candidate embeds unresolved authority.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Class</w:t>
            </w:r>
          </w:p>
        </w:tc>
        <w:tc>
          <w:tcPr>
            <w:tcW w:type="dxa" w:w="3701"/>
            <w:shd w:fill="EDE9FE"/>
          </w:tcPr>
          <w:p>
            <w:pPr>
              <w:spacing w:before="0" w:after="0"/>
            </w:pPr>
            <w:r>
              <w:rPr>
                <w:sz w:val="8"/>
              </w:rPr>
              <w:t>Count</w:t>
            </w:r>
          </w:p>
        </w:tc>
        <w:tc>
          <w:tcPr>
            <w:tcW w:type="dxa" w:w="3701"/>
            <w:shd w:fill="EDE9FE"/>
          </w:tcPr>
          <w:p>
            <w:pPr>
              <w:spacing w:before="0" w:after="0"/>
            </w:pPr>
            <w:r>
              <w:rPr>
                <w:sz w:val="8"/>
              </w:rPr>
              <w:t>Handling</w:t>
            </w:r>
          </w:p>
        </w:tc>
      </w:tr>
      <w:tr>
        <w:tc>
          <w:tcPr>
            <w:tcW w:type="dxa" w:w="3701"/>
          </w:tcPr>
          <w:p>
            <w:pPr>
              <w:spacing w:before="0" w:after="0"/>
            </w:pPr>
            <w:r>
              <w:rPr>
                <w:sz w:val="8"/>
              </w:rPr>
              <w:t>Batch 24 unique candidates</w:t>
            </w:r>
          </w:p>
        </w:tc>
        <w:tc>
          <w:tcPr>
            <w:tcW w:type="dxa" w:w="3701"/>
          </w:tcPr>
          <w:p>
            <w:pPr>
              <w:spacing w:before="0" w:after="0"/>
            </w:pPr>
            <w:r>
              <w:rPr>
                <w:sz w:val="8"/>
              </w:rPr>
              <w:t>15</w:t>
            </w:r>
          </w:p>
        </w:tc>
        <w:tc>
          <w:tcPr>
            <w:tcW w:type="dxa" w:w="3701"/>
          </w:tcPr>
          <w:p>
            <w:pPr>
              <w:spacing w:before="0" w:after="0"/>
            </w:pPr>
            <w:r>
              <w:rPr>
                <w:sz w:val="8"/>
              </w:rPr>
              <w:t>Revalidated against Runtime Status and unresolved-source sentinels.</w:t>
            </w:r>
          </w:p>
        </w:tc>
      </w:tr>
      <w:tr>
        <w:tc>
          <w:tcPr>
            <w:tcW w:type="dxa" w:w="3701"/>
          </w:tcPr>
          <w:p>
            <w:pPr>
              <w:spacing w:before="0" w:after="0"/>
            </w:pPr>
            <w:r>
              <w:rPr>
                <w:sz w:val="8"/>
              </w:rPr>
              <w:t>Strong exact relations applied</w:t>
            </w:r>
          </w:p>
        </w:tc>
        <w:tc>
          <w:tcPr>
            <w:tcW w:type="dxa" w:w="3701"/>
          </w:tcPr>
          <w:p>
            <w:pPr>
              <w:spacing w:before="0" w:after="0"/>
            </w:pPr>
            <w:r>
              <w:rPr>
                <w:sz w:val="8"/>
              </w:rPr>
              <w:t>6</w:t>
            </w:r>
          </w:p>
        </w:tc>
        <w:tc>
          <w:tcPr>
            <w:tcW w:type="dxa" w:w="3701"/>
          </w:tcPr>
          <w:p>
            <w:pPr>
              <w:spacing w:before="0" w:after="0"/>
            </w:pPr>
            <w:r>
              <w:rPr>
                <w:sz w:val="8"/>
              </w:rPr>
              <w:t>5 Method/Path + 1 Payload/Schema.</w:t>
            </w:r>
          </w:p>
        </w:tc>
      </w:tr>
      <w:tr>
        <w:tc>
          <w:tcPr>
            <w:tcW w:type="dxa" w:w="3701"/>
          </w:tcPr>
          <w:p>
            <w:pPr>
              <w:spacing w:before="0" w:after="0"/>
            </w:pPr>
            <w:r>
              <w:rPr>
                <w:sz w:val="8"/>
              </w:rPr>
              <w:t>Runtime/authority mismatch isolated</w:t>
            </w:r>
          </w:p>
        </w:tc>
        <w:tc>
          <w:tcPr>
            <w:tcW w:type="dxa" w:w="3701"/>
          </w:tcPr>
          <w:p>
            <w:pPr>
              <w:spacing w:before="0" w:after="0"/>
            </w:pPr>
            <w:r>
              <w:rPr>
                <w:sz w:val="8"/>
              </w:rPr>
              <w:t>9</w:t>
            </w:r>
          </w:p>
        </w:tc>
        <w:tc>
          <w:tcPr>
            <w:tcW w:type="dxa" w:w="3701"/>
          </w:tcPr>
          <w:p>
            <w:pPr>
              <w:spacing w:before="0" w:after="0"/>
            </w:pPr>
            <w:r>
              <w:rPr>
                <w:sz w:val="8"/>
              </w:rPr>
              <w:t>No Word field value copied; next batch must resolve status/authority first.</w:t>
            </w:r>
          </w:p>
        </w:tc>
      </w:tr>
      <w:tr>
        <w:tc>
          <w:tcPr>
            <w:tcW w:type="dxa" w:w="3701"/>
          </w:tcPr>
          <w:p>
            <w:pPr>
              <w:spacing w:before="0" w:after="0"/>
            </w:pPr>
            <w:r>
              <w:rPr>
                <w:sz w:val="8"/>
              </w:rPr>
              <w:t>Pre contract-cell denominator</w:t>
            </w:r>
          </w:p>
        </w:tc>
        <w:tc>
          <w:tcPr>
            <w:tcW w:type="dxa" w:w="3701"/>
          </w:tcPr>
          <w:p>
            <w:pPr>
              <w:spacing w:before="0" w:after="0"/>
            </w:pPr>
            <w:r>
              <w:rPr>
                <w:sz w:val="8"/>
              </w:rPr>
              <w:t>341</w:t>
            </w:r>
          </w:p>
        </w:tc>
        <w:tc>
          <w:tcPr>
            <w:tcW w:type="dxa" w:w="3701"/>
          </w:tcPr>
          <w:p>
            <w:pPr>
              <w:spacing w:before="0" w:after="0"/>
            </w:pPr>
            <w:r>
              <w:rPr>
                <w:sz w:val="8"/>
              </w:rPr>
              <w:t>Method 80 + Payload 137 + Persistence 124.</w:t>
            </w:r>
          </w:p>
        </w:tc>
      </w:tr>
      <w:tr>
        <w:tc>
          <w:tcPr>
            <w:tcW w:type="dxa" w:w="3701"/>
          </w:tcPr>
          <w:p>
            <w:pPr>
              <w:spacing w:before="0" w:after="0"/>
            </w:pPr>
            <w:r>
              <w:rPr>
                <w:sz w:val="8"/>
              </w:rPr>
              <w:t>Post contract-cell denominator</w:t>
            </w:r>
          </w:p>
        </w:tc>
        <w:tc>
          <w:tcPr>
            <w:tcW w:type="dxa" w:w="3701"/>
          </w:tcPr>
          <w:p>
            <w:pPr>
              <w:spacing w:before="0" w:after="0"/>
            </w:pPr>
            <w:r>
              <w:rPr>
                <w:sz w:val="8"/>
              </w:rPr>
              <w:t>335</w:t>
            </w:r>
          </w:p>
        </w:tc>
        <w:tc>
          <w:tcPr>
            <w:tcW w:type="dxa" w:w="3701"/>
          </w:tcPr>
          <w:p>
            <w:pPr>
              <w:spacing w:before="0" w:after="0"/>
            </w:pPr>
            <w:r>
              <w:rPr>
                <w:sz w:val="8"/>
              </w:rPr>
              <w:t>Method 75 + Payload 136 + Persistence 124.</w:t>
            </w:r>
          </w:p>
        </w:tc>
      </w:tr>
    </w:tbl>
    <w:tbl>
      <w:tblPr>
        <w:tblStyle w:val="TableGrid"/>
        <w:tblW w:type="auto" w:w="0"/>
        <w:tblLook w:firstColumn="1" w:firstRow="1" w:lastColumn="0" w:lastRow="0" w:noHBand="0" w:noVBand="1" w:val="04A0"/>
      </w:tblPr>
      <w:tblGrid>
        <w:gridCol w:w="1586"/>
        <w:gridCol w:w="1586"/>
        <w:gridCol w:w="1586"/>
        <w:gridCol w:w="1586"/>
        <w:gridCol w:w="1586"/>
        <w:gridCol w:w="1586"/>
        <w:gridCol w:w="1586"/>
      </w:tblGrid>
      <w:tr>
        <w:trPr>
          <w:tblHeader w:val="true"/>
        </w:trPr>
        <w:tc>
          <w:tcPr>
            <w:tcW w:type="dxa" w:w="1586"/>
            <w:shd w:fill="EDE9FE"/>
          </w:tcPr>
          <w:p>
            <w:pPr>
              <w:spacing w:before="0" w:after="0"/>
            </w:pPr>
            <w:r>
              <w:rPr>
                <w:sz w:val="7"/>
              </w:rPr>
              <w:t>Page</w:t>
            </w:r>
          </w:p>
        </w:tc>
        <w:tc>
          <w:tcPr>
            <w:tcW w:type="dxa" w:w="1586"/>
            <w:shd w:fill="EDE9FE"/>
          </w:tcPr>
          <w:p>
            <w:pPr>
              <w:spacing w:before="0" w:after="0"/>
            </w:pPr>
            <w:r>
              <w:rPr>
                <w:sz w:val="7"/>
              </w:rPr>
              <w:t>Control UID</w:t>
            </w:r>
          </w:p>
        </w:tc>
        <w:tc>
          <w:tcPr>
            <w:tcW w:type="dxa" w:w="1586"/>
            <w:shd w:fill="EDE9FE"/>
          </w:tcPr>
          <w:p>
            <w:pPr>
              <w:spacing w:before="0" w:after="0"/>
            </w:pPr>
            <w:r>
              <w:rPr>
                <w:sz w:val="7"/>
              </w:rPr>
              <w:t>Field</w:t>
            </w:r>
          </w:p>
        </w:tc>
        <w:tc>
          <w:tcPr>
            <w:tcW w:type="dxa" w:w="1586"/>
            <w:shd w:fill="EDE9FE"/>
          </w:tcPr>
          <w:p>
            <w:pPr>
              <w:spacing w:before="0" w:after="0"/>
            </w:pPr>
            <w:r>
              <w:rPr>
                <w:sz w:val="7"/>
              </w:rPr>
              <w:t>Operation</w:t>
            </w:r>
          </w:p>
        </w:tc>
        <w:tc>
          <w:tcPr>
            <w:tcW w:type="dxa" w:w="1586"/>
            <w:shd w:fill="EDE9FE"/>
          </w:tcPr>
          <w:p>
            <w:pPr>
              <w:spacing w:before="0" w:after="0"/>
            </w:pPr>
            <w:r>
              <w:rPr>
                <w:sz w:val="7"/>
              </w:rPr>
              <w:t>Target Status</w:t>
            </w:r>
          </w:p>
        </w:tc>
        <w:tc>
          <w:tcPr>
            <w:tcW w:type="dxa" w:w="1586"/>
            <w:shd w:fill="EDE9FE"/>
          </w:tcPr>
          <w:p>
            <w:pPr>
              <w:spacing w:before="0" w:after="0"/>
            </w:pPr>
            <w:r>
              <w:rPr>
                <w:sz w:val="7"/>
              </w:rPr>
              <w:t>Source Status / Issue</w:t>
            </w:r>
          </w:p>
        </w:tc>
        <w:tc>
          <w:tcPr>
            <w:tcW w:type="dxa" w:w="1586"/>
            <w:shd w:fill="EDE9FE"/>
          </w:tcPr>
          <w:p>
            <w:pPr>
              <w:spacing w:before="0" w:after="0"/>
            </w:pPr>
            <w:r>
              <w:rPr>
                <w:sz w:val="7"/>
              </w:rPr>
              <w:t>Decision</w:t>
            </w:r>
          </w:p>
        </w:tc>
      </w:tr>
      <w:tr>
        <w:tc>
          <w:tcPr>
            <w:tcW w:type="dxa" w:w="1586"/>
          </w:tcPr>
          <w:p>
            <w:pPr>
              <w:spacing w:before="0" w:after="0"/>
            </w:pPr>
            <w:r>
              <w:rPr>
                <w:sz w:val="7"/>
              </w:rPr>
              <w:t>IAM-01</w:t>
            </w:r>
          </w:p>
        </w:tc>
        <w:tc>
          <w:tcPr>
            <w:tcW w:type="dxa" w:w="1586"/>
          </w:tcPr>
          <w:p>
            <w:pPr>
              <w:spacing w:before="0" w:after="0"/>
            </w:pPr>
            <w:r>
              <w:rPr>
                <w:sz w:val="7"/>
              </w:rPr>
              <w:t>IAM-01-BTN-AUDIT</w:t>
            </w:r>
          </w:p>
        </w:tc>
        <w:tc>
          <w:tcPr>
            <w:tcW w:type="dxa" w:w="1586"/>
          </w:tcPr>
          <w:p>
            <w:pPr>
              <w:spacing w:before="0" w:after="0"/>
            </w:pPr>
            <w:r>
              <w:rPr>
                <w:sz w:val="7"/>
              </w:rPr>
              <w:t>method_path</w:t>
            </w:r>
          </w:p>
        </w:tc>
        <w:tc>
          <w:tcPr>
            <w:tcW w:type="dxa" w:w="1586"/>
          </w:tcPr>
          <w:p>
            <w:pPr>
              <w:spacing w:before="0" w:after="0"/>
            </w:pPr>
            <w:r>
              <w:rPr>
                <w:sz w:val="7"/>
              </w:rPr>
              <w:t>getUiProjection</w:t>
            </w:r>
          </w:p>
        </w:tc>
        <w:tc>
          <w:tcPr>
            <w:tcW w:type="dxa" w:w="1586"/>
          </w:tcPr>
          <w:p>
            <w:pPr>
              <w:spacing w:before="0" w:after="0"/>
            </w:pPr>
            <w:r>
              <w:rPr>
                <w:sz w:val="7"/>
              </w:rPr>
              <w:t>EFFECTFUL_EXACT</w:t>
            </w:r>
          </w:p>
        </w:tc>
        <w:tc>
          <w:tcPr>
            <w:tcW w:type="dxa" w:w="1586"/>
          </w:tcPr>
          <w:p>
            <w:pPr>
              <w:spacing w:before="0" w:after="0"/>
            </w:pPr>
            <w:r>
              <w:rPr>
                <w:sz w:val="7"/>
              </w:rPr>
              <w:t>READ_EXACT</w:t>
            </w:r>
          </w:p>
        </w:tc>
        <w:tc>
          <w:tcPr>
            <w:tcW w:type="dxa" w:w="1586"/>
          </w:tcPr>
          <w:p>
            <w:pPr>
              <w:spacing w:before="0" w:after="0"/>
            </w:pPr>
            <w:r>
              <w:rPr>
                <w:sz w:val="7"/>
              </w:rPr>
              <w:t>READ_SOURCE_TARGET_EFFECTFUL_STATUS_MISMATCH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method_path</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payload_schema</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bl>
    <w:p>
      <w:r>
        <w:t>BATCH25_MACHINE_JSON={"base_head":"035770f8e4d3cea1e8d0df9595cb47b25df53902","marker":"ACPOS-20260922-BATCH-25-STRONG-EXACT-RELATION-REMEDIATION-V1","method_path_bound":5,"payload_schema_bound":1,"persistence_owner_bound":0,"post_contract_cells":335,"pre_contract_cells":341,"remaining_method_path":75,"remaining_payload_schema":136,"remaining_persistence_owner":124,"runtime_authority_mismatch_isolated":9,"runtime_execution_claimed":false,"strong_exact_candidates_applied":6}</w:t>
      </w:r>
    </w:p>
    <w:sectPr w:rsidR="00FC693F" w:rsidRPr="0006063C" w:rsidSect="00034616">
      <w:pgSz w:w="11909" w:h="16834" w:orient="landscape"/>
      <w:pgMar w:top="475" w:right="403" w:bottom="475"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